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BECBD">
      <w:pPr>
        <w:spacing w:line="600" w:lineRule="exact"/>
        <w:jc w:val="center"/>
        <w:outlineLvl w:val="0"/>
        <w:rPr>
          <w:rFonts w:ascii="方正小标宋简体" w:hAnsi="宋体" w:eastAsia="方正小标宋简体"/>
          <w:sz w:val="72"/>
          <w:szCs w:val="72"/>
        </w:rPr>
      </w:pPr>
      <w:bookmarkStart w:id="0" w:name="_Toc15396597"/>
      <w:bookmarkStart w:id="1" w:name="_Toc15378441"/>
      <w:bookmarkStart w:id="2" w:name="_Toc15377193"/>
      <w:bookmarkStart w:id="3" w:name="_Toc15377425"/>
      <w:bookmarkStart w:id="4" w:name="_Toc15396475"/>
      <w:bookmarkStart w:id="5" w:name="_Toc15306267"/>
    </w:p>
    <w:p w14:paraId="356156CC">
      <w:pPr>
        <w:pStyle w:val="7"/>
        <w:spacing w:before="93"/>
      </w:pPr>
    </w:p>
    <w:p w14:paraId="46997B5C">
      <w:pPr>
        <w:spacing w:line="600" w:lineRule="exact"/>
        <w:jc w:val="center"/>
        <w:outlineLvl w:val="0"/>
        <w:rPr>
          <w:rFonts w:ascii="方正小标宋简体" w:hAnsi="宋体" w:eastAsia="方正小标宋简体"/>
          <w:sz w:val="72"/>
          <w:szCs w:val="72"/>
        </w:rPr>
      </w:pPr>
    </w:p>
    <w:p w14:paraId="3494713F">
      <w:pPr>
        <w:spacing w:line="600" w:lineRule="exact"/>
        <w:jc w:val="center"/>
        <w:outlineLvl w:val="0"/>
        <w:rPr>
          <w:rFonts w:ascii="方正小标宋简体" w:hAnsi="宋体" w:eastAsia="方正小标宋简体"/>
          <w:sz w:val="72"/>
          <w:szCs w:val="72"/>
        </w:rPr>
      </w:pPr>
    </w:p>
    <w:p w14:paraId="2F60304F">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14:paraId="3024685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77426"/>
      <w:bookmarkStart w:id="8" w:name="_Toc15377194"/>
      <w:bookmarkStart w:id="9" w:name="_Toc15396598"/>
      <w:bookmarkStart w:id="10" w:name="_Toc15396476"/>
      <w:bookmarkStart w:id="11" w:name="_Toc15306268"/>
      <w:r>
        <w:rPr>
          <w:rFonts w:hint="eastAsia" w:ascii="方正小标宋简体" w:hAnsi="方正小标宋简体" w:eastAsia="方正小标宋简体" w:cs="方正小标宋简体"/>
          <w:sz w:val="72"/>
          <w:szCs w:val="72"/>
          <w:lang w:eastAsia="zh-CN"/>
        </w:rPr>
        <w:t>凉山州科学技术协会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14:paraId="6A554DE3">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435E82D6">
      <w:pPr>
        <w:widowControl/>
        <w:jc w:val="center"/>
        <w:rPr>
          <w:rFonts w:ascii="黑体" w:hAnsi="黑体" w:eastAsia="黑体" w:cstheme="minorBidi"/>
          <w:sz w:val="28"/>
          <w:szCs w:val="28"/>
        </w:rPr>
      </w:pPr>
    </w:p>
    <w:p w14:paraId="5100123F">
      <w:pPr>
        <w:pStyle w:val="14"/>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09</w:t>
      </w:r>
      <w:r>
        <w:rPr>
          <w:rFonts w:hint="eastAsia"/>
        </w:rPr>
        <w:t>日</w:t>
      </w:r>
    </w:p>
    <w:p w14:paraId="55A48A77"/>
    <w:p w14:paraId="3FABF516">
      <w:pPr>
        <w:pStyle w:val="14"/>
        <w:keepNext w:val="0"/>
        <w:keepLines w:val="0"/>
        <w:pageBreakBefore w:val="0"/>
        <w:widowControl w:val="0"/>
        <w:kinsoku/>
        <w:wordWrap/>
        <w:overflowPunct/>
        <w:topLinePunct w:val="0"/>
        <w:autoSpaceDE/>
        <w:autoSpaceDN/>
        <w:bidi w:val="0"/>
        <w:adjustRightInd w:val="0"/>
        <w:snapToGrid w:val="0"/>
        <w:spacing w:before="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第一部分部门况…</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…4</w:t>
      </w:r>
    </w:p>
    <w:p w14:paraId="45E36B8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一、部门职责…</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4</w:t>
      </w:r>
    </w:p>
    <w:p w14:paraId="57307B5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第二部分</w:t>
      </w: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年度部门决算情况说明……………………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sz w:val="32"/>
          <w:szCs w:val="32"/>
          <w:lang w:val="en-US" w:eastAsia="zh-CN"/>
        </w:rPr>
        <w:t>5</w:t>
      </w:r>
    </w:p>
    <w:p w14:paraId="50DED4B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四、财政拨款收入支出决算总体情况说明…………………7</w:t>
      </w:r>
    </w:p>
    <w:p w14:paraId="4877CFC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九、国有资本经营预算支出决算情况说明…………………</w:t>
      </w:r>
      <w:r>
        <w:rPr>
          <w:rFonts w:hint="eastAsia" w:ascii="仿宋_GB2312" w:hAnsi="仿宋_GB2312" w:eastAsia="仿宋_GB2312" w:cs="仿宋_GB2312"/>
          <w:sz w:val="32"/>
          <w:szCs w:val="32"/>
          <w:lang w:val="en-US" w:eastAsia="zh-CN"/>
        </w:rPr>
        <w:t>14</w:t>
      </w:r>
    </w:p>
    <w:p w14:paraId="4414ACB7">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32"/>
          <w:szCs w:val="32"/>
          <w:lang w:val="en-US" w:eastAsia="zh-CN"/>
        </w:rPr>
      </w:pPr>
      <w:r>
        <w:rPr>
          <w:rStyle w:val="21"/>
          <w:rFonts w:hint="eastAsia" w:ascii="仿宋_GB2312" w:hAnsi="仿宋_GB2312" w:eastAsia="仿宋_GB2312" w:cs="仿宋_GB2312"/>
          <w:color w:val="auto"/>
          <w:sz w:val="32"/>
          <w:szCs w:val="32"/>
          <w:u w:val="none"/>
        </w:rPr>
        <w:t>十、</w:t>
      </w:r>
      <w:r>
        <w:rPr>
          <w:rFonts w:hint="eastAsia" w:ascii="仿宋_GB2312" w:hAnsi="仿宋_GB2312" w:eastAsia="仿宋_GB2312" w:cs="仿宋_GB2312"/>
          <w:sz w:val="32"/>
          <w:szCs w:val="32"/>
        </w:rPr>
        <w:t>其他重要事项的情况说明</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14</w:t>
      </w:r>
    </w:p>
    <w:p w14:paraId="5C48FCE5">
      <w:pPr>
        <w:pStyle w:val="14"/>
        <w:adjustRightInd w:val="0"/>
        <w:snapToGrid w:val="0"/>
        <w:spacing w:before="0" w:line="5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第三部分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名词解释…………………………………………</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第四部分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附件…………………………………………… </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第五部分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附表…………………………………………… </w:t>
      </w:r>
      <w:r>
        <w:rPr>
          <w:rFonts w:hint="eastAsia" w:ascii="仿宋_GB2312" w:hAnsi="仿宋_GB2312" w:eastAsia="仿宋_GB2312" w:cs="仿宋_GB2312"/>
          <w:sz w:val="32"/>
          <w:szCs w:val="32"/>
          <w:lang w:val="en-US" w:eastAsia="zh-CN"/>
        </w:rPr>
        <w:t>96</w:t>
      </w:r>
    </w:p>
    <w:p w14:paraId="580EF4F6">
      <w:pPr>
        <w:pStyle w:val="15"/>
        <w:adjustRightInd w:val="0"/>
        <w:snapToGrid w:val="0"/>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一、收入支出决算总表…………………………………… </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 xml:space="preserve">二、收入决算表…………………………………………… </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lang w:val="en-US" w:eastAsia="zh-CN"/>
        </w:rPr>
        <w:t>96</w:t>
      </w:r>
    </w:p>
    <w:p w14:paraId="0CBA8488">
      <w:pPr>
        <w:pStyle w:val="15"/>
        <w:adjustRightInd w:val="0"/>
        <w:snapToGrid w:val="0"/>
        <w:spacing w:line="560" w:lineRule="exact"/>
        <w:ind w:left="0" w:lef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四、财政拨款收入支出决算总表………………………… </w:t>
      </w:r>
      <w:r>
        <w:rPr>
          <w:rFonts w:hint="eastAsia" w:ascii="仿宋_GB2312" w:hAnsi="仿宋_GB2312" w:eastAsia="仿宋_GB2312" w:cs="仿宋_GB2312"/>
          <w:sz w:val="32"/>
          <w:szCs w:val="32"/>
          <w:lang w:val="en-US" w:eastAsia="zh-CN"/>
        </w:rPr>
        <w:t>96</w:t>
      </w:r>
    </w:p>
    <w:p w14:paraId="140FFA0A">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96</w:t>
      </w:r>
    </w:p>
    <w:p w14:paraId="12DFE485">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96</w:t>
      </w:r>
    </w:p>
    <w:p w14:paraId="3C5C12B3">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七、一般公共预算财政拨款支出决算明细………………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96</w:t>
      </w:r>
    </w:p>
    <w:p w14:paraId="686B6A51">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八、一般公共预算财政拨款基本支出决算明细表………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96</w:t>
      </w:r>
    </w:p>
    <w:p w14:paraId="30CC4C4F">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96</w:t>
      </w:r>
    </w:p>
    <w:p w14:paraId="2369B135">
      <w:pPr>
        <w:pStyle w:val="15"/>
        <w:adjustRightInd w:val="0"/>
        <w:snapToGrid w:val="0"/>
        <w:spacing w:line="560" w:lineRule="exact"/>
        <w:ind w:left="0" w:lef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十、政府性基金预算财政拨款收入支出决算表……………</w:t>
      </w:r>
      <w:r>
        <w:rPr>
          <w:rFonts w:hint="eastAsia" w:ascii="仿宋_GB2312" w:hAnsi="仿宋_GB2312" w:eastAsia="仿宋_GB2312" w:cs="仿宋_GB2312"/>
          <w:sz w:val="32"/>
          <w:szCs w:val="32"/>
          <w:lang w:val="en-US" w:eastAsia="zh-CN"/>
        </w:rPr>
        <w:t>96</w:t>
      </w:r>
    </w:p>
    <w:p w14:paraId="6A76DA89">
      <w:pPr>
        <w:pStyle w:val="15"/>
        <w:adjustRightInd w:val="0"/>
        <w:snapToGrid w:val="0"/>
        <w:spacing w:line="560" w:lineRule="exact"/>
        <w:ind w:left="0" w:lef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十一、国有资本经营预算财政拨款收入支出决算表………</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十二、国有资本经营预算财政拨款支出决算表……………</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十三、财政拨款“三公”经费支出决算表…………………</w:t>
      </w:r>
      <w:r>
        <w:rPr>
          <w:rFonts w:hint="eastAsia" w:ascii="仿宋_GB2312" w:hAnsi="仿宋_GB2312" w:eastAsia="仿宋_GB2312" w:cs="仿宋_GB2312"/>
          <w:sz w:val="32"/>
          <w:szCs w:val="32"/>
          <w:lang w:val="en-US" w:eastAsia="zh-CN"/>
        </w:rPr>
        <w:t>96</w:t>
      </w:r>
      <w:bookmarkStart w:id="112" w:name="_GoBack"/>
      <w:bookmarkEnd w:id="112"/>
    </w:p>
    <w:p w14:paraId="24783E89">
      <w:pPr>
        <w:widowControl/>
        <w:spacing w:line="440" w:lineRule="exact"/>
        <w:jc w:val="left"/>
        <w:rPr>
          <w:rFonts w:hint="eastAsia" w:ascii="仿宋_GB2312" w:hAnsi="仿宋_GB2312" w:eastAsia="仿宋_GB2312" w:cs="仿宋_GB2312"/>
          <w:b w:val="0"/>
          <w:bCs w:val="0"/>
          <w:color w:val="000000"/>
          <w:kern w:val="2"/>
          <w:sz w:val="30"/>
          <w:szCs w:val="30"/>
          <w:shd w:val="clear" w:color="auto" w:fill="FFFFFF"/>
          <w:lang w:val="en-US" w:eastAsia="zh-CN" w:bidi="ar-SA"/>
        </w:rPr>
      </w:pPr>
      <w:bookmarkStart w:id="12" w:name="_Toc15396599"/>
      <w:bookmarkStart w:id="13" w:name="_Toc15377196"/>
      <w:r>
        <w:rPr>
          <w:rFonts w:hint="eastAsia" w:ascii="仿宋_GB2312" w:hAnsi="仿宋_GB2312" w:eastAsia="仿宋_GB2312" w:cs="仿宋_GB2312"/>
          <w:b w:val="0"/>
          <w:bCs w:val="0"/>
          <w:color w:val="000000"/>
          <w:kern w:val="2"/>
          <w:sz w:val="30"/>
          <w:szCs w:val="30"/>
          <w:shd w:val="clear" w:color="auto" w:fill="FFFFFF"/>
          <w:lang w:val="en-US" w:eastAsia="zh-CN" w:bidi="ar-SA"/>
        </w:rPr>
        <w:br w:type="page"/>
      </w:r>
    </w:p>
    <w:p w14:paraId="6A9289B2">
      <w:pPr>
        <w:pStyle w:val="2"/>
        <w:jc w:val="center"/>
        <w:rPr>
          <w:rStyle w:val="31"/>
          <w:rFonts w:ascii="黑体" w:hAnsi="黑体" w:eastAsia="黑体"/>
          <w:b/>
          <w:bCs w:val="0"/>
        </w:rPr>
      </w:pPr>
      <w:r>
        <w:rPr>
          <w:rFonts w:hint="eastAsia" w:ascii="黑体" w:hAnsi="黑体" w:eastAsia="黑体"/>
          <w:b w:val="0"/>
        </w:rPr>
        <w:t xml:space="preserve">第一部分 </w:t>
      </w:r>
      <w:r>
        <w:rPr>
          <w:rStyle w:val="31"/>
          <w:rFonts w:hint="eastAsia" w:ascii="黑体" w:hAnsi="黑体" w:eastAsia="黑体"/>
          <w:b w:val="0"/>
          <w:bCs w:val="0"/>
        </w:rPr>
        <w:t>部门概况</w:t>
      </w:r>
      <w:bookmarkEnd w:id="12"/>
      <w:bookmarkEnd w:id="13"/>
    </w:p>
    <w:p w14:paraId="0A29ED0A">
      <w:pPr>
        <w:widowControl/>
        <w:jc w:val="left"/>
        <w:rPr>
          <w:rFonts w:ascii="黑体" w:eastAsia="黑体"/>
          <w:sz w:val="32"/>
          <w:szCs w:val="32"/>
        </w:rPr>
      </w:pPr>
    </w:p>
    <w:p w14:paraId="65F277A9">
      <w:pPr>
        <w:pStyle w:val="3"/>
        <w:numPr>
          <w:ilvl w:val="0"/>
          <w:numId w:val="1"/>
        </w:numPr>
        <w:rPr>
          <w:rFonts w:ascii="黑体" w:hAnsi="黑体" w:eastAsia="黑体"/>
          <w:b w:val="0"/>
        </w:rPr>
      </w:pPr>
      <w:r>
        <w:rPr>
          <w:rFonts w:hint="eastAsia" w:ascii="黑体" w:hAnsi="黑体" w:eastAsia="黑体"/>
          <w:b w:val="0"/>
        </w:rPr>
        <w:t>部门职责</w:t>
      </w:r>
    </w:p>
    <w:p w14:paraId="433091BC">
      <w:pPr>
        <w:pStyle w:val="3"/>
        <w:ind w:firstLine="600" w:firstLineChars="200"/>
      </w:pPr>
      <w:r>
        <w:rPr>
          <w:rFonts w:hint="eastAsia" w:ascii="仿宋_GB2312" w:hAnsi="仿宋_GB2312" w:eastAsia="仿宋_GB2312" w:cs="仿宋_GB2312"/>
          <w:b w:val="0"/>
          <w:bCs w:val="0"/>
          <w:color w:val="000000"/>
          <w:sz w:val="30"/>
          <w:szCs w:val="30"/>
          <w:shd w:val="clear" w:color="auto" w:fill="FFFFFF"/>
        </w:rPr>
        <w:t>一是开展学</w:t>
      </w:r>
      <w:bookmarkStart w:id="14" w:name="OLE_LINK62"/>
      <w:r>
        <w:rPr>
          <w:rFonts w:hint="eastAsia" w:ascii="仿宋_GB2312" w:hAnsi="仿宋_GB2312" w:eastAsia="仿宋_GB2312" w:cs="仿宋_GB2312"/>
          <w:b w:val="0"/>
          <w:bCs w:val="0"/>
          <w:color w:val="000000"/>
          <w:sz w:val="30"/>
          <w:szCs w:val="30"/>
          <w:shd w:val="clear" w:color="auto" w:fill="FFFFFF"/>
        </w:rPr>
        <w:t>术交流，活跃学术思想</w:t>
      </w:r>
      <w:bookmarkEnd w:id="14"/>
      <w:r>
        <w:rPr>
          <w:rFonts w:hint="eastAsia" w:ascii="仿宋_GB2312" w:hAnsi="仿宋_GB2312" w:eastAsia="仿宋_GB2312" w:cs="仿宋_GB2312"/>
          <w:b w:val="0"/>
          <w:bCs w:val="0"/>
          <w:color w:val="000000"/>
          <w:sz w:val="30"/>
          <w:szCs w:val="30"/>
          <w:shd w:val="clear" w:color="auto" w:fill="FFFFFF"/>
        </w:rPr>
        <w:t>，促进学科发展，推动决策的科学化和民主化；二是弘扬科学精神，普及科学技术知识，推广先进技术，开展青少年科技教育活动，提高全民族科学文化素质；三是维护科技工作者的合法权益，为科技团体和科技工作者服务，表彰和奖励优秀科技工作者，举荐人才。组织科技工作者参与科技政策、法规制定和政治协商、科学决策、民主监督工作。四是开展技术培训、技术咨询服务，进行咨询服务行业管理。推动科技成果向现实生产力的转化，接受委托承担项目评估，成果鉴定，专业技术职务评审等任务。五是开展国际民间科技交流活动，发展同国外的科学技术团体和科技工作者的友好交往。六是开展继续教育和培训工作，兴办符合科协综旨的社会公益性事业。七是对直属州级学会、协会、研究会进行管理，对县、市科协和基层组织进行业务指导。八是承担州委、州政府和省科协交办的其他事项。</w:t>
      </w:r>
    </w:p>
    <w:p w14:paraId="1337DAE6">
      <w:pPr>
        <w:pStyle w:val="3"/>
        <w:rPr>
          <w:rStyle w:val="32"/>
          <w:b w:val="0"/>
          <w:bCs w:val="0"/>
        </w:rPr>
      </w:pPr>
      <w:bookmarkStart w:id="15" w:name="_Toc15377200"/>
      <w:bookmarkStart w:id="16" w:name="_Toc15396601"/>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15"/>
      <w:bookmarkEnd w:id="16"/>
    </w:p>
    <w:p w14:paraId="6FD8FA05">
      <w:pPr>
        <w:ind w:firstLine="800" w:firstLineChars="250"/>
        <w:rPr>
          <w:rFonts w:ascii="仿宋" w:hAnsi="仿宋" w:eastAsia="仿宋"/>
          <w:sz w:val="32"/>
          <w:szCs w:val="32"/>
        </w:rPr>
      </w:pPr>
      <w:r>
        <w:rPr>
          <w:sz w:val="32"/>
          <w:szCs w:val="32"/>
        </w:rPr>
        <w:t>凉山州科学技术协会</w:t>
      </w:r>
      <w:r>
        <w:rPr>
          <w:rFonts w:hint="eastAsia" w:ascii="仿宋" w:hAnsi="仿宋" w:eastAsia="仿宋"/>
          <w:sz w:val="32"/>
          <w:szCs w:val="32"/>
        </w:rPr>
        <w:t>下属二级预算单位</w:t>
      </w:r>
      <w:r>
        <w:rPr>
          <w:rFonts w:hint="eastAsia" w:eastAsia="仿宋"/>
          <w:sz w:val="32"/>
          <w:szCs w:val="32"/>
        </w:rPr>
        <w:t>1</w:t>
      </w:r>
      <w:r>
        <w:rPr>
          <w:rFonts w:hint="eastAsia" w:ascii="仿宋" w:hAnsi="仿宋" w:eastAsia="仿宋"/>
          <w:sz w:val="32"/>
          <w:szCs w:val="32"/>
        </w:rPr>
        <w:t>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p w14:paraId="7BFE40E4">
      <w:pPr>
        <w:pStyle w:val="7"/>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ascii="Times New Roman" w:eastAsia="宋体"/>
          <w:kern w:val="2"/>
          <w:sz w:val="32"/>
          <w:szCs w:val="32"/>
        </w:rPr>
        <w:t>凉山州科学技术协会</w:t>
      </w:r>
      <w:r>
        <w:rPr>
          <w:rFonts w:hint="eastAsia" w:ascii="仿宋" w:hAnsi="仿宋" w:eastAsia="仿宋"/>
          <w:sz w:val="32"/>
          <w:szCs w:val="32"/>
        </w:rPr>
        <w:t>2023年度部门决算编制范围的二级预算单位包括：</w:t>
      </w:r>
    </w:p>
    <w:p w14:paraId="57AB6AE1">
      <w:pPr>
        <w:ind w:firstLine="640" w:firstLineChars="200"/>
        <w:rPr>
          <w:rFonts w:ascii="仿宋" w:hAnsi="仿宋" w:eastAsia="仿宋"/>
          <w:color w:val="000000"/>
          <w:sz w:val="32"/>
          <w:szCs w:val="32"/>
        </w:rPr>
      </w:pPr>
      <w:bookmarkStart w:id="17" w:name="_Toc15378449"/>
      <w:bookmarkStart w:id="18" w:name="_Toc15377202"/>
      <w:bookmarkStart w:id="19" w:name="_Toc15306276"/>
      <w:bookmarkStart w:id="20" w:name="_Toc15377433"/>
      <w:r>
        <w:rPr>
          <w:rFonts w:hint="eastAsia" w:ascii="仿宋" w:hAnsi="仿宋" w:eastAsia="仿宋"/>
          <w:color w:val="000000"/>
          <w:sz w:val="32"/>
          <w:szCs w:val="32"/>
        </w:rPr>
        <w:t>1.凉山州青少年科技活动中心。</w:t>
      </w:r>
    </w:p>
    <w:bookmarkEnd w:id="17"/>
    <w:bookmarkEnd w:id="18"/>
    <w:bookmarkEnd w:id="19"/>
    <w:bookmarkEnd w:id="20"/>
    <w:p w14:paraId="38E7A69A">
      <w:pPr>
        <w:pStyle w:val="7"/>
        <w:adjustRightInd w:val="0"/>
        <w:snapToGrid w:val="0"/>
        <w:spacing w:before="93" w:line="600" w:lineRule="exact"/>
        <w:ind w:left="672"/>
        <w:outlineLvl w:val="2"/>
        <w:rPr>
          <w:rFonts w:ascii="仿宋" w:hAnsi="仿宋" w:eastAsia="仿宋"/>
          <w:sz w:val="32"/>
          <w:szCs w:val="32"/>
        </w:rPr>
      </w:pPr>
    </w:p>
    <w:p w14:paraId="3C69E53C">
      <w:pPr>
        <w:widowControl/>
        <w:jc w:val="left"/>
        <w:rPr>
          <w:rStyle w:val="31"/>
          <w:rFonts w:hint="eastAsia" w:ascii="黑体" w:hAnsi="黑体" w:eastAsia="黑体"/>
          <w:b w:val="0"/>
          <w:bCs/>
        </w:rPr>
      </w:pPr>
      <w:bookmarkStart w:id="21" w:name="_Toc15377204"/>
      <w:bookmarkStart w:id="22" w:name="_Toc15396602"/>
      <w:r>
        <w:rPr>
          <w:rStyle w:val="31"/>
          <w:rFonts w:hint="eastAsia" w:ascii="黑体" w:hAnsi="黑体" w:eastAsia="黑体"/>
          <w:b w:val="0"/>
          <w:bCs/>
        </w:rPr>
        <w:t>第二部分 2023年度部门决算情况说明</w:t>
      </w:r>
      <w:bookmarkEnd w:id="21"/>
      <w:bookmarkEnd w:id="22"/>
    </w:p>
    <w:p w14:paraId="12E93AB7"/>
    <w:p w14:paraId="34FBD583">
      <w:pPr>
        <w:pStyle w:val="30"/>
        <w:numPr>
          <w:ilvl w:val="0"/>
          <w:numId w:val="2"/>
        </w:numPr>
        <w:spacing w:line="600" w:lineRule="exact"/>
        <w:ind w:firstLineChars="0"/>
        <w:outlineLvl w:val="1"/>
        <w:rPr>
          <w:rStyle w:val="32"/>
          <w:rFonts w:ascii="黑体" w:hAnsi="黑体" w:eastAsia="黑体"/>
          <w:b w:val="0"/>
        </w:rPr>
      </w:pPr>
      <w:bookmarkStart w:id="23" w:name="_Toc15377205"/>
      <w:bookmarkStart w:id="24"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23"/>
      <w:bookmarkEnd w:id="24"/>
    </w:p>
    <w:p w14:paraId="4250E737">
      <w:pPr>
        <w:spacing w:line="600" w:lineRule="exact"/>
        <w:ind w:firstLine="640" w:firstLineChars="200"/>
        <w:jc w:val="left"/>
        <w:rPr>
          <w:rFonts w:ascii="仿宋" w:hAnsi="仿宋" w:eastAsia="仿宋_GB2312"/>
          <w:sz w:val="32"/>
          <w:szCs w:val="32"/>
        </w:rPr>
      </w:pPr>
      <w:r>
        <w:rPr>
          <w:rFonts w:hint="eastAsia" w:ascii="仿宋" w:hAnsi="仿宋" w:eastAsia="仿宋"/>
          <w:sz w:val="32"/>
          <w:szCs w:val="32"/>
        </w:rPr>
        <w:t>2023年度收、支总计均为</w:t>
      </w:r>
      <w:r>
        <w:rPr>
          <w:rFonts w:hint="eastAsia"/>
          <w:sz w:val="32"/>
          <w:szCs w:val="32"/>
        </w:rPr>
        <w:t>874.05</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与2022年度相比，收、支总计各减少3.42万元，下降4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s="仿宋_GB2312"/>
          <w:sz w:val="32"/>
          <w:szCs w:val="32"/>
        </w:rPr>
        <w:t>总体减少科普项目资金拨入所致。</w:t>
      </w:r>
    </w:p>
    <w:p w14:paraId="07A9E47F">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3F5FFDF">
      <w:pPr>
        <w:spacing w:line="600" w:lineRule="exact"/>
        <w:ind w:firstLine="420" w:firstLineChars="200"/>
        <w:jc w:val="left"/>
        <w:rPr>
          <w:rFonts w:ascii="仿宋_GB2312" w:eastAsia="仿宋_GB2312"/>
          <w:sz w:val="32"/>
          <w:szCs w:val="32"/>
        </w:rPr>
      </w:pPr>
      <w:r>
        <w:rPr>
          <w:rFonts w:hint="eastAsia"/>
          <w:lang w:val="en-US" w:eastAsia="zh-CN"/>
        </w:rPr>
        <w:drawing>
          <wp:anchor distT="0" distB="0" distL="114300" distR="114300" simplePos="0" relativeHeight="251660288" behindDoc="0" locked="0" layoutInCell="1" allowOverlap="1">
            <wp:simplePos x="0" y="0"/>
            <wp:positionH relativeFrom="column">
              <wp:posOffset>163830</wp:posOffset>
            </wp:positionH>
            <wp:positionV relativeFrom="paragraph">
              <wp:posOffset>79375</wp:posOffset>
            </wp:positionV>
            <wp:extent cx="4884420" cy="2800350"/>
            <wp:effectExtent l="4445" t="4445" r="698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6FFCE4E">
      <w:pPr>
        <w:spacing w:line="600" w:lineRule="exact"/>
        <w:ind w:firstLine="640" w:firstLineChars="200"/>
        <w:jc w:val="left"/>
        <w:rPr>
          <w:rFonts w:ascii="仿宋_GB2312" w:eastAsia="仿宋_GB2312"/>
          <w:sz w:val="32"/>
          <w:szCs w:val="32"/>
        </w:rPr>
      </w:pPr>
    </w:p>
    <w:p w14:paraId="10C9DD69">
      <w:pPr>
        <w:spacing w:line="600" w:lineRule="exact"/>
        <w:ind w:firstLine="640" w:firstLineChars="200"/>
        <w:jc w:val="left"/>
        <w:rPr>
          <w:rFonts w:ascii="仿宋_GB2312" w:eastAsia="仿宋_GB2312"/>
          <w:sz w:val="32"/>
          <w:szCs w:val="32"/>
        </w:rPr>
      </w:pPr>
    </w:p>
    <w:p w14:paraId="7ED3B12C">
      <w:pPr>
        <w:spacing w:line="600" w:lineRule="exact"/>
        <w:ind w:firstLine="640" w:firstLineChars="200"/>
        <w:jc w:val="left"/>
        <w:rPr>
          <w:rFonts w:ascii="仿宋_GB2312" w:eastAsia="仿宋_GB2312"/>
          <w:sz w:val="32"/>
          <w:szCs w:val="32"/>
        </w:rPr>
      </w:pPr>
    </w:p>
    <w:p w14:paraId="1618B799">
      <w:pPr>
        <w:spacing w:line="600" w:lineRule="exact"/>
        <w:ind w:firstLine="640" w:firstLineChars="200"/>
        <w:jc w:val="left"/>
        <w:rPr>
          <w:rFonts w:ascii="仿宋_GB2312" w:eastAsia="仿宋_GB2312"/>
          <w:sz w:val="32"/>
          <w:szCs w:val="32"/>
        </w:rPr>
      </w:pPr>
    </w:p>
    <w:p w14:paraId="34BC24C2">
      <w:pPr>
        <w:pStyle w:val="30"/>
        <w:numPr>
          <w:ilvl w:val="0"/>
          <w:numId w:val="0"/>
        </w:numPr>
        <w:spacing w:line="600" w:lineRule="exact"/>
        <w:ind w:left="640" w:leftChars="0"/>
        <w:outlineLvl w:val="1"/>
        <w:rPr>
          <w:rFonts w:hint="eastAsia" w:ascii="黑体" w:hAnsi="黑体" w:eastAsia="黑体"/>
          <w:sz w:val="32"/>
          <w:szCs w:val="32"/>
        </w:rPr>
      </w:pPr>
      <w:bookmarkStart w:id="25" w:name="_Toc15377206"/>
      <w:bookmarkStart w:id="26" w:name="_Toc15396604"/>
    </w:p>
    <w:p w14:paraId="3350151E">
      <w:pPr>
        <w:pStyle w:val="30"/>
        <w:numPr>
          <w:ilvl w:val="0"/>
          <w:numId w:val="0"/>
        </w:numPr>
        <w:spacing w:line="600" w:lineRule="exact"/>
        <w:ind w:left="640" w:leftChars="0"/>
        <w:outlineLvl w:val="1"/>
        <w:rPr>
          <w:rFonts w:hint="eastAsia" w:ascii="黑体" w:hAnsi="黑体" w:eastAsia="黑体"/>
          <w:sz w:val="32"/>
          <w:szCs w:val="32"/>
        </w:rPr>
      </w:pPr>
    </w:p>
    <w:p w14:paraId="24B937AB">
      <w:pPr>
        <w:pStyle w:val="30"/>
        <w:numPr>
          <w:ilvl w:val="0"/>
          <w:numId w:val="0"/>
        </w:numPr>
        <w:spacing w:line="600" w:lineRule="exact"/>
        <w:ind w:left="640" w:leftChars="0"/>
        <w:outlineLvl w:val="1"/>
        <w:rPr>
          <w:rFonts w:hint="eastAsia" w:ascii="黑体" w:hAnsi="黑体" w:eastAsia="黑体"/>
          <w:sz w:val="32"/>
          <w:szCs w:val="32"/>
        </w:rPr>
      </w:pPr>
    </w:p>
    <w:p w14:paraId="5CE80D52">
      <w:pPr>
        <w:pStyle w:val="30"/>
        <w:numPr>
          <w:ilvl w:val="0"/>
          <w:numId w:val="0"/>
        </w:numPr>
        <w:spacing w:line="600" w:lineRule="exact"/>
        <w:ind w:left="640" w:leftChars="0"/>
        <w:outlineLvl w:val="1"/>
        <w:rPr>
          <w:rStyle w:val="32"/>
          <w:rFonts w:ascii="黑体" w:hAnsi="黑体" w:eastAsia="黑体"/>
          <w:b w:val="0"/>
        </w:rPr>
      </w:pPr>
      <w:r>
        <w:rPr>
          <w:rFonts w:hint="eastAsia" w:ascii="黑体" w:hAnsi="黑体" w:eastAsia="黑体"/>
          <w:sz w:val="32"/>
          <w:szCs w:val="32"/>
          <w:lang w:eastAsia="zh-CN"/>
        </w:rPr>
        <w:t>二、</w:t>
      </w:r>
      <w:r>
        <w:rPr>
          <w:rFonts w:hint="eastAsia" w:ascii="黑体" w:hAnsi="黑体" w:eastAsia="黑体"/>
          <w:sz w:val="32"/>
          <w:szCs w:val="32"/>
        </w:rPr>
        <w:t>收</w:t>
      </w:r>
      <w:r>
        <w:rPr>
          <w:rStyle w:val="32"/>
          <w:rFonts w:hint="eastAsia" w:ascii="黑体" w:hAnsi="黑体" w:eastAsia="黑体"/>
          <w:b w:val="0"/>
        </w:rPr>
        <w:t>入决算情况说明</w:t>
      </w:r>
      <w:bookmarkEnd w:id="25"/>
      <w:bookmarkEnd w:id="26"/>
    </w:p>
    <w:p w14:paraId="0B05E9B1">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874.05</w:t>
      </w:r>
      <w:r>
        <w:rPr>
          <w:rFonts w:hint="eastAsia" w:ascii="仿宋" w:hAnsi="仿宋" w:eastAsia="仿宋"/>
          <w:sz w:val="32"/>
          <w:szCs w:val="32"/>
        </w:rPr>
        <w:t>万元，其中：一般公共预算财政拨款收入</w:t>
      </w:r>
      <w:r>
        <w:rPr>
          <w:sz w:val="32"/>
          <w:szCs w:val="32"/>
        </w:rPr>
        <w:t>874.05</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0A5618EF">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14:paraId="6FDDBC99">
      <w:pPr>
        <w:spacing w:line="600" w:lineRule="exact"/>
        <w:ind w:firstLine="1280" w:firstLineChars="400"/>
        <w:rPr>
          <w:rFonts w:ascii="仿宋" w:hAnsi="仿宋" w:eastAsia="仿宋"/>
          <w:sz w:val="32"/>
          <w:szCs w:val="32"/>
        </w:rPr>
      </w:pPr>
      <w:r>
        <w:rPr>
          <w:rFonts w:hint="eastAsia" w:ascii="仿宋" w:hAnsi="仿宋" w:eastAsia="仿宋"/>
          <w:sz w:val="32"/>
          <w:szCs w:val="32"/>
        </w:rPr>
        <w:t>（图2：收入决算结构图）（饼状图）</w:t>
      </w:r>
    </w:p>
    <w:p w14:paraId="3763CC3F">
      <w:pPr>
        <w:spacing w:line="600" w:lineRule="exact"/>
        <w:ind w:firstLine="420" w:firstLineChars="200"/>
        <w:rPr>
          <w:rFonts w:ascii="仿宋_GB2312" w:eastAsia="仿宋_GB2312"/>
          <w:sz w:val="32"/>
          <w:szCs w:val="32"/>
        </w:rPr>
      </w:pPr>
      <w:r>
        <w:drawing>
          <wp:anchor distT="0" distB="0" distL="114300" distR="114300" simplePos="0" relativeHeight="251661312" behindDoc="0" locked="0" layoutInCell="1" allowOverlap="1">
            <wp:simplePos x="0" y="0"/>
            <wp:positionH relativeFrom="column">
              <wp:posOffset>-283210</wp:posOffset>
            </wp:positionH>
            <wp:positionV relativeFrom="paragraph">
              <wp:posOffset>185420</wp:posOffset>
            </wp:positionV>
            <wp:extent cx="5642610" cy="3164205"/>
            <wp:effectExtent l="4445" t="4445" r="10795" b="1270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1C8B9DA">
      <w:pPr>
        <w:spacing w:line="600" w:lineRule="exact"/>
        <w:ind w:firstLine="640" w:firstLineChars="200"/>
        <w:rPr>
          <w:rFonts w:ascii="仿宋_GB2312" w:eastAsia="仿宋_GB2312"/>
          <w:sz w:val="32"/>
          <w:szCs w:val="32"/>
        </w:rPr>
      </w:pPr>
    </w:p>
    <w:p w14:paraId="5B8693C3">
      <w:pPr>
        <w:spacing w:line="600" w:lineRule="exact"/>
        <w:ind w:firstLine="640" w:firstLineChars="200"/>
        <w:rPr>
          <w:rFonts w:ascii="仿宋_GB2312" w:eastAsia="仿宋_GB2312"/>
          <w:sz w:val="32"/>
          <w:szCs w:val="32"/>
        </w:rPr>
      </w:pPr>
    </w:p>
    <w:p w14:paraId="71BA8EE0">
      <w:pPr>
        <w:spacing w:line="600" w:lineRule="exact"/>
        <w:ind w:firstLine="640" w:firstLineChars="200"/>
        <w:rPr>
          <w:rFonts w:ascii="仿宋_GB2312" w:eastAsia="仿宋_GB2312"/>
          <w:sz w:val="32"/>
          <w:szCs w:val="32"/>
        </w:rPr>
      </w:pPr>
    </w:p>
    <w:p w14:paraId="437F82CC">
      <w:pPr>
        <w:spacing w:line="600" w:lineRule="exact"/>
        <w:ind w:firstLine="640" w:firstLineChars="200"/>
        <w:rPr>
          <w:rFonts w:ascii="仿宋_GB2312" w:eastAsia="仿宋_GB2312"/>
          <w:sz w:val="32"/>
          <w:szCs w:val="32"/>
        </w:rPr>
      </w:pPr>
    </w:p>
    <w:p w14:paraId="3DDD4238">
      <w:pPr>
        <w:spacing w:line="600" w:lineRule="exact"/>
        <w:ind w:firstLine="640" w:firstLineChars="200"/>
        <w:rPr>
          <w:rFonts w:ascii="仿宋_GB2312" w:eastAsia="仿宋_GB2312"/>
          <w:sz w:val="32"/>
          <w:szCs w:val="32"/>
        </w:rPr>
      </w:pPr>
    </w:p>
    <w:p w14:paraId="1C65F1BE">
      <w:pPr>
        <w:spacing w:line="600" w:lineRule="exact"/>
        <w:ind w:firstLine="640" w:firstLineChars="200"/>
        <w:rPr>
          <w:rFonts w:ascii="仿宋_GB2312" w:eastAsia="仿宋_GB2312"/>
          <w:sz w:val="32"/>
          <w:szCs w:val="32"/>
        </w:rPr>
      </w:pPr>
    </w:p>
    <w:p w14:paraId="66B5A6D6">
      <w:pPr>
        <w:pStyle w:val="30"/>
        <w:numPr>
          <w:ilvl w:val="0"/>
          <w:numId w:val="0"/>
        </w:numPr>
        <w:spacing w:line="600" w:lineRule="exact"/>
        <w:ind w:firstLine="640" w:firstLineChars="200"/>
        <w:outlineLvl w:val="1"/>
        <w:rPr>
          <w:rFonts w:hint="eastAsia" w:ascii="黑体" w:hAnsi="黑体" w:eastAsia="黑体"/>
          <w:sz w:val="32"/>
          <w:szCs w:val="32"/>
          <w:lang w:eastAsia="zh-CN"/>
        </w:rPr>
      </w:pPr>
      <w:bookmarkStart w:id="27" w:name="_Toc15377207"/>
      <w:bookmarkStart w:id="28" w:name="_Toc15396605"/>
    </w:p>
    <w:p w14:paraId="1F877A0E">
      <w:pPr>
        <w:pStyle w:val="30"/>
        <w:numPr>
          <w:ilvl w:val="0"/>
          <w:numId w:val="0"/>
        </w:numPr>
        <w:spacing w:line="600" w:lineRule="exact"/>
        <w:ind w:firstLine="640" w:firstLineChars="200"/>
        <w:outlineLvl w:val="1"/>
        <w:rPr>
          <w:rFonts w:hint="eastAsia" w:ascii="黑体" w:hAnsi="黑体" w:eastAsia="黑体"/>
          <w:sz w:val="32"/>
          <w:szCs w:val="32"/>
          <w:lang w:eastAsia="zh-CN"/>
        </w:rPr>
      </w:pPr>
    </w:p>
    <w:p w14:paraId="0A1F9062">
      <w:pPr>
        <w:pStyle w:val="30"/>
        <w:numPr>
          <w:ilvl w:val="0"/>
          <w:numId w:val="0"/>
        </w:numPr>
        <w:spacing w:line="600" w:lineRule="exact"/>
        <w:ind w:firstLine="640" w:firstLineChars="200"/>
        <w:outlineLvl w:val="1"/>
        <w:rPr>
          <w:rStyle w:val="32"/>
          <w:rFonts w:ascii="黑体" w:hAnsi="黑体" w:eastAsia="黑体"/>
          <w:b w:val="0"/>
        </w:rPr>
      </w:pPr>
      <w:r>
        <w:rPr>
          <w:rFonts w:hint="eastAsia" w:ascii="黑体" w:hAnsi="黑体" w:eastAsia="黑体"/>
          <w:sz w:val="32"/>
          <w:szCs w:val="32"/>
          <w:lang w:eastAsia="zh-CN"/>
        </w:rPr>
        <w:t>三、</w:t>
      </w:r>
      <w:r>
        <w:rPr>
          <w:rFonts w:hint="eastAsia" w:ascii="黑体" w:hAnsi="黑体" w:eastAsia="黑体"/>
          <w:sz w:val="32"/>
          <w:szCs w:val="32"/>
        </w:rPr>
        <w:t>支</w:t>
      </w:r>
      <w:r>
        <w:rPr>
          <w:rStyle w:val="32"/>
          <w:rFonts w:hint="eastAsia" w:ascii="黑体" w:hAnsi="黑体" w:eastAsia="黑体"/>
          <w:b w:val="0"/>
        </w:rPr>
        <w:t>出决算情况说明</w:t>
      </w:r>
      <w:bookmarkEnd w:id="27"/>
      <w:bookmarkEnd w:id="28"/>
    </w:p>
    <w:p w14:paraId="709E88E9">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874.05</w:t>
      </w:r>
      <w:r>
        <w:rPr>
          <w:rFonts w:hint="eastAsia" w:ascii="仿宋" w:hAnsi="仿宋" w:eastAsia="仿宋"/>
          <w:sz w:val="32"/>
          <w:szCs w:val="32"/>
        </w:rPr>
        <w:t>万元，其中：基本支出</w:t>
      </w:r>
      <w:r>
        <w:rPr>
          <w:sz w:val="32"/>
          <w:szCs w:val="32"/>
        </w:rPr>
        <w:t>468.99</w:t>
      </w:r>
      <w:r>
        <w:rPr>
          <w:rFonts w:hint="eastAsia" w:ascii="仿宋" w:hAnsi="仿宋" w:eastAsia="仿宋"/>
          <w:sz w:val="32"/>
          <w:szCs w:val="32"/>
        </w:rPr>
        <w:t>万元，占</w:t>
      </w:r>
      <w:r>
        <w:rPr>
          <w:sz w:val="32"/>
          <w:szCs w:val="32"/>
        </w:rPr>
        <w:t>53.65</w:t>
      </w:r>
      <w:r>
        <w:rPr>
          <w:rFonts w:ascii="仿宋" w:hAnsi="仿宋" w:eastAsia="仿宋"/>
          <w:sz w:val="32"/>
          <w:szCs w:val="32"/>
        </w:rPr>
        <w:t>%</w:t>
      </w:r>
      <w:r>
        <w:rPr>
          <w:rFonts w:hint="eastAsia" w:ascii="仿宋" w:hAnsi="仿宋" w:eastAsia="仿宋"/>
          <w:sz w:val="32"/>
          <w:szCs w:val="32"/>
        </w:rPr>
        <w:t>；项目支出</w:t>
      </w:r>
      <w:r>
        <w:rPr>
          <w:sz w:val="32"/>
          <w:szCs w:val="32"/>
        </w:rPr>
        <w:t>405.06</w:t>
      </w:r>
      <w:r>
        <w:rPr>
          <w:rFonts w:hint="eastAsia" w:ascii="仿宋" w:hAnsi="仿宋" w:eastAsia="仿宋"/>
          <w:sz w:val="32"/>
          <w:szCs w:val="32"/>
        </w:rPr>
        <w:t>万元，占</w:t>
      </w:r>
      <w:r>
        <w:rPr>
          <w:sz w:val="32"/>
          <w:szCs w:val="32"/>
        </w:rPr>
        <w:t>46.34</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36BB8B85">
      <w:pPr>
        <w:spacing w:line="600" w:lineRule="exact"/>
        <w:outlineLvl w:val="1"/>
        <w:rPr>
          <w:rFonts w:ascii="仿宋" w:hAnsi="仿宋" w:eastAsia="仿宋"/>
          <w:sz w:val="32"/>
          <w:szCs w:val="32"/>
        </w:rPr>
      </w:pPr>
      <w:r>
        <w:rPr>
          <w:rFonts w:hint="eastAsia" w:ascii="仿宋" w:hAnsi="仿宋" w:eastAsia="仿宋"/>
          <w:b/>
          <w:sz w:val="32"/>
          <w:szCs w:val="32"/>
          <w:lang w:val="en-US" w:eastAsia="zh-CN"/>
        </w:rPr>
        <w:t xml:space="preserve">    </w:t>
      </w:r>
      <w:r>
        <w:rPr>
          <w:rFonts w:hint="eastAsia" w:ascii="仿宋" w:hAnsi="仿宋" w:eastAsia="仿宋"/>
          <w:sz w:val="32"/>
          <w:szCs w:val="32"/>
        </w:rPr>
        <w:t>（图3：支出决算结构图）（饼状图）</w:t>
      </w:r>
    </w:p>
    <w:p w14:paraId="62F32394">
      <w:pPr>
        <w:spacing w:line="600" w:lineRule="exact"/>
        <w:ind w:firstLine="640" w:firstLineChars="200"/>
        <w:rPr>
          <w:rFonts w:ascii="仿宋_GB2312" w:eastAsia="仿宋_GB2312"/>
          <w:sz w:val="32"/>
          <w:szCs w:val="32"/>
        </w:rPr>
      </w:pPr>
    </w:p>
    <w:p w14:paraId="02944D7B">
      <w:pPr>
        <w:spacing w:line="600" w:lineRule="exact"/>
        <w:ind w:firstLine="420" w:firstLineChars="200"/>
        <w:rPr>
          <w:rFonts w:ascii="仿宋_GB2312" w:eastAsia="仿宋_GB2312"/>
          <w:sz w:val="32"/>
          <w:szCs w:val="32"/>
        </w:rPr>
      </w:pPr>
      <w:r>
        <w:rPr>
          <w:rFonts w:hint="eastAsia"/>
          <w:lang w:val="en-US" w:eastAsia="zh-CN"/>
        </w:rPr>
        <w:drawing>
          <wp:anchor distT="0" distB="0" distL="114300" distR="114300" simplePos="0" relativeHeight="251662336" behindDoc="0" locked="0" layoutInCell="1" allowOverlap="1">
            <wp:simplePos x="0" y="0"/>
            <wp:positionH relativeFrom="column">
              <wp:posOffset>387350</wp:posOffset>
            </wp:positionH>
            <wp:positionV relativeFrom="paragraph">
              <wp:posOffset>115570</wp:posOffset>
            </wp:positionV>
            <wp:extent cx="4617720" cy="2698750"/>
            <wp:effectExtent l="4445" t="4445" r="6985" b="2095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E4A937F">
      <w:pPr>
        <w:spacing w:line="600" w:lineRule="exact"/>
        <w:ind w:firstLine="640" w:firstLineChars="200"/>
        <w:rPr>
          <w:rFonts w:ascii="仿宋_GB2312" w:eastAsia="仿宋_GB2312"/>
          <w:sz w:val="32"/>
          <w:szCs w:val="32"/>
        </w:rPr>
      </w:pPr>
    </w:p>
    <w:p w14:paraId="3AFDC7B6">
      <w:pPr>
        <w:spacing w:line="600" w:lineRule="exact"/>
        <w:ind w:firstLine="640" w:firstLineChars="200"/>
        <w:outlineLvl w:val="1"/>
        <w:rPr>
          <w:rFonts w:hint="eastAsia" w:ascii="黑体" w:hAnsi="黑体" w:eastAsia="黑体"/>
          <w:sz w:val="32"/>
          <w:szCs w:val="32"/>
        </w:rPr>
      </w:pPr>
      <w:bookmarkStart w:id="29" w:name="_Toc15396606"/>
      <w:bookmarkStart w:id="30" w:name="_Toc15377208"/>
    </w:p>
    <w:p w14:paraId="7ADA6159">
      <w:pPr>
        <w:spacing w:line="600" w:lineRule="exact"/>
        <w:ind w:firstLine="640" w:firstLineChars="200"/>
        <w:outlineLvl w:val="1"/>
        <w:rPr>
          <w:rFonts w:hint="eastAsia" w:ascii="黑体" w:hAnsi="黑体" w:eastAsia="黑体"/>
          <w:sz w:val="32"/>
          <w:szCs w:val="32"/>
        </w:rPr>
      </w:pPr>
    </w:p>
    <w:p w14:paraId="1218585B">
      <w:pPr>
        <w:spacing w:line="600" w:lineRule="exact"/>
        <w:ind w:firstLine="640" w:firstLineChars="200"/>
        <w:outlineLvl w:val="1"/>
        <w:rPr>
          <w:rFonts w:hint="eastAsia" w:ascii="黑体" w:hAnsi="黑体" w:eastAsia="黑体"/>
          <w:sz w:val="32"/>
          <w:szCs w:val="32"/>
        </w:rPr>
      </w:pPr>
    </w:p>
    <w:p w14:paraId="656613DE">
      <w:pPr>
        <w:spacing w:line="600" w:lineRule="exact"/>
        <w:ind w:firstLine="640" w:firstLineChars="200"/>
        <w:outlineLvl w:val="1"/>
        <w:rPr>
          <w:rFonts w:hint="eastAsia" w:ascii="黑体" w:hAnsi="黑体" w:eastAsia="黑体"/>
          <w:sz w:val="32"/>
          <w:szCs w:val="32"/>
        </w:rPr>
      </w:pPr>
    </w:p>
    <w:p w14:paraId="1F0BA803">
      <w:pPr>
        <w:spacing w:line="600" w:lineRule="exact"/>
        <w:ind w:firstLine="640" w:firstLineChars="200"/>
        <w:outlineLvl w:val="1"/>
        <w:rPr>
          <w:rFonts w:hint="eastAsia" w:ascii="黑体" w:hAnsi="黑体" w:eastAsia="黑体"/>
          <w:sz w:val="32"/>
          <w:szCs w:val="32"/>
        </w:rPr>
      </w:pPr>
    </w:p>
    <w:p w14:paraId="11E57A63">
      <w:pPr>
        <w:spacing w:line="600" w:lineRule="exact"/>
        <w:ind w:firstLine="640" w:firstLineChars="200"/>
        <w:outlineLvl w:val="1"/>
        <w:rPr>
          <w:rFonts w:hint="eastAsia" w:ascii="黑体" w:hAnsi="黑体" w:eastAsia="黑体"/>
          <w:sz w:val="32"/>
          <w:szCs w:val="32"/>
        </w:rPr>
      </w:pPr>
    </w:p>
    <w:p w14:paraId="707E6DC7">
      <w:pPr>
        <w:spacing w:line="600" w:lineRule="exact"/>
        <w:ind w:firstLine="640" w:firstLineChars="200"/>
        <w:outlineLvl w:val="1"/>
        <w:rPr>
          <w:rStyle w:val="32"/>
          <w:rFonts w:ascii="黑体" w:hAnsi="黑体" w:eastAsia="黑体"/>
          <w:b w:val="0"/>
        </w:rPr>
      </w:pPr>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29"/>
      <w:bookmarkEnd w:id="30"/>
    </w:p>
    <w:p w14:paraId="33BE594C">
      <w:pPr>
        <w:spacing w:line="600" w:lineRule="exact"/>
        <w:ind w:firstLine="640" w:firstLineChars="200"/>
        <w:jc w:val="left"/>
        <w:rPr>
          <w:rFonts w:ascii="仿宋" w:hAnsi="仿宋" w:eastAsia="仿宋_GB2312"/>
          <w:sz w:val="32"/>
          <w:szCs w:val="32"/>
        </w:rPr>
      </w:pPr>
      <w:r>
        <w:rPr>
          <w:rFonts w:hint="eastAsia" w:ascii="仿宋" w:hAnsi="仿宋" w:eastAsia="仿宋"/>
          <w:sz w:val="32"/>
          <w:szCs w:val="32"/>
        </w:rPr>
        <w:t>2023年度财政拨款收、支总计均为</w:t>
      </w:r>
      <w:r>
        <w:rPr>
          <w:sz w:val="32"/>
          <w:szCs w:val="32"/>
        </w:rPr>
        <w:t>874.05</w:t>
      </w:r>
      <w:r>
        <w:rPr>
          <w:rFonts w:hint="eastAsia" w:ascii="仿宋" w:hAnsi="仿宋" w:eastAsia="仿宋"/>
          <w:sz w:val="32"/>
          <w:szCs w:val="32"/>
        </w:rPr>
        <w:t>万元。与2022年度相比，财政拨款收、支总计各3.42万元，下降4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s="仿宋_GB2312"/>
          <w:sz w:val="32"/>
          <w:szCs w:val="32"/>
        </w:rPr>
        <w:t>总体减少科普项目资金拨入所致。</w:t>
      </w:r>
    </w:p>
    <w:p w14:paraId="37DF9897">
      <w:pPr>
        <w:spacing w:line="600" w:lineRule="exact"/>
        <w:ind w:firstLine="640"/>
        <w:rPr>
          <w:rFonts w:ascii="仿宋" w:hAnsi="仿宋" w:eastAsia="仿宋"/>
          <w:sz w:val="32"/>
          <w:szCs w:val="32"/>
        </w:rPr>
      </w:pPr>
      <w:r>
        <w:rPr>
          <w:rFonts w:hint="eastAsia" w:ascii="仿宋" w:hAnsi="仿宋" w:eastAsia="仿宋"/>
          <w:sz w:val="32"/>
          <w:szCs w:val="32"/>
        </w:rPr>
        <w:t>（图4：财政拨款收、支决算总计变动情况）（柱状图）</w:t>
      </w:r>
    </w:p>
    <w:p w14:paraId="5068FF5B">
      <w:pPr>
        <w:spacing w:line="600" w:lineRule="exact"/>
        <w:ind w:firstLine="640"/>
        <w:rPr>
          <w:rFonts w:ascii="仿宋" w:hAnsi="仿宋" w:eastAsia="仿宋"/>
          <w:b/>
          <w:sz w:val="32"/>
          <w:szCs w:val="32"/>
        </w:rPr>
      </w:pPr>
      <w:r>
        <w:rPr>
          <w:rFonts w:hint="eastAsia"/>
          <w:lang w:val="en-US" w:eastAsia="zh-CN"/>
        </w:rPr>
        <w:drawing>
          <wp:anchor distT="0" distB="0" distL="114300" distR="114300" simplePos="0" relativeHeight="251663360" behindDoc="0" locked="0" layoutInCell="1" allowOverlap="1">
            <wp:simplePos x="0" y="0"/>
            <wp:positionH relativeFrom="column">
              <wp:posOffset>199390</wp:posOffset>
            </wp:positionH>
            <wp:positionV relativeFrom="paragraph">
              <wp:posOffset>213360</wp:posOffset>
            </wp:positionV>
            <wp:extent cx="4910455" cy="2746375"/>
            <wp:effectExtent l="4445" t="4445" r="19050" b="1143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762534D">
      <w:pPr>
        <w:spacing w:line="600" w:lineRule="exact"/>
        <w:ind w:firstLine="640" w:firstLineChars="200"/>
        <w:outlineLvl w:val="1"/>
        <w:rPr>
          <w:rFonts w:hint="eastAsia" w:ascii="黑体" w:hAnsi="黑体" w:eastAsia="黑体"/>
          <w:sz w:val="32"/>
          <w:szCs w:val="32"/>
        </w:rPr>
      </w:pPr>
      <w:bookmarkStart w:id="31" w:name="_Toc15396607"/>
      <w:bookmarkStart w:id="32" w:name="_Toc15377209"/>
    </w:p>
    <w:p w14:paraId="75FA4F21">
      <w:pPr>
        <w:spacing w:line="600" w:lineRule="exact"/>
        <w:ind w:firstLine="640" w:firstLineChars="200"/>
        <w:outlineLvl w:val="1"/>
        <w:rPr>
          <w:rFonts w:hint="eastAsia" w:ascii="黑体" w:hAnsi="黑体" w:eastAsia="黑体"/>
          <w:sz w:val="32"/>
          <w:szCs w:val="32"/>
        </w:rPr>
      </w:pPr>
    </w:p>
    <w:p w14:paraId="5D9E011A">
      <w:pPr>
        <w:spacing w:line="600" w:lineRule="exact"/>
        <w:ind w:firstLine="640" w:firstLineChars="200"/>
        <w:outlineLvl w:val="1"/>
        <w:rPr>
          <w:rFonts w:hint="eastAsia" w:ascii="黑体" w:hAnsi="黑体" w:eastAsia="黑体"/>
          <w:sz w:val="32"/>
          <w:szCs w:val="32"/>
        </w:rPr>
      </w:pPr>
    </w:p>
    <w:p w14:paraId="7758D918">
      <w:pPr>
        <w:spacing w:line="600" w:lineRule="exact"/>
        <w:ind w:firstLine="640" w:firstLineChars="200"/>
        <w:outlineLvl w:val="1"/>
        <w:rPr>
          <w:rFonts w:hint="eastAsia" w:ascii="黑体" w:hAnsi="黑体" w:eastAsia="黑体"/>
          <w:sz w:val="32"/>
          <w:szCs w:val="32"/>
        </w:rPr>
      </w:pPr>
    </w:p>
    <w:p w14:paraId="5CFE70CF">
      <w:pPr>
        <w:spacing w:line="600" w:lineRule="exact"/>
        <w:ind w:firstLine="640" w:firstLineChars="200"/>
        <w:outlineLvl w:val="1"/>
        <w:rPr>
          <w:rFonts w:hint="eastAsia" w:ascii="黑体" w:hAnsi="黑体" w:eastAsia="黑体"/>
          <w:sz w:val="32"/>
          <w:szCs w:val="32"/>
        </w:rPr>
      </w:pPr>
    </w:p>
    <w:p w14:paraId="19883120">
      <w:pPr>
        <w:spacing w:line="600" w:lineRule="exact"/>
        <w:ind w:firstLine="640" w:firstLineChars="200"/>
        <w:outlineLvl w:val="1"/>
        <w:rPr>
          <w:rFonts w:hint="eastAsia" w:ascii="黑体" w:hAnsi="黑体" w:eastAsia="黑体"/>
          <w:sz w:val="32"/>
          <w:szCs w:val="32"/>
        </w:rPr>
      </w:pPr>
    </w:p>
    <w:p w14:paraId="7F11EA55">
      <w:pPr>
        <w:spacing w:line="600" w:lineRule="exact"/>
        <w:ind w:firstLine="640" w:firstLineChars="200"/>
        <w:outlineLvl w:val="1"/>
        <w:rPr>
          <w:rFonts w:hint="eastAsia" w:ascii="黑体" w:hAnsi="黑体" w:eastAsia="黑体"/>
          <w:sz w:val="32"/>
          <w:szCs w:val="32"/>
        </w:rPr>
      </w:pPr>
    </w:p>
    <w:p w14:paraId="674C2225">
      <w:pPr>
        <w:spacing w:line="600" w:lineRule="exact"/>
        <w:ind w:firstLine="960" w:firstLineChars="300"/>
        <w:outlineLvl w:val="1"/>
        <w:rPr>
          <w:rStyle w:val="32"/>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31"/>
      <w:bookmarkEnd w:id="32"/>
    </w:p>
    <w:p w14:paraId="3CDDDDFD">
      <w:pPr>
        <w:spacing w:line="600" w:lineRule="exact"/>
        <w:ind w:firstLine="643" w:firstLineChars="200"/>
        <w:outlineLvl w:val="2"/>
        <w:rPr>
          <w:rFonts w:ascii="仿宋" w:hAnsi="仿宋" w:eastAsia="仿宋"/>
          <w:b/>
          <w:sz w:val="32"/>
          <w:szCs w:val="32"/>
        </w:rPr>
      </w:pPr>
      <w:bookmarkStart w:id="33" w:name="_Toc15377210"/>
      <w:r>
        <w:rPr>
          <w:rFonts w:hint="eastAsia" w:ascii="仿宋" w:hAnsi="仿宋" w:eastAsia="仿宋"/>
          <w:b/>
          <w:sz w:val="32"/>
          <w:szCs w:val="32"/>
        </w:rPr>
        <w:t>（一）一般公共预算财政拨款支出决算总体情况</w:t>
      </w:r>
      <w:bookmarkEnd w:id="33"/>
    </w:p>
    <w:p w14:paraId="79B577BE">
      <w:pPr>
        <w:spacing w:line="600" w:lineRule="exact"/>
        <w:ind w:firstLine="640" w:firstLineChars="200"/>
        <w:jc w:val="left"/>
        <w:rPr>
          <w:rFonts w:ascii="仿宋" w:hAnsi="仿宋" w:eastAsia="仿宋_GB2312"/>
          <w:sz w:val="32"/>
          <w:szCs w:val="32"/>
        </w:rPr>
      </w:pPr>
      <w:r>
        <w:rPr>
          <w:rFonts w:hint="eastAsia" w:ascii="仿宋" w:hAnsi="仿宋" w:eastAsia="仿宋"/>
          <w:sz w:val="32"/>
          <w:szCs w:val="32"/>
        </w:rPr>
        <w:t>2023年度一般公共预算财政拨款支出</w:t>
      </w:r>
      <w:r>
        <w:rPr>
          <w:sz w:val="32"/>
          <w:szCs w:val="32"/>
        </w:rPr>
        <w:t>874.05</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。与2022年度相比，一般公共预算财政拨款支出减少3.42万元，下降4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s="仿宋_GB2312"/>
          <w:sz w:val="32"/>
          <w:szCs w:val="32"/>
        </w:rPr>
        <w:t>总体减少科普项目资金拨入所致。</w:t>
      </w:r>
    </w:p>
    <w:p w14:paraId="5C1E6EE2">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677D41DD">
      <w:pPr>
        <w:spacing w:line="600" w:lineRule="exact"/>
        <w:ind w:firstLine="640" w:firstLineChars="200"/>
        <w:rPr>
          <w:rFonts w:ascii="仿宋" w:hAnsi="仿宋" w:eastAsia="仿宋"/>
          <w:sz w:val="32"/>
          <w:szCs w:val="32"/>
        </w:rPr>
      </w:pPr>
    </w:p>
    <w:p w14:paraId="301DB732">
      <w:pPr>
        <w:spacing w:line="600" w:lineRule="exact"/>
        <w:ind w:firstLine="420" w:firstLineChars="200"/>
        <w:outlineLvl w:val="2"/>
        <w:rPr>
          <w:rFonts w:hint="eastAsia" w:ascii="仿宋" w:hAnsi="仿宋" w:eastAsia="仿宋"/>
          <w:b/>
          <w:sz w:val="32"/>
          <w:szCs w:val="32"/>
        </w:rPr>
      </w:pPr>
      <w:bookmarkStart w:id="34" w:name="_Toc15377211"/>
      <w:r>
        <w:rPr>
          <w:rFonts w:hint="eastAsia"/>
          <w:lang w:val="en-US" w:eastAsia="zh-CN"/>
        </w:rPr>
        <w:drawing>
          <wp:anchor distT="0" distB="0" distL="114300" distR="114300" simplePos="0" relativeHeight="251664384" behindDoc="0" locked="0" layoutInCell="1" allowOverlap="1">
            <wp:simplePos x="0" y="0"/>
            <wp:positionH relativeFrom="column">
              <wp:posOffset>24130</wp:posOffset>
            </wp:positionH>
            <wp:positionV relativeFrom="paragraph">
              <wp:posOffset>245110</wp:posOffset>
            </wp:positionV>
            <wp:extent cx="5196205" cy="2866390"/>
            <wp:effectExtent l="4445" t="4445" r="19050" b="571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32B4945">
      <w:pPr>
        <w:spacing w:line="600" w:lineRule="exact"/>
        <w:ind w:firstLine="643" w:firstLineChars="200"/>
        <w:outlineLvl w:val="2"/>
        <w:rPr>
          <w:rFonts w:hint="eastAsia" w:ascii="仿宋" w:hAnsi="仿宋" w:eastAsia="仿宋"/>
          <w:b/>
          <w:sz w:val="32"/>
          <w:szCs w:val="32"/>
        </w:rPr>
      </w:pPr>
    </w:p>
    <w:p w14:paraId="63F50F10">
      <w:pPr>
        <w:spacing w:line="600" w:lineRule="exact"/>
        <w:ind w:firstLine="643" w:firstLineChars="200"/>
        <w:outlineLvl w:val="2"/>
        <w:rPr>
          <w:rFonts w:hint="eastAsia" w:ascii="仿宋" w:hAnsi="仿宋" w:eastAsia="仿宋"/>
          <w:b/>
          <w:sz w:val="32"/>
          <w:szCs w:val="32"/>
        </w:rPr>
      </w:pPr>
    </w:p>
    <w:p w14:paraId="12B50BBC">
      <w:pPr>
        <w:spacing w:line="600" w:lineRule="exact"/>
        <w:ind w:firstLine="643" w:firstLineChars="200"/>
        <w:outlineLvl w:val="2"/>
        <w:rPr>
          <w:rFonts w:hint="eastAsia" w:ascii="仿宋" w:hAnsi="仿宋" w:eastAsia="仿宋"/>
          <w:b/>
          <w:sz w:val="32"/>
          <w:szCs w:val="32"/>
        </w:rPr>
      </w:pPr>
    </w:p>
    <w:p w14:paraId="335ED254">
      <w:pPr>
        <w:spacing w:line="600" w:lineRule="exact"/>
        <w:ind w:firstLine="643" w:firstLineChars="200"/>
        <w:outlineLvl w:val="2"/>
        <w:rPr>
          <w:rFonts w:hint="eastAsia" w:ascii="仿宋" w:hAnsi="仿宋" w:eastAsia="仿宋"/>
          <w:b/>
          <w:sz w:val="32"/>
          <w:szCs w:val="32"/>
        </w:rPr>
      </w:pPr>
    </w:p>
    <w:p w14:paraId="5E8BA5EE">
      <w:pPr>
        <w:spacing w:line="600" w:lineRule="exact"/>
        <w:ind w:firstLine="643" w:firstLineChars="200"/>
        <w:outlineLvl w:val="2"/>
        <w:rPr>
          <w:rFonts w:hint="eastAsia" w:ascii="仿宋" w:hAnsi="仿宋" w:eastAsia="仿宋"/>
          <w:b/>
          <w:sz w:val="32"/>
          <w:szCs w:val="32"/>
        </w:rPr>
      </w:pPr>
    </w:p>
    <w:p w14:paraId="73A55655">
      <w:pPr>
        <w:spacing w:line="600" w:lineRule="exact"/>
        <w:ind w:firstLine="643" w:firstLineChars="200"/>
        <w:outlineLvl w:val="2"/>
        <w:rPr>
          <w:rFonts w:hint="eastAsia" w:ascii="仿宋" w:hAnsi="仿宋" w:eastAsia="仿宋"/>
          <w:b/>
          <w:sz w:val="32"/>
          <w:szCs w:val="32"/>
        </w:rPr>
      </w:pPr>
    </w:p>
    <w:p w14:paraId="370BF734">
      <w:pPr>
        <w:spacing w:line="600" w:lineRule="exact"/>
        <w:ind w:firstLine="643" w:firstLineChars="200"/>
        <w:outlineLvl w:val="2"/>
        <w:rPr>
          <w:rFonts w:hint="eastAsia" w:ascii="仿宋" w:hAnsi="仿宋" w:eastAsia="仿宋"/>
          <w:b/>
          <w:sz w:val="32"/>
          <w:szCs w:val="32"/>
        </w:rPr>
      </w:pPr>
    </w:p>
    <w:p w14:paraId="1DD47930">
      <w:pPr>
        <w:spacing w:line="600" w:lineRule="exact"/>
        <w:ind w:firstLine="643" w:firstLineChars="200"/>
        <w:outlineLvl w:val="2"/>
        <w:rPr>
          <w:rFonts w:hint="eastAsia" w:ascii="仿宋" w:hAnsi="仿宋" w:eastAsia="仿宋"/>
          <w:b/>
          <w:sz w:val="32"/>
          <w:szCs w:val="32"/>
        </w:rPr>
      </w:pPr>
    </w:p>
    <w:p w14:paraId="68A86474">
      <w:pPr>
        <w:spacing w:line="600" w:lineRule="exact"/>
        <w:ind w:firstLine="643" w:firstLineChars="200"/>
        <w:outlineLvl w:val="2"/>
        <w:rPr>
          <w:rFonts w:hint="eastAsia" w:ascii="仿宋" w:hAnsi="仿宋" w:eastAsia="仿宋"/>
          <w:b/>
          <w:sz w:val="32"/>
          <w:szCs w:val="32"/>
        </w:rPr>
      </w:pPr>
    </w:p>
    <w:p w14:paraId="35361293">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4"/>
    </w:p>
    <w:p w14:paraId="085FB840">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874.05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bookmarkStart w:id="35" w:name="OLE_LINK18"/>
      <w:r>
        <w:rPr>
          <w:rFonts w:hint="eastAsia" w:ascii="仿宋" w:hAnsi="仿宋" w:eastAsia="仿宋"/>
          <w:sz w:val="32"/>
          <w:szCs w:val="32"/>
        </w:rPr>
        <w:t>701.17</w:t>
      </w:r>
      <w:bookmarkEnd w:id="35"/>
      <w:r>
        <w:rPr>
          <w:rFonts w:hint="eastAsia" w:ascii="仿宋" w:hAnsi="仿宋" w:eastAsia="仿宋"/>
          <w:sz w:val="32"/>
          <w:szCs w:val="32"/>
        </w:rPr>
        <w:t>万元，占80.22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125.26万元，占14.33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21.88万元，占2.5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25.74万元，占2.95</w:t>
      </w:r>
      <w:r>
        <w:rPr>
          <w:rFonts w:ascii="仿宋" w:hAnsi="仿宋" w:eastAsia="仿宋"/>
          <w:sz w:val="32"/>
          <w:szCs w:val="32"/>
        </w:rPr>
        <w:t>%</w:t>
      </w:r>
      <w:r>
        <w:rPr>
          <w:rFonts w:hint="eastAsia" w:ascii="仿宋" w:hAnsi="仿宋" w:eastAsia="仿宋"/>
          <w:sz w:val="32"/>
          <w:szCs w:val="32"/>
        </w:rPr>
        <w:t>。</w:t>
      </w:r>
    </w:p>
    <w:p w14:paraId="5D98462B">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14:paraId="5DB50AB1">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4C64F720">
      <w:pPr>
        <w:spacing w:line="600" w:lineRule="exact"/>
        <w:outlineLvl w:val="2"/>
        <w:rPr>
          <w:rFonts w:hint="eastAsia" w:ascii="仿宋" w:hAnsi="仿宋" w:eastAsia="仿宋"/>
          <w:b/>
          <w:sz w:val="32"/>
          <w:szCs w:val="32"/>
        </w:rPr>
      </w:pPr>
      <w:bookmarkStart w:id="36" w:name="_Toc15377212"/>
      <w:r>
        <w:rPr>
          <w:rFonts w:hint="eastAsia"/>
          <w:lang w:val="en-US" w:eastAsia="zh-CN"/>
        </w:rPr>
        <w:drawing>
          <wp:anchor distT="0" distB="0" distL="114300" distR="114300" simplePos="0" relativeHeight="251665408" behindDoc="0" locked="0" layoutInCell="1" allowOverlap="1">
            <wp:simplePos x="0" y="0"/>
            <wp:positionH relativeFrom="column">
              <wp:posOffset>484505</wp:posOffset>
            </wp:positionH>
            <wp:positionV relativeFrom="paragraph">
              <wp:posOffset>175895</wp:posOffset>
            </wp:positionV>
            <wp:extent cx="4448175" cy="2740025"/>
            <wp:effectExtent l="4445" t="4445" r="5080" b="1778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C6A865D">
      <w:pPr>
        <w:spacing w:line="600" w:lineRule="exact"/>
        <w:ind w:firstLine="643" w:firstLineChars="200"/>
        <w:outlineLvl w:val="2"/>
        <w:rPr>
          <w:rFonts w:hint="eastAsia" w:ascii="仿宋" w:hAnsi="仿宋" w:eastAsia="仿宋"/>
          <w:b/>
          <w:sz w:val="32"/>
          <w:szCs w:val="32"/>
        </w:rPr>
      </w:pPr>
    </w:p>
    <w:p w14:paraId="00D59205">
      <w:pPr>
        <w:spacing w:line="600" w:lineRule="exact"/>
        <w:ind w:firstLine="643" w:firstLineChars="200"/>
        <w:outlineLvl w:val="2"/>
        <w:rPr>
          <w:rFonts w:hint="eastAsia" w:ascii="仿宋" w:hAnsi="仿宋" w:eastAsia="仿宋"/>
          <w:b/>
          <w:sz w:val="32"/>
          <w:szCs w:val="32"/>
        </w:rPr>
      </w:pPr>
    </w:p>
    <w:p w14:paraId="2DAAD161">
      <w:pPr>
        <w:spacing w:line="600" w:lineRule="exact"/>
        <w:ind w:firstLine="643" w:firstLineChars="200"/>
        <w:outlineLvl w:val="2"/>
        <w:rPr>
          <w:rFonts w:hint="eastAsia" w:ascii="仿宋" w:hAnsi="仿宋" w:eastAsia="仿宋"/>
          <w:b/>
          <w:sz w:val="32"/>
          <w:szCs w:val="32"/>
        </w:rPr>
      </w:pPr>
    </w:p>
    <w:p w14:paraId="78C5622E">
      <w:pPr>
        <w:spacing w:line="600" w:lineRule="exact"/>
        <w:ind w:firstLine="643" w:firstLineChars="200"/>
        <w:outlineLvl w:val="2"/>
        <w:rPr>
          <w:rFonts w:hint="eastAsia" w:ascii="仿宋" w:hAnsi="仿宋" w:eastAsia="仿宋"/>
          <w:b/>
          <w:sz w:val="32"/>
          <w:szCs w:val="32"/>
        </w:rPr>
      </w:pPr>
    </w:p>
    <w:p w14:paraId="4F402EB5">
      <w:pPr>
        <w:spacing w:line="600" w:lineRule="exact"/>
        <w:ind w:firstLine="643" w:firstLineChars="200"/>
        <w:outlineLvl w:val="2"/>
        <w:rPr>
          <w:rFonts w:hint="eastAsia" w:ascii="仿宋" w:hAnsi="仿宋" w:eastAsia="仿宋"/>
          <w:b/>
          <w:sz w:val="32"/>
          <w:szCs w:val="32"/>
        </w:rPr>
      </w:pPr>
    </w:p>
    <w:p w14:paraId="7F5716BB">
      <w:pPr>
        <w:spacing w:line="600" w:lineRule="exact"/>
        <w:ind w:firstLine="643" w:firstLineChars="200"/>
        <w:outlineLvl w:val="2"/>
        <w:rPr>
          <w:rFonts w:hint="eastAsia" w:ascii="仿宋" w:hAnsi="仿宋" w:eastAsia="仿宋"/>
          <w:b/>
          <w:sz w:val="32"/>
          <w:szCs w:val="32"/>
        </w:rPr>
      </w:pPr>
    </w:p>
    <w:p w14:paraId="6FD6F4CC">
      <w:pPr>
        <w:spacing w:line="600" w:lineRule="exact"/>
        <w:ind w:firstLine="643" w:firstLineChars="200"/>
        <w:outlineLvl w:val="2"/>
        <w:rPr>
          <w:rFonts w:hint="eastAsia" w:ascii="仿宋" w:hAnsi="仿宋" w:eastAsia="仿宋"/>
          <w:b/>
          <w:sz w:val="32"/>
          <w:szCs w:val="32"/>
        </w:rPr>
      </w:pPr>
    </w:p>
    <w:p w14:paraId="32D5ACE7">
      <w:pPr>
        <w:spacing w:line="600" w:lineRule="exact"/>
        <w:ind w:firstLine="643" w:firstLineChars="200"/>
        <w:outlineLvl w:val="2"/>
        <w:rPr>
          <w:rFonts w:hint="eastAsia" w:ascii="仿宋" w:hAnsi="仿宋" w:eastAsia="仿宋"/>
          <w:b/>
          <w:sz w:val="32"/>
          <w:szCs w:val="32"/>
        </w:rPr>
      </w:pPr>
    </w:p>
    <w:p w14:paraId="337F36C2">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6"/>
    </w:p>
    <w:p w14:paraId="62E250B7">
      <w:pPr>
        <w:spacing w:line="600" w:lineRule="exact"/>
        <w:ind w:firstLine="643" w:firstLineChars="200"/>
        <w:outlineLvl w:val="2"/>
        <w:rPr>
          <w:rFonts w:ascii="仿宋" w:hAnsi="仿宋" w:eastAsia="仿宋"/>
          <w:sz w:val="32"/>
          <w:szCs w:val="32"/>
        </w:rPr>
      </w:pPr>
      <w:bookmarkStart w:id="37" w:name="_Toc15377213"/>
      <w:bookmarkStart w:id="38" w:name="_Toc15377444"/>
      <w:bookmarkStart w:id="39" w:name="_Toc15378460"/>
      <w:r>
        <w:rPr>
          <w:rFonts w:hint="eastAsia" w:ascii="仿宋" w:hAnsi="仿宋" w:eastAsia="仿宋"/>
          <w:b/>
          <w:sz w:val="32"/>
          <w:szCs w:val="32"/>
        </w:rPr>
        <w:t>2023年度一般公共预算支出决算数为</w:t>
      </w:r>
      <w:r>
        <w:rPr>
          <w:sz w:val="32"/>
          <w:szCs w:val="32"/>
        </w:rPr>
        <w:t>874.05</w:t>
      </w:r>
      <w:r>
        <w:rPr>
          <w:rFonts w:hint="eastAsia" w:ascii="仿宋" w:hAnsi="仿宋" w:eastAsia="仿宋"/>
          <w:sz w:val="32"/>
          <w:szCs w:val="32"/>
        </w:rPr>
        <w:t>，</w:t>
      </w:r>
      <w:r>
        <w:rPr>
          <w:rStyle w:val="20"/>
          <w:rFonts w:hint="eastAsia" w:ascii="仿宋" w:hAnsi="仿宋" w:eastAsia="仿宋"/>
          <w:bCs/>
          <w:sz w:val="32"/>
          <w:szCs w:val="32"/>
        </w:rPr>
        <w:t>完成预算142.24</w:t>
      </w:r>
      <w:r>
        <w:rPr>
          <w:rStyle w:val="20"/>
          <w:rFonts w:ascii="仿宋" w:hAnsi="仿宋" w:eastAsia="仿宋"/>
          <w:bCs/>
          <w:sz w:val="32"/>
          <w:szCs w:val="32"/>
        </w:rPr>
        <w:t>%</w:t>
      </w:r>
      <w:r>
        <w:rPr>
          <w:rStyle w:val="20"/>
          <w:rFonts w:hint="eastAsia" w:ascii="仿宋" w:hAnsi="仿宋" w:eastAsia="仿宋"/>
          <w:bCs/>
          <w:sz w:val="32"/>
          <w:szCs w:val="32"/>
        </w:rPr>
        <w:t>。其中：</w:t>
      </w:r>
      <w:bookmarkEnd w:id="37"/>
      <w:bookmarkEnd w:id="38"/>
      <w:bookmarkEnd w:id="39"/>
    </w:p>
    <w:p w14:paraId="0692AB16">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bCs/>
          <w:sz w:val="32"/>
          <w:szCs w:val="32"/>
          <w:lang w:val="en-US" w:eastAsia="zh-CN"/>
        </w:rPr>
        <w:t>1</w:t>
      </w:r>
      <w:r>
        <w:rPr>
          <w:rStyle w:val="20"/>
          <w:rFonts w:ascii="仿宋" w:hAnsi="仿宋" w:eastAsia="仿宋"/>
          <w:bCs/>
          <w:sz w:val="32"/>
          <w:szCs w:val="32"/>
        </w:rPr>
        <w:t>.</w:t>
      </w:r>
      <w:r>
        <w:rPr>
          <w:rStyle w:val="20"/>
          <w:rFonts w:hint="eastAsia" w:ascii="仿宋" w:hAnsi="仿宋" w:eastAsia="仿宋"/>
          <w:bCs/>
          <w:sz w:val="32"/>
          <w:szCs w:val="32"/>
        </w:rPr>
        <w:t>科学技术支出（206类）科学技术普及（07款）机构运行（01项）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支出决算为基本支出296.11万元，完成预算100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4A03A723">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lang w:val="en-US" w:eastAsia="zh-CN"/>
        </w:rPr>
        <w:t>2</w:t>
      </w:r>
      <w:r>
        <w:rPr>
          <w:rStyle w:val="20"/>
          <w:rFonts w:hint="eastAsia" w:ascii="仿宋" w:hAnsi="仿宋" w:eastAsia="仿宋"/>
          <w:b w:val="0"/>
          <w:bCs/>
          <w:color w:val="000000"/>
          <w:sz w:val="32"/>
          <w:szCs w:val="32"/>
        </w:rPr>
        <w:t>.</w:t>
      </w:r>
      <w:r>
        <w:rPr>
          <w:rStyle w:val="20"/>
          <w:rFonts w:hint="eastAsia" w:ascii="仿宋" w:hAnsi="仿宋" w:eastAsia="仿宋"/>
          <w:bCs/>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bCs/>
          <w:color w:val="000000"/>
          <w:sz w:val="32"/>
          <w:szCs w:val="32"/>
        </w:rPr>
        <w:t>（206类）科学技术普及（07款）科普活动（02项）：</w:t>
      </w:r>
      <w:r>
        <w:rPr>
          <w:rStyle w:val="20"/>
          <w:rFonts w:hint="eastAsia" w:ascii="仿宋" w:hAnsi="仿宋" w:eastAsia="仿宋"/>
          <w:b w:val="0"/>
          <w:bCs/>
          <w:color w:val="000000"/>
          <w:sz w:val="32"/>
          <w:szCs w:val="32"/>
        </w:rPr>
        <w:t>支出决算为项目支出12万元，完成预算100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，决算与预算数持平。</w:t>
      </w:r>
    </w:p>
    <w:p w14:paraId="74ED1EEF">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lang w:val="en-US" w:eastAsia="zh-CN"/>
        </w:rPr>
        <w:t>3</w:t>
      </w:r>
      <w:r>
        <w:rPr>
          <w:rStyle w:val="20"/>
          <w:rFonts w:hint="eastAsia" w:ascii="仿宋" w:hAnsi="仿宋" w:eastAsia="仿宋"/>
          <w:color w:val="000000"/>
          <w:sz w:val="32"/>
          <w:szCs w:val="32"/>
        </w:rPr>
        <w:t>.</w:t>
      </w:r>
      <w:r>
        <w:rPr>
          <w:rStyle w:val="20"/>
          <w:rFonts w:hint="eastAsia" w:ascii="仿宋" w:hAnsi="仿宋" w:eastAsia="仿宋"/>
          <w:bCs/>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bCs/>
          <w:color w:val="000000"/>
          <w:sz w:val="32"/>
          <w:szCs w:val="32"/>
        </w:rPr>
        <w:t>（206类）科学技术普及（07款）青少年科技活动（03项）：</w:t>
      </w:r>
      <w:r>
        <w:rPr>
          <w:rStyle w:val="20"/>
          <w:rFonts w:hint="eastAsia" w:ascii="仿宋" w:hAnsi="仿宋" w:eastAsia="仿宋"/>
          <w:b w:val="0"/>
          <w:bCs/>
          <w:color w:val="000000"/>
          <w:sz w:val="32"/>
          <w:szCs w:val="32"/>
        </w:rPr>
        <w:t>支出决算为项目支出2.8万元，完成调整预算100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，决算与预算数持平。</w:t>
      </w:r>
    </w:p>
    <w:p w14:paraId="1837E7DB">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lang w:val="en-US" w:eastAsia="zh-CN"/>
        </w:rPr>
        <w:t>4</w:t>
      </w:r>
      <w:r>
        <w:rPr>
          <w:rStyle w:val="20"/>
          <w:rFonts w:hint="eastAsia" w:ascii="仿宋" w:hAnsi="仿宋" w:eastAsia="仿宋"/>
          <w:color w:val="000000"/>
          <w:sz w:val="32"/>
          <w:szCs w:val="32"/>
        </w:rPr>
        <w:t>.</w:t>
      </w:r>
      <w:r>
        <w:rPr>
          <w:rStyle w:val="20"/>
          <w:rFonts w:hint="eastAsia" w:ascii="仿宋" w:hAnsi="仿宋" w:eastAsia="仿宋"/>
          <w:bCs/>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bCs/>
          <w:color w:val="000000"/>
          <w:sz w:val="32"/>
          <w:szCs w:val="32"/>
        </w:rPr>
        <w:t>（206类）科学技术普及（07款）学术交流活动（04项）：</w:t>
      </w:r>
      <w:r>
        <w:rPr>
          <w:rStyle w:val="20"/>
          <w:rFonts w:hint="eastAsia" w:ascii="仿宋" w:hAnsi="仿宋" w:eastAsia="仿宋"/>
          <w:b w:val="0"/>
          <w:bCs/>
          <w:color w:val="000000"/>
          <w:sz w:val="32"/>
          <w:szCs w:val="32"/>
        </w:rPr>
        <w:t>支出决算为项目支出12万元，完成预算100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，决算与预算数持平。</w:t>
      </w:r>
    </w:p>
    <w:p w14:paraId="2C95A917">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sz w:val="32"/>
          <w:szCs w:val="32"/>
          <w:lang w:val="en-US" w:eastAsia="zh-CN"/>
        </w:rPr>
        <w:t>5</w:t>
      </w:r>
      <w:r>
        <w:rPr>
          <w:rStyle w:val="20"/>
          <w:rFonts w:hint="eastAsia" w:ascii="仿宋" w:hAnsi="仿宋" w:eastAsia="仿宋"/>
          <w:sz w:val="32"/>
          <w:szCs w:val="32"/>
        </w:rPr>
        <w:t>.</w:t>
      </w:r>
      <w:r>
        <w:rPr>
          <w:rStyle w:val="20"/>
          <w:rFonts w:hint="eastAsia" w:ascii="仿宋" w:hAnsi="仿宋" w:eastAsia="仿宋"/>
          <w:bCs/>
          <w:sz w:val="32"/>
          <w:szCs w:val="32"/>
        </w:rPr>
        <w:t>科学技术支出（206类）科学技术普及（07款）其他科学技术普及支出（99项）：</w:t>
      </w:r>
      <w:r>
        <w:rPr>
          <w:rStyle w:val="20"/>
          <w:rFonts w:hint="eastAsia" w:ascii="仿宋" w:hAnsi="仿宋" w:eastAsia="仿宋"/>
          <w:b w:val="0"/>
          <w:bCs/>
          <w:sz w:val="32"/>
          <w:szCs w:val="32"/>
        </w:rPr>
        <w:t>支出决算为项目支出300.19万元，完成预算100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4273CD61">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lang w:val="en-US" w:eastAsia="zh-CN"/>
        </w:rPr>
        <w:t>6</w:t>
      </w:r>
      <w:r>
        <w:rPr>
          <w:rStyle w:val="20"/>
          <w:rFonts w:hint="eastAsia" w:ascii="仿宋" w:hAnsi="仿宋" w:eastAsia="仿宋"/>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color w:val="000000"/>
          <w:sz w:val="32"/>
          <w:szCs w:val="32"/>
        </w:rPr>
        <w:t>（206类）其他科学技术支出（99款）其他科学技术支出（99项）：</w:t>
      </w:r>
      <w:r>
        <w:rPr>
          <w:rStyle w:val="20"/>
          <w:rFonts w:hint="eastAsia" w:ascii="仿宋" w:hAnsi="仿宋" w:eastAsia="仿宋"/>
          <w:b w:val="0"/>
          <w:bCs/>
          <w:color w:val="000000"/>
          <w:sz w:val="32"/>
          <w:szCs w:val="32"/>
        </w:rPr>
        <w:t>支出决算为项目支出78.07万元，完成预算100</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4326453E">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bCs/>
          <w:sz w:val="32"/>
          <w:szCs w:val="32"/>
          <w:lang w:val="en-US" w:eastAsia="zh-CN"/>
        </w:rPr>
        <w:t>7</w:t>
      </w:r>
      <w:r>
        <w:rPr>
          <w:rStyle w:val="20"/>
          <w:rFonts w:ascii="仿宋" w:hAnsi="仿宋" w:eastAsia="仿宋"/>
          <w:bCs/>
          <w:sz w:val="32"/>
          <w:szCs w:val="32"/>
        </w:rPr>
        <w:t>.</w:t>
      </w:r>
      <w:r>
        <w:rPr>
          <w:rStyle w:val="20"/>
          <w:rFonts w:hint="eastAsia" w:ascii="仿宋" w:hAnsi="仿宋" w:eastAsia="仿宋"/>
          <w:bCs/>
          <w:sz w:val="32"/>
          <w:szCs w:val="32"/>
        </w:rPr>
        <w:t>社会保障和就业支出（208类）行政单位养老支出（05款）行政单位离退休（01项）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支出决算为基本支出78.39万元，完成预算100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2F3E1420">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sz w:val="32"/>
          <w:szCs w:val="32"/>
          <w:lang w:val="en-US" w:eastAsia="zh-CN"/>
        </w:rPr>
        <w:t>8</w:t>
      </w:r>
      <w:r>
        <w:rPr>
          <w:rStyle w:val="20"/>
          <w:rFonts w:hint="eastAsia" w:ascii="仿宋" w:hAnsi="仿宋" w:eastAsia="仿宋"/>
          <w:sz w:val="32"/>
          <w:szCs w:val="32"/>
        </w:rPr>
        <w:t>.</w:t>
      </w:r>
      <w:r>
        <w:rPr>
          <w:rStyle w:val="20"/>
          <w:rFonts w:hint="eastAsia" w:ascii="仿宋" w:hAnsi="仿宋" w:eastAsia="仿宋"/>
          <w:bCs/>
          <w:sz w:val="32"/>
          <w:szCs w:val="32"/>
        </w:rPr>
        <w:t>社会保障和就业支出（208类）行政单位养老支出（05款）事业单位离退休（02项）</w:t>
      </w:r>
      <w:r>
        <w:rPr>
          <w:rStyle w:val="20"/>
          <w:rFonts w:ascii="仿宋" w:hAnsi="仿宋" w:eastAsia="仿宋"/>
          <w:bCs/>
          <w:sz w:val="32"/>
          <w:szCs w:val="32"/>
        </w:rPr>
        <w:t>:</w:t>
      </w:r>
      <w:r>
        <w:rPr>
          <w:rStyle w:val="20"/>
          <w:rFonts w:ascii="仿宋" w:hAnsi="仿宋" w:eastAsia="仿宋"/>
          <w:b w:val="0"/>
          <w:bCs/>
          <w:color w:val="FF0000"/>
          <w:sz w:val="32"/>
          <w:szCs w:val="32"/>
        </w:rPr>
        <w:t xml:space="preserve"> </w:t>
      </w:r>
      <w:r>
        <w:rPr>
          <w:rStyle w:val="20"/>
          <w:rFonts w:hint="eastAsia" w:ascii="仿宋" w:hAnsi="仿宋" w:eastAsia="仿宋"/>
          <w:b w:val="0"/>
          <w:bCs/>
          <w:sz w:val="32"/>
          <w:szCs w:val="32"/>
        </w:rPr>
        <w:t>支出决算为基本支出2.21万元，完成预算100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6AD7C69A">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bCs/>
          <w:sz w:val="32"/>
          <w:szCs w:val="32"/>
          <w:lang w:val="en-US" w:eastAsia="zh-CN"/>
        </w:rPr>
        <w:t>9</w:t>
      </w:r>
      <w:r>
        <w:rPr>
          <w:rStyle w:val="20"/>
          <w:rFonts w:ascii="仿宋" w:hAnsi="仿宋" w:eastAsia="仿宋"/>
          <w:bCs/>
          <w:sz w:val="32"/>
          <w:szCs w:val="32"/>
        </w:rPr>
        <w:t>.</w:t>
      </w:r>
      <w:r>
        <w:rPr>
          <w:rStyle w:val="20"/>
          <w:rFonts w:hint="eastAsia" w:ascii="仿宋" w:hAnsi="仿宋" w:eastAsia="仿宋"/>
          <w:bCs/>
          <w:sz w:val="32"/>
          <w:szCs w:val="32"/>
        </w:rPr>
        <w:t>社会保障和就业支出（208类）行政事业单位离退休（05款）机关事业单位基本养老保险缴费（05项）</w:t>
      </w:r>
      <w:r>
        <w:rPr>
          <w:rStyle w:val="20"/>
          <w:rFonts w:ascii="仿宋" w:hAnsi="仿宋" w:eastAsia="仿宋"/>
          <w:bCs/>
          <w:sz w:val="32"/>
          <w:szCs w:val="32"/>
        </w:rPr>
        <w:t xml:space="preserve">: </w:t>
      </w:r>
      <w:r>
        <w:rPr>
          <w:rStyle w:val="20"/>
          <w:rFonts w:hint="eastAsia" w:ascii="仿宋" w:hAnsi="仿宋" w:eastAsia="仿宋"/>
          <w:b w:val="0"/>
          <w:bCs/>
          <w:sz w:val="32"/>
          <w:szCs w:val="32"/>
        </w:rPr>
        <w:t>支出决算为基本支出29.77万元，完成预算100%，完成预算100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39D06D7D">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bCs/>
          <w:sz w:val="32"/>
          <w:szCs w:val="32"/>
        </w:rPr>
        <w:t>1</w:t>
      </w:r>
      <w:r>
        <w:rPr>
          <w:rStyle w:val="20"/>
          <w:rFonts w:hint="eastAsia" w:ascii="仿宋" w:hAnsi="仿宋" w:eastAsia="仿宋"/>
          <w:bCs/>
          <w:sz w:val="32"/>
          <w:szCs w:val="32"/>
          <w:lang w:val="en-US" w:eastAsia="zh-CN"/>
        </w:rPr>
        <w:t>0</w:t>
      </w:r>
      <w:r>
        <w:rPr>
          <w:rStyle w:val="20"/>
          <w:rFonts w:ascii="仿宋" w:hAnsi="仿宋" w:eastAsia="仿宋"/>
          <w:bCs/>
          <w:sz w:val="32"/>
          <w:szCs w:val="32"/>
        </w:rPr>
        <w:t>.</w:t>
      </w:r>
      <w:r>
        <w:rPr>
          <w:rStyle w:val="20"/>
          <w:rFonts w:hint="eastAsia" w:ascii="仿宋" w:hAnsi="仿宋" w:eastAsia="仿宋"/>
          <w:bCs/>
          <w:sz w:val="32"/>
          <w:szCs w:val="32"/>
        </w:rPr>
        <w:t>社会保障和就业支出（208类）行政事业单位离退休（05款）机关事业单位职业年金缴费支出（06项）</w:t>
      </w:r>
      <w:r>
        <w:rPr>
          <w:rStyle w:val="20"/>
          <w:rFonts w:ascii="仿宋" w:hAnsi="仿宋" w:eastAsia="仿宋"/>
          <w:bCs/>
          <w:sz w:val="32"/>
          <w:szCs w:val="32"/>
        </w:rPr>
        <w:t>:</w:t>
      </w:r>
      <w:r>
        <w:rPr>
          <w:rStyle w:val="20"/>
          <w:rFonts w:ascii="仿宋" w:hAnsi="仿宋" w:eastAsia="仿宋"/>
          <w:b w:val="0"/>
          <w:sz w:val="32"/>
          <w:szCs w:val="32"/>
        </w:rPr>
        <w:t xml:space="preserve"> </w:t>
      </w:r>
      <w:r>
        <w:rPr>
          <w:rStyle w:val="20"/>
          <w:rFonts w:hint="eastAsia" w:ascii="仿宋" w:hAnsi="仿宋" w:eastAsia="仿宋"/>
          <w:b w:val="0"/>
          <w:sz w:val="32"/>
          <w:szCs w:val="32"/>
        </w:rPr>
        <w:t>支出决算为</w:t>
      </w:r>
      <w:r>
        <w:rPr>
          <w:rStyle w:val="20"/>
          <w:rFonts w:hint="eastAsia" w:ascii="仿宋" w:hAnsi="仿宋" w:eastAsia="仿宋"/>
          <w:b w:val="0"/>
          <w:bCs/>
          <w:sz w:val="32"/>
          <w:szCs w:val="32"/>
        </w:rPr>
        <w:t>基本支出</w:t>
      </w:r>
      <w:r>
        <w:rPr>
          <w:rStyle w:val="20"/>
          <w:rFonts w:hint="eastAsia" w:ascii="仿宋" w:hAnsi="仿宋" w:eastAsia="仿宋"/>
          <w:b w:val="0"/>
          <w:sz w:val="32"/>
          <w:szCs w:val="32"/>
        </w:rPr>
        <w:t>14.89万元，</w:t>
      </w:r>
      <w:r>
        <w:rPr>
          <w:rStyle w:val="20"/>
          <w:rFonts w:hint="eastAsia" w:ascii="仿宋" w:hAnsi="仿宋" w:eastAsia="仿宋"/>
          <w:b w:val="0"/>
          <w:bCs/>
          <w:sz w:val="32"/>
          <w:szCs w:val="32"/>
        </w:rPr>
        <w:t>完成预算100%，完成预算100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1D886170">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bCs/>
          <w:sz w:val="32"/>
          <w:szCs w:val="32"/>
        </w:rPr>
        <w:t>1</w:t>
      </w:r>
      <w:r>
        <w:rPr>
          <w:rStyle w:val="20"/>
          <w:rFonts w:hint="eastAsia" w:ascii="仿宋" w:hAnsi="仿宋" w:eastAsia="仿宋"/>
          <w:bCs/>
          <w:sz w:val="32"/>
          <w:szCs w:val="32"/>
          <w:lang w:val="en-US" w:eastAsia="zh-CN"/>
        </w:rPr>
        <w:t>1</w:t>
      </w:r>
      <w:r>
        <w:rPr>
          <w:rStyle w:val="20"/>
          <w:rFonts w:ascii="仿宋" w:hAnsi="仿宋" w:eastAsia="仿宋"/>
          <w:bCs/>
          <w:sz w:val="32"/>
          <w:szCs w:val="32"/>
        </w:rPr>
        <w:t>.</w:t>
      </w:r>
      <w:r>
        <w:rPr>
          <w:rStyle w:val="20"/>
          <w:rFonts w:hint="eastAsia" w:ascii="仿宋" w:hAnsi="仿宋" w:eastAsia="仿宋"/>
          <w:bCs/>
          <w:sz w:val="32"/>
          <w:szCs w:val="32"/>
        </w:rPr>
        <w:t>卫生健康支出（210类）行政事业单位医疗（11款）行政单位医疗（01项）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支出决算为基本支出7.38万元，完成预算的100</w:t>
      </w:r>
      <w:r>
        <w:rPr>
          <w:rStyle w:val="20"/>
          <w:rFonts w:ascii="仿宋" w:hAnsi="仿宋" w:eastAsia="仿宋"/>
          <w:b w:val="0"/>
          <w:bCs/>
          <w:sz w:val="32"/>
          <w:szCs w:val="32"/>
        </w:rPr>
        <w:t>%</w:t>
      </w:r>
      <w:r>
        <w:rPr>
          <w:rStyle w:val="20"/>
          <w:rFonts w:hint="eastAsia" w:ascii="仿宋" w:hAnsi="仿宋" w:eastAsia="仿宋"/>
          <w:b w:val="0"/>
          <w:bCs/>
          <w:sz w:val="32"/>
          <w:szCs w:val="32"/>
        </w:rPr>
        <w:t>，完成预算100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018E5780">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bCs/>
          <w:sz w:val="32"/>
          <w:szCs w:val="32"/>
        </w:rPr>
        <w:t>1</w:t>
      </w:r>
      <w:r>
        <w:rPr>
          <w:rStyle w:val="20"/>
          <w:rFonts w:hint="eastAsia" w:ascii="仿宋" w:hAnsi="仿宋" w:eastAsia="仿宋"/>
          <w:bCs/>
          <w:sz w:val="32"/>
          <w:szCs w:val="32"/>
          <w:lang w:val="en-US" w:eastAsia="zh-CN"/>
        </w:rPr>
        <w:t>2</w:t>
      </w:r>
      <w:r>
        <w:rPr>
          <w:rStyle w:val="20"/>
          <w:rFonts w:ascii="仿宋" w:hAnsi="仿宋" w:eastAsia="仿宋"/>
          <w:bCs/>
          <w:sz w:val="32"/>
          <w:szCs w:val="32"/>
        </w:rPr>
        <w:t>.</w:t>
      </w:r>
      <w:r>
        <w:rPr>
          <w:rStyle w:val="20"/>
          <w:rFonts w:hint="eastAsia" w:ascii="仿宋" w:hAnsi="仿宋" w:eastAsia="仿宋"/>
          <w:bCs/>
          <w:sz w:val="32"/>
          <w:szCs w:val="32"/>
        </w:rPr>
        <w:t>卫生健康支出（210类）行政事业单位医疗（11款）事业单位医疗（02项）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支出决算为基本支出2.74万元，完成预算的100</w:t>
      </w:r>
      <w:r>
        <w:rPr>
          <w:rStyle w:val="20"/>
          <w:rFonts w:ascii="仿宋" w:hAnsi="仿宋" w:eastAsia="仿宋"/>
          <w:b w:val="0"/>
          <w:bCs/>
          <w:sz w:val="32"/>
          <w:szCs w:val="32"/>
        </w:rPr>
        <w:t>%</w:t>
      </w:r>
      <w:r>
        <w:rPr>
          <w:rStyle w:val="20"/>
          <w:rFonts w:hint="eastAsia" w:ascii="仿宋" w:hAnsi="仿宋" w:eastAsia="仿宋"/>
          <w:b w:val="0"/>
          <w:bCs/>
          <w:sz w:val="32"/>
          <w:szCs w:val="32"/>
        </w:rPr>
        <w:t>，完成预算100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03BC5FAB">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sz w:val="32"/>
          <w:szCs w:val="32"/>
        </w:rPr>
        <w:t>1</w:t>
      </w:r>
      <w:r>
        <w:rPr>
          <w:rStyle w:val="20"/>
          <w:rFonts w:hint="eastAsia" w:ascii="仿宋" w:hAnsi="仿宋" w:eastAsia="仿宋"/>
          <w:sz w:val="32"/>
          <w:szCs w:val="32"/>
          <w:lang w:val="en-US" w:eastAsia="zh-CN"/>
        </w:rPr>
        <w:t>3</w:t>
      </w:r>
      <w:r>
        <w:rPr>
          <w:rStyle w:val="20"/>
          <w:rFonts w:hint="eastAsia" w:ascii="仿宋" w:hAnsi="仿宋" w:eastAsia="仿宋"/>
          <w:sz w:val="32"/>
          <w:szCs w:val="32"/>
        </w:rPr>
        <w:t>.</w:t>
      </w:r>
      <w:r>
        <w:rPr>
          <w:rStyle w:val="20"/>
          <w:rFonts w:hint="eastAsia" w:ascii="仿宋" w:hAnsi="仿宋" w:eastAsia="仿宋"/>
          <w:bCs/>
          <w:sz w:val="32"/>
          <w:szCs w:val="32"/>
        </w:rPr>
        <w:t>卫生健康支出（210类）行政事业单位医疗（11款）公务员医疗补助（03项）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支出决算为基本支出8.77万元，完成预算的100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sz w:val="32"/>
          <w:szCs w:val="32"/>
        </w:rPr>
        <w:t>决算数与预算数持平</w:t>
      </w:r>
      <w:r>
        <w:rPr>
          <w:rStyle w:val="20"/>
          <w:rFonts w:hint="eastAsia" w:ascii="仿宋" w:hAnsi="仿宋" w:eastAsia="仿宋"/>
          <w:b w:val="0"/>
          <w:bCs/>
          <w:sz w:val="32"/>
          <w:szCs w:val="32"/>
        </w:rPr>
        <w:t>。</w:t>
      </w:r>
    </w:p>
    <w:p w14:paraId="42665E40">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sz w:val="32"/>
          <w:szCs w:val="32"/>
        </w:rPr>
        <w:t>1</w:t>
      </w:r>
      <w:r>
        <w:rPr>
          <w:rStyle w:val="20"/>
          <w:rFonts w:hint="eastAsia" w:ascii="仿宋" w:hAnsi="仿宋" w:eastAsia="仿宋"/>
          <w:sz w:val="32"/>
          <w:szCs w:val="32"/>
          <w:lang w:val="en-US" w:eastAsia="zh-CN"/>
        </w:rPr>
        <w:t>4</w:t>
      </w:r>
      <w:r>
        <w:rPr>
          <w:rStyle w:val="20"/>
          <w:rFonts w:hint="eastAsia" w:ascii="仿宋" w:hAnsi="仿宋" w:eastAsia="仿宋"/>
          <w:sz w:val="32"/>
          <w:szCs w:val="32"/>
        </w:rPr>
        <w:t>.</w:t>
      </w:r>
      <w:r>
        <w:rPr>
          <w:rStyle w:val="20"/>
          <w:rFonts w:hint="eastAsia" w:ascii="仿宋" w:hAnsi="仿宋" w:eastAsia="仿宋"/>
          <w:bCs/>
          <w:sz w:val="32"/>
          <w:szCs w:val="32"/>
        </w:rPr>
        <w:t>卫生健康支出（210类）行政事业单位医疗（11款）其他行政事业单位医疗支出（99项）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支出决算为基本支出2.98万元，完成预算的100</w:t>
      </w:r>
      <w:r>
        <w:rPr>
          <w:rStyle w:val="20"/>
          <w:rFonts w:ascii="仿宋" w:hAnsi="仿宋" w:eastAsia="仿宋"/>
          <w:b w:val="0"/>
          <w:bCs/>
          <w:sz w:val="32"/>
          <w:szCs w:val="32"/>
        </w:rPr>
        <w:t>%</w:t>
      </w:r>
      <w:r>
        <w:rPr>
          <w:rStyle w:val="20"/>
          <w:rFonts w:hint="eastAsia" w:ascii="仿宋" w:hAnsi="仿宋" w:eastAsia="仿宋"/>
          <w:b w:val="0"/>
          <w:bCs/>
          <w:sz w:val="32"/>
          <w:szCs w:val="32"/>
        </w:rPr>
        <w:t>，完成预算100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0CF9EBB1">
      <w:pPr>
        <w:tabs>
          <w:tab w:val="right" w:pos="8306"/>
        </w:tabs>
        <w:spacing w:line="600" w:lineRule="exact"/>
        <w:ind w:firstLine="640" w:firstLineChars="200"/>
        <w:outlineLvl w:val="1"/>
        <w:rPr>
          <w:rStyle w:val="32"/>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40"/>
      <w:bookmarkEnd w:id="41"/>
      <w:r>
        <w:rPr>
          <w:rStyle w:val="32"/>
          <w:rFonts w:ascii="黑体" w:hAnsi="黑体" w:eastAsia="黑体"/>
          <w:b w:val="0"/>
        </w:rPr>
        <w:tab/>
      </w:r>
    </w:p>
    <w:p w14:paraId="42225376">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468.99</w:t>
      </w:r>
      <w:r>
        <w:rPr>
          <w:rFonts w:hint="eastAsia" w:ascii="仿宋" w:hAnsi="仿宋" w:eastAsia="仿宋"/>
          <w:sz w:val="32"/>
          <w:szCs w:val="32"/>
        </w:rPr>
        <w:t>万元，其中：</w:t>
      </w:r>
    </w:p>
    <w:p w14:paraId="76D30C4A">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sz w:val="32"/>
          <w:szCs w:val="32"/>
        </w:rPr>
        <w:t>417.82</w:t>
      </w:r>
      <w:r>
        <w:rPr>
          <w:rFonts w:hint="eastAsia" w:ascii="仿宋" w:hAnsi="仿宋" w:eastAsia="仿宋"/>
          <w:sz w:val="32"/>
          <w:szCs w:val="32"/>
        </w:rPr>
        <w:t>万元，主要包括：基本工资、津贴补贴、奖金、绩效工资、机关事业单位基本养老保险缴费、职业年金缴费、其他社会保障缴费、其他工资福利支出、离休费、抚恤金、生活补助、医疗费补助、公务员医疗补助、奖金、住房公积金、其他对个人和家庭的补助支出等。</w:t>
      </w:r>
    </w:p>
    <w:p w14:paraId="4660B6D6">
      <w:pPr>
        <w:spacing w:line="600" w:lineRule="exact"/>
        <w:ind w:firstLine="645"/>
        <w:rPr>
          <w:rFonts w:ascii="仿宋" w:hAnsi="仿宋" w:eastAsia="仿宋"/>
          <w:sz w:val="32"/>
          <w:szCs w:val="32"/>
        </w:rPr>
      </w:pPr>
      <w:r>
        <w:rPr>
          <w:rFonts w:hint="eastAsia" w:ascii="仿宋" w:hAnsi="仿宋" w:eastAsia="仿宋"/>
          <w:sz w:val="32"/>
          <w:szCs w:val="32"/>
        </w:rPr>
        <w:t>公用经费</w:t>
      </w:r>
      <w:r>
        <w:rPr>
          <w:sz w:val="32"/>
          <w:szCs w:val="32"/>
        </w:rPr>
        <w:t>51.17</w:t>
      </w:r>
      <w:r>
        <w:rPr>
          <w:rFonts w:hint="eastAsia" w:ascii="仿宋" w:hAnsi="仿宋" w:eastAsia="仿宋"/>
          <w:sz w:val="32"/>
          <w:szCs w:val="32"/>
        </w:rPr>
        <w:t>万元，主要包括：办公费、印刷费、水费、电费、邮电费、差旅费、维修（护）费、公务接待费、劳务费、工会经费、福利费、公务用车运行维护费、其他交通费、其他商品和服务支出等。</w:t>
      </w:r>
    </w:p>
    <w:p w14:paraId="27CE752C">
      <w:pPr>
        <w:spacing w:line="600" w:lineRule="exact"/>
        <w:ind w:firstLine="640" w:firstLineChars="200"/>
        <w:outlineLvl w:val="1"/>
        <w:rPr>
          <w:rStyle w:val="32"/>
          <w:rFonts w:ascii="黑体" w:hAnsi="黑体" w:eastAsia="黑体"/>
          <w:b w:val="0"/>
        </w:rPr>
      </w:pPr>
      <w:bookmarkStart w:id="42" w:name="_Toc15377215"/>
      <w:bookmarkStart w:id="43" w:name="_Toc15396609"/>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42"/>
      <w:bookmarkEnd w:id="43"/>
    </w:p>
    <w:p w14:paraId="2609766F">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14:paraId="2B2CF39D">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7.6</w:t>
      </w:r>
      <w:r>
        <w:rPr>
          <w:rFonts w:hint="eastAsia" w:ascii="仿宋" w:hAnsi="仿宋" w:eastAsia="仿宋"/>
          <w:sz w:val="32"/>
          <w:szCs w:val="32"/>
        </w:rPr>
        <w:t>万元，完成预算</w:t>
      </w:r>
      <w:r>
        <w:rPr>
          <w:rFonts w:hint="eastAsia" w:eastAsia="仿宋"/>
          <w:sz w:val="32"/>
          <w:szCs w:val="32"/>
        </w:rPr>
        <w:t>100</w:t>
      </w:r>
      <w:r>
        <w:rPr>
          <w:rFonts w:ascii="仿宋" w:hAnsi="仿宋" w:eastAsia="仿宋"/>
          <w:sz w:val="32"/>
          <w:szCs w:val="32"/>
        </w:rPr>
        <w:t>%</w:t>
      </w:r>
      <w:r>
        <w:rPr>
          <w:rFonts w:hint="eastAsia" w:ascii="仿宋" w:hAnsi="仿宋" w:eastAsia="仿宋"/>
          <w:sz w:val="32"/>
          <w:szCs w:val="32"/>
        </w:rPr>
        <w:t>，较上年度减少49.19万元，下降647.24%。下降的主要原因是减少公务用车购置费用。</w:t>
      </w:r>
    </w:p>
    <w:p w14:paraId="39A73A59">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14:paraId="7E84D371">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7.41</w:t>
      </w:r>
      <w:r>
        <w:rPr>
          <w:rFonts w:hint="eastAsia" w:ascii="仿宋" w:hAnsi="仿宋" w:eastAsia="仿宋"/>
          <w:sz w:val="32"/>
          <w:szCs w:val="32"/>
        </w:rPr>
        <w:t>万元，占</w:t>
      </w:r>
      <w:r>
        <w:rPr>
          <w:sz w:val="32"/>
          <w:szCs w:val="32"/>
        </w:rPr>
        <w:t>97.55</w:t>
      </w:r>
      <w:r>
        <w:rPr>
          <w:rFonts w:ascii="仿宋" w:hAnsi="仿宋" w:eastAsia="仿宋"/>
          <w:sz w:val="32"/>
          <w:szCs w:val="32"/>
        </w:rPr>
        <w:t>%</w:t>
      </w:r>
      <w:r>
        <w:rPr>
          <w:rFonts w:hint="eastAsia" w:ascii="仿宋" w:hAnsi="仿宋" w:eastAsia="仿宋"/>
          <w:sz w:val="32"/>
          <w:szCs w:val="32"/>
        </w:rPr>
        <w:t>；公务接待费支出决算</w:t>
      </w:r>
      <w:r>
        <w:rPr>
          <w:sz w:val="32"/>
          <w:szCs w:val="32"/>
        </w:rPr>
        <w:t>0.19</w:t>
      </w:r>
      <w:r>
        <w:rPr>
          <w:rFonts w:hint="eastAsia" w:ascii="仿宋" w:hAnsi="仿宋" w:eastAsia="仿宋"/>
          <w:sz w:val="32"/>
          <w:szCs w:val="32"/>
        </w:rPr>
        <w:t>万元，占</w:t>
      </w:r>
      <w:r>
        <w:rPr>
          <w:sz w:val="32"/>
          <w:szCs w:val="32"/>
        </w:rPr>
        <w:t>2.44</w:t>
      </w:r>
      <w:r>
        <w:rPr>
          <w:rFonts w:ascii="仿宋" w:hAnsi="仿宋" w:eastAsia="仿宋"/>
          <w:sz w:val="32"/>
          <w:szCs w:val="32"/>
        </w:rPr>
        <w:t>%</w:t>
      </w:r>
      <w:r>
        <w:rPr>
          <w:rFonts w:hint="eastAsia" w:ascii="仿宋" w:hAnsi="仿宋" w:eastAsia="仿宋"/>
          <w:sz w:val="32"/>
          <w:szCs w:val="32"/>
        </w:rPr>
        <w:t>。具体情况如下：</w:t>
      </w:r>
    </w:p>
    <w:p w14:paraId="3B813B88">
      <w:pPr>
        <w:spacing w:line="600" w:lineRule="exact"/>
        <w:ind w:firstLine="640"/>
        <w:rPr>
          <w:rFonts w:hint="eastAsia" w:ascii="仿宋" w:hAnsi="仿宋" w:eastAsia="仿宋"/>
          <w:color w:val="FF0000"/>
          <w:sz w:val="32"/>
          <w:szCs w:val="32"/>
        </w:rPr>
      </w:pPr>
      <w:r>
        <w:rPr>
          <w:rFonts w:hint="eastAsia" w:ascii="仿宋" w:hAnsi="仿宋" w:eastAsia="仿宋"/>
          <w:color w:val="FF0000"/>
          <w:sz w:val="32"/>
          <w:szCs w:val="32"/>
        </w:rPr>
        <w:t>（图7：“三公”经费财政拨款支出结构）（饼状图）</w:t>
      </w:r>
    </w:p>
    <w:p w14:paraId="4A742698">
      <w:pPr>
        <w:spacing w:line="600" w:lineRule="exact"/>
        <w:ind w:firstLine="640"/>
        <w:rPr>
          <w:rFonts w:hint="eastAsia" w:ascii="仿宋" w:hAnsi="仿宋" w:eastAsia="仿宋"/>
          <w:color w:val="FF0000"/>
          <w:sz w:val="32"/>
          <w:szCs w:val="32"/>
        </w:rPr>
      </w:pPr>
      <w:r>
        <w:rPr>
          <w:rFonts w:hint="eastAsia"/>
          <w:lang w:val="en-US" w:eastAsia="zh-CN"/>
        </w:rPr>
        <w:drawing>
          <wp:anchor distT="0" distB="0" distL="114300" distR="114300" simplePos="0" relativeHeight="251666432" behindDoc="0" locked="0" layoutInCell="1" allowOverlap="1">
            <wp:simplePos x="0" y="0"/>
            <wp:positionH relativeFrom="column">
              <wp:posOffset>323215</wp:posOffset>
            </wp:positionH>
            <wp:positionV relativeFrom="paragraph">
              <wp:posOffset>74930</wp:posOffset>
            </wp:positionV>
            <wp:extent cx="4248150" cy="2543810"/>
            <wp:effectExtent l="4445" t="4445" r="14605" b="2349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5065657">
      <w:pPr>
        <w:spacing w:line="600" w:lineRule="exact"/>
        <w:ind w:firstLine="640"/>
        <w:rPr>
          <w:rFonts w:hint="eastAsia" w:ascii="仿宋" w:hAnsi="仿宋" w:eastAsia="仿宋"/>
          <w:color w:val="FF0000"/>
          <w:sz w:val="32"/>
          <w:szCs w:val="32"/>
        </w:rPr>
      </w:pPr>
    </w:p>
    <w:p w14:paraId="43DDB3AE">
      <w:pPr>
        <w:spacing w:line="600" w:lineRule="exact"/>
        <w:ind w:firstLine="640"/>
        <w:rPr>
          <w:rFonts w:hint="eastAsia" w:ascii="仿宋" w:hAnsi="仿宋" w:eastAsia="仿宋"/>
          <w:color w:val="FF0000"/>
          <w:sz w:val="32"/>
          <w:szCs w:val="32"/>
        </w:rPr>
      </w:pPr>
    </w:p>
    <w:p w14:paraId="797BBA26">
      <w:pPr>
        <w:spacing w:line="600" w:lineRule="exact"/>
        <w:ind w:firstLine="640"/>
        <w:rPr>
          <w:rFonts w:hint="eastAsia" w:ascii="仿宋" w:hAnsi="仿宋" w:eastAsia="仿宋"/>
          <w:color w:val="FF0000"/>
          <w:sz w:val="32"/>
          <w:szCs w:val="32"/>
        </w:rPr>
      </w:pPr>
    </w:p>
    <w:p w14:paraId="3B2E52D2">
      <w:pPr>
        <w:spacing w:line="600" w:lineRule="exact"/>
        <w:ind w:firstLine="640"/>
        <w:rPr>
          <w:rFonts w:hint="eastAsia" w:ascii="仿宋" w:hAnsi="仿宋" w:eastAsia="仿宋"/>
          <w:color w:val="FF0000"/>
          <w:sz w:val="32"/>
          <w:szCs w:val="32"/>
        </w:rPr>
      </w:pPr>
    </w:p>
    <w:p w14:paraId="1EF5C018">
      <w:pPr>
        <w:spacing w:line="600" w:lineRule="exact"/>
        <w:ind w:firstLine="640"/>
        <w:rPr>
          <w:rFonts w:hint="eastAsia" w:ascii="仿宋" w:hAnsi="仿宋" w:eastAsia="仿宋"/>
          <w:color w:val="FF0000"/>
          <w:sz w:val="32"/>
          <w:szCs w:val="32"/>
        </w:rPr>
      </w:pPr>
    </w:p>
    <w:p w14:paraId="5734C979">
      <w:pPr>
        <w:spacing w:line="600" w:lineRule="exact"/>
        <w:ind w:firstLine="640"/>
        <w:rPr>
          <w:rFonts w:ascii="仿宋_GB2312" w:eastAsia="仿宋_GB2312"/>
          <w:b/>
          <w:sz w:val="32"/>
          <w:szCs w:val="32"/>
        </w:rPr>
      </w:pPr>
    </w:p>
    <w:p w14:paraId="716F0661">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原因及开支内容等情况。</w:t>
      </w:r>
    </w:p>
    <w:p w14:paraId="74C47F4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7.41</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 w:hAnsi="仿宋" w:eastAsia="仿宋"/>
          <w:sz w:val="32"/>
          <w:szCs w:val="32"/>
        </w:rPr>
        <w:t>较上年度减少49.</w:t>
      </w:r>
      <w:r>
        <w:rPr>
          <w:rFonts w:hint="eastAsia" w:ascii="仿宋" w:hAnsi="仿宋" w:eastAsia="仿宋"/>
          <w:sz w:val="32"/>
          <w:szCs w:val="32"/>
          <w:lang w:val="en-US" w:eastAsia="zh-CN"/>
        </w:rPr>
        <w:t>23</w:t>
      </w:r>
      <w:r>
        <w:rPr>
          <w:rFonts w:hint="eastAsia" w:ascii="仿宋" w:hAnsi="仿宋" w:eastAsia="仿宋"/>
          <w:sz w:val="32"/>
          <w:szCs w:val="32"/>
        </w:rPr>
        <w:t>万元，下降</w:t>
      </w:r>
      <w:r>
        <w:rPr>
          <w:rFonts w:hint="eastAsia" w:ascii="仿宋" w:hAnsi="仿宋" w:eastAsia="仿宋"/>
          <w:sz w:val="32"/>
          <w:szCs w:val="32"/>
          <w:lang w:val="en-US" w:eastAsia="zh-CN"/>
        </w:rPr>
        <w:t>86.92</w:t>
      </w:r>
      <w:r>
        <w:rPr>
          <w:rFonts w:hint="eastAsia" w:ascii="仿宋" w:hAnsi="仿宋" w:eastAsia="仿宋"/>
          <w:sz w:val="32"/>
          <w:szCs w:val="32"/>
        </w:rPr>
        <w:t>%。下降的主要原因是减少公务用车购置费用。</w:t>
      </w:r>
    </w:p>
    <w:p w14:paraId="6EC53344">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w:t>
      </w:r>
    </w:p>
    <w:p w14:paraId="590FB6BA">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7.41</w:t>
      </w:r>
      <w:r>
        <w:rPr>
          <w:rFonts w:hint="eastAsia" w:ascii="仿宋_GB2312" w:eastAsia="仿宋_GB2312"/>
          <w:sz w:val="32"/>
          <w:szCs w:val="32"/>
        </w:rPr>
        <w:t>万元。</w:t>
      </w:r>
      <w:r>
        <w:rPr>
          <w:rFonts w:hint="eastAsia" w:ascii="仿宋_GB2312" w:eastAsia="仿宋_GB2312"/>
          <w:color w:val="000000"/>
          <w:sz w:val="32"/>
          <w:szCs w:val="32"/>
        </w:rPr>
        <w:t>主要用于开展天府科技云等科普业务调研、乡村振兴下乡、森林防灭火、向上级汇报工作、外出参加会议（培训）</w:t>
      </w:r>
      <w:r>
        <w:rPr>
          <w:rFonts w:hint="eastAsia" w:ascii="仿宋_GB2312" w:eastAsia="仿宋_GB2312"/>
          <w:sz w:val="32"/>
          <w:szCs w:val="32"/>
        </w:rPr>
        <w:t>等所需的公务用车燃料费、维修费、过路过桥费、保险费等支出。</w:t>
      </w:r>
    </w:p>
    <w:p w14:paraId="25A7E4DA">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0.19</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100%</w:t>
      </w:r>
      <w:r>
        <w:rPr>
          <w:rStyle w:val="20"/>
          <w:rFonts w:hint="eastAsia" w:ascii="仿宋" w:hAnsi="仿宋" w:eastAsia="仿宋"/>
          <w:b w:val="0"/>
          <w:bCs/>
          <w:sz w:val="32"/>
          <w:szCs w:val="32"/>
        </w:rPr>
        <w:t>。</w:t>
      </w:r>
      <w:r>
        <w:rPr>
          <w:rFonts w:hint="eastAsia" w:ascii="仿宋_GB2312" w:eastAsia="仿宋_GB2312"/>
          <w:sz w:val="32"/>
          <w:szCs w:val="32"/>
        </w:rPr>
        <w:t>公务接待费支出决算比2022年度增加0.04万元，增长27</w:t>
      </w:r>
      <w:r>
        <w:rPr>
          <w:rFonts w:ascii="仿宋_GB2312" w:eastAsia="仿宋_GB2312"/>
          <w:sz w:val="32"/>
          <w:szCs w:val="32"/>
        </w:rPr>
        <w:t>%</w:t>
      </w:r>
      <w:r>
        <w:rPr>
          <w:rFonts w:hint="eastAsia" w:ascii="仿宋_GB2312" w:eastAsia="仿宋_GB2312"/>
          <w:sz w:val="32"/>
          <w:szCs w:val="32"/>
        </w:rPr>
        <w:t>。主要原因是增加接待金额。其中：</w:t>
      </w:r>
    </w:p>
    <w:p w14:paraId="7DE45C81">
      <w:pPr>
        <w:spacing w:line="600" w:lineRule="exact"/>
        <w:ind w:firstLine="640"/>
        <w:rPr>
          <w:rFonts w:ascii="仿宋_GB2312" w:eastAsia="仿宋_GB2312"/>
          <w:sz w:val="32"/>
          <w:szCs w:val="32"/>
        </w:rPr>
      </w:pPr>
      <w:r>
        <w:rPr>
          <w:rFonts w:hint="eastAsia" w:ascii="仿宋" w:hAnsi="仿宋" w:eastAsia="仿宋"/>
          <w:b/>
          <w:sz w:val="32"/>
          <w:szCs w:val="32"/>
        </w:rPr>
        <w:t>国内公务接待支出0.19</w:t>
      </w:r>
      <w:r>
        <w:rPr>
          <w:rFonts w:hint="eastAsia" w:ascii="仿宋_GB2312" w:eastAsia="仿宋_GB2312"/>
          <w:sz w:val="32"/>
          <w:szCs w:val="32"/>
        </w:rPr>
        <w:t>万元，主要用于接待会东科协和宁波科协业务公务费用。国内公务接待2批次，18人次（不包括陪同人员），共计支出0.19万元，具体内容包括接待会东</w:t>
      </w:r>
      <w:r>
        <w:rPr>
          <w:rFonts w:hint="eastAsia" w:ascii="仿宋_GB2312" w:eastAsia="仿宋_GB2312"/>
          <w:sz w:val="32"/>
          <w:szCs w:val="32"/>
          <w:lang w:eastAsia="zh-CN"/>
        </w:rPr>
        <w:t>县</w:t>
      </w:r>
      <w:r>
        <w:rPr>
          <w:rFonts w:hint="eastAsia" w:ascii="仿宋_GB2312" w:eastAsia="仿宋_GB2312"/>
          <w:sz w:val="32"/>
          <w:szCs w:val="32"/>
        </w:rPr>
        <w:t>科协5人</w:t>
      </w:r>
      <w:r>
        <w:rPr>
          <w:rFonts w:hint="eastAsia" w:ascii="仿宋_GB2312" w:eastAsia="仿宋_GB2312"/>
          <w:sz w:val="32"/>
          <w:szCs w:val="32"/>
          <w:lang w:eastAsia="zh-CN"/>
        </w:rPr>
        <w:t>汇报协商</w:t>
      </w:r>
      <w:r>
        <w:rPr>
          <w:rFonts w:hint="eastAsia" w:ascii="仿宋_GB2312" w:eastAsia="仿宋_GB2312"/>
          <w:sz w:val="32"/>
          <w:szCs w:val="32"/>
        </w:rPr>
        <w:t>大篷车活动费用0.0714万元、接待乡村振兴对口单位宁波科协13人凉山调研费用0.1144万元。</w:t>
      </w:r>
    </w:p>
    <w:p w14:paraId="507E3A65">
      <w:pPr>
        <w:spacing w:line="600" w:lineRule="exact"/>
        <w:ind w:firstLine="643" w:firstLineChars="200"/>
        <w:rPr>
          <w:rFonts w:ascii="仿宋_GB2312" w:eastAsia="仿宋_GB2312"/>
          <w:color w:val="000000"/>
          <w:sz w:val="32"/>
          <w:szCs w:val="32"/>
        </w:rPr>
      </w:pPr>
      <w:bookmarkStart w:id="46" w:name="_Toc15377218"/>
      <w:bookmarkStart w:id="47" w:name="_Toc15396610"/>
      <w:r>
        <w:rPr>
          <w:rFonts w:hint="eastAsia" w:ascii="仿宋" w:hAnsi="仿宋" w:eastAsia="仿宋"/>
          <w:b/>
          <w:color w:val="000000"/>
          <w:sz w:val="32"/>
          <w:szCs w:val="32"/>
        </w:rPr>
        <w:t>外事接待支出0</w:t>
      </w:r>
      <w:r>
        <w:rPr>
          <w:rFonts w:hint="eastAsia" w:ascii="仿宋_GB2312" w:eastAsia="仿宋_GB2312"/>
          <w:color w:val="000000"/>
          <w:sz w:val="32"/>
          <w:szCs w:val="32"/>
        </w:rPr>
        <w:t>万元，外事接待0批次，0人，共计支出0万元。</w:t>
      </w:r>
    </w:p>
    <w:p w14:paraId="1C4FD0E2">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其他国内公务接待支出0</w:t>
      </w:r>
      <w:r>
        <w:rPr>
          <w:rFonts w:hint="eastAsia" w:ascii="仿宋_GB2312" w:eastAsia="仿宋_GB2312"/>
          <w:color w:val="000000"/>
          <w:sz w:val="32"/>
          <w:szCs w:val="32"/>
        </w:rPr>
        <w:t>万元。</w:t>
      </w:r>
    </w:p>
    <w:p w14:paraId="42166AFF">
      <w:pPr>
        <w:spacing w:line="600" w:lineRule="exact"/>
        <w:ind w:firstLine="640" w:firstLineChars="200"/>
        <w:outlineLvl w:val="1"/>
        <w:rPr>
          <w:rStyle w:val="32"/>
          <w:rFonts w:ascii="黑体" w:hAnsi="黑体" w:eastAsia="黑体"/>
        </w:rPr>
      </w:pPr>
      <w:r>
        <w:rPr>
          <w:rFonts w:hint="eastAsia" w:ascii="黑体" w:eastAsia="黑体"/>
          <w:sz w:val="32"/>
          <w:szCs w:val="32"/>
        </w:rPr>
        <w:t>八、</w:t>
      </w:r>
      <w:r>
        <w:rPr>
          <w:rStyle w:val="32"/>
          <w:rFonts w:hint="eastAsia" w:ascii="黑体" w:hAnsi="黑体" w:eastAsia="黑体"/>
          <w:b w:val="0"/>
        </w:rPr>
        <w:t>政府性基金预算支出决算情况说明</w:t>
      </w:r>
      <w:bookmarkEnd w:id="46"/>
      <w:bookmarkEnd w:id="47"/>
    </w:p>
    <w:p w14:paraId="28F118B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14:paraId="0C8FC251">
      <w:pPr>
        <w:numPr>
          <w:ilvl w:val="0"/>
          <w:numId w:val="0"/>
        </w:numPr>
        <w:spacing w:line="600" w:lineRule="exact"/>
        <w:ind w:firstLine="640" w:firstLineChars="200"/>
        <w:outlineLvl w:val="1"/>
        <w:rPr>
          <w:rStyle w:val="32"/>
          <w:rFonts w:ascii="黑体" w:hAnsi="黑体" w:eastAsia="黑体"/>
          <w:b w:val="0"/>
        </w:rPr>
      </w:pPr>
      <w:bookmarkStart w:id="48" w:name="_Toc15396611"/>
      <w:bookmarkStart w:id="49" w:name="_Toc15377219"/>
      <w:r>
        <w:rPr>
          <w:rStyle w:val="32"/>
          <w:rFonts w:hint="eastAsia" w:ascii="黑体" w:hAnsi="黑体" w:eastAsia="黑体"/>
          <w:b w:val="0"/>
          <w:lang w:eastAsia="zh-CN"/>
        </w:rPr>
        <w:t>九、</w:t>
      </w:r>
      <w:r>
        <w:rPr>
          <w:rStyle w:val="32"/>
          <w:rFonts w:hint="eastAsia" w:ascii="黑体" w:hAnsi="黑体" w:eastAsia="黑体"/>
          <w:b w:val="0"/>
        </w:rPr>
        <w:t>国有资本经营预算支出决算情况说明</w:t>
      </w:r>
      <w:bookmarkEnd w:id="48"/>
      <w:bookmarkEnd w:id="49"/>
    </w:p>
    <w:p w14:paraId="13E0660F">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14:paraId="625F1AE6">
      <w:pPr>
        <w:numPr>
          <w:ilvl w:val="0"/>
          <w:numId w:val="0"/>
        </w:numPr>
        <w:spacing w:line="600" w:lineRule="exact"/>
        <w:ind w:firstLine="640" w:firstLineChars="200"/>
        <w:outlineLvl w:val="1"/>
        <w:rPr>
          <w:rStyle w:val="32"/>
          <w:rFonts w:ascii="黑体" w:hAnsi="黑体" w:eastAsia="黑体"/>
          <w:b w:val="0"/>
        </w:rPr>
      </w:pPr>
      <w:bookmarkStart w:id="50" w:name="_Toc15377221"/>
      <w:bookmarkStart w:id="51" w:name="_Toc15396612"/>
      <w:r>
        <w:rPr>
          <w:rStyle w:val="32"/>
          <w:rFonts w:hint="eastAsia" w:ascii="黑体" w:hAnsi="黑体" w:eastAsia="黑体"/>
          <w:b w:val="0"/>
          <w:lang w:eastAsia="zh-CN"/>
        </w:rPr>
        <w:t>十、</w:t>
      </w:r>
      <w:r>
        <w:rPr>
          <w:rStyle w:val="32"/>
          <w:rFonts w:hint="eastAsia" w:ascii="黑体" w:hAnsi="黑体" w:eastAsia="黑体"/>
          <w:b w:val="0"/>
        </w:rPr>
        <w:t>其他重要事项的情况说明</w:t>
      </w:r>
      <w:bookmarkEnd w:id="50"/>
      <w:bookmarkEnd w:id="51"/>
    </w:p>
    <w:p w14:paraId="592FCC26">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14:paraId="403D3580">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凉山州科学技术协会</w:t>
      </w:r>
      <w:r>
        <w:rPr>
          <w:rFonts w:hint="eastAsia" w:ascii="仿宋_GB2312" w:eastAsia="仿宋_GB2312"/>
          <w:sz w:val="32"/>
          <w:szCs w:val="32"/>
        </w:rPr>
        <w:t>机关运行经费支出</w:t>
      </w:r>
      <w:r>
        <w:rPr>
          <w:sz w:val="32"/>
          <w:szCs w:val="32"/>
        </w:rPr>
        <w:t>51.17</w:t>
      </w:r>
      <w:r>
        <w:rPr>
          <w:rFonts w:hint="eastAsia" w:ascii="仿宋_GB2312" w:eastAsia="仿宋_GB2312"/>
          <w:sz w:val="32"/>
          <w:szCs w:val="32"/>
        </w:rPr>
        <w:t>万元，比2022年度增加1.84万元，增长37.3</w:t>
      </w:r>
      <w:r>
        <w:rPr>
          <w:rFonts w:ascii="仿宋_GB2312" w:eastAsia="仿宋_GB2312"/>
          <w:sz w:val="32"/>
          <w:szCs w:val="32"/>
        </w:rPr>
        <w:t>%</w:t>
      </w:r>
      <w:r>
        <w:rPr>
          <w:rFonts w:hint="eastAsia" w:ascii="仿宋_GB2312" w:eastAsia="仿宋_GB2312"/>
          <w:sz w:val="32"/>
          <w:szCs w:val="32"/>
        </w:rPr>
        <w:t>。主要原因是按照正常晋级职工工资基数增提职工福利费工会经费等。</w:t>
      </w:r>
    </w:p>
    <w:p w14:paraId="2C07329A">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14:paraId="24218C92">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凉山州科学技术协会</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14:paraId="363C5817">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14:paraId="1237A3BE">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凉山州科学技术协会</w:t>
      </w:r>
      <w:r>
        <w:rPr>
          <w:rFonts w:hint="eastAsia" w:ascii="仿宋_GB2312" w:eastAsia="仿宋_GB2312"/>
          <w:sz w:val="32"/>
          <w:szCs w:val="32"/>
        </w:rPr>
        <w:t>共有车辆</w:t>
      </w:r>
      <w:r>
        <w:rPr>
          <w:rFonts w:ascii="仿宋_GB2312" w:eastAsia="仿宋_GB2312"/>
          <w:sz w:val="32"/>
          <w:szCs w:val="32"/>
        </w:rPr>
        <w:t>1</w:t>
      </w:r>
      <w:r>
        <w:rPr>
          <w:rFonts w:hint="eastAsia" w:ascii="仿宋_GB2312" w:eastAsia="仿宋_GB2312"/>
          <w:sz w:val="32"/>
          <w:szCs w:val="32"/>
        </w:rPr>
        <w:t>辆，其中：主要领导干部用车0辆、机要通信用车0辆、应急保障用车0辆、其他用车1辆</w:t>
      </w:r>
      <w:r>
        <w:rPr>
          <w:rFonts w:hint="eastAsia" w:ascii="仿宋_GB2312" w:eastAsia="仿宋_GB2312"/>
          <w:sz w:val="32"/>
          <w:szCs w:val="32"/>
          <w:lang w:eastAsia="zh-CN"/>
        </w:rPr>
        <w:t>。</w:t>
      </w:r>
      <w:r>
        <w:rPr>
          <w:rFonts w:hint="eastAsia" w:ascii="仿宋_GB2312" w:eastAsia="仿宋_GB2312"/>
          <w:color w:val="000000"/>
          <w:sz w:val="32"/>
          <w:szCs w:val="32"/>
        </w:rPr>
        <w:t>其他用车主要是用于开展天府科技云等科普业务调研、乡村振兴下乡、森林防灭火、向上级汇报工作等所需的车辆。</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14:paraId="23A08481">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567C518">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根据预算绩效管理要求，本部门在年中预算编制阶段，2023年对年中新增需要入库项目，按照要求对</w:t>
      </w:r>
      <w:r>
        <w:rPr>
          <w:rFonts w:hint="eastAsia" w:ascii="仿宋_GB2312" w:hAnsi="仿宋_GB2312" w:eastAsia="仿宋_GB2312" w:cs="仿宋_GB2312"/>
          <w:sz w:val="32"/>
          <w:szCs w:val="32"/>
          <w:lang w:eastAsia="zh-CN"/>
        </w:rPr>
        <w:t>“凉山州科学技术协会换届选举项目”、“关爱儿童示范岗补助经费”、“人才发展专项”</w:t>
      </w:r>
      <w:r>
        <w:rPr>
          <w:rFonts w:hint="eastAsia" w:ascii="仿宋_GB2312" w:hAnsi="仿宋_GB2312" w:eastAsia="仿宋_GB2312" w:cs="仿宋_GB2312"/>
          <w:sz w:val="32"/>
          <w:szCs w:val="32"/>
        </w:rPr>
        <w:t>3个项目开展了预算事前绩效评估；对新增及延续11个项目编制了绩效目标；预算执行过程中，对11个项目开展绩效监控。</w:t>
      </w:r>
    </w:p>
    <w:p w14:paraId="1CE9FF53">
      <w:pPr>
        <w:pStyle w:val="37"/>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组织对202</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年度一般公共预算全面开展绩效自评，形成</w:t>
      </w:r>
      <w:bookmarkStart w:id="55" w:name="OLE_LINK35"/>
      <w:r>
        <w:rPr>
          <w:rFonts w:hint="eastAsia" w:ascii="仿宋_GB2312" w:hAnsi="仿宋_GB2312" w:eastAsia="仿宋_GB2312" w:cs="仿宋_GB2312"/>
          <w:sz w:val="32"/>
          <w:szCs w:val="32"/>
        </w:rPr>
        <w:t>凉山州科学技术协会</w:t>
      </w:r>
      <w:bookmarkEnd w:id="55"/>
      <w:r>
        <w:rPr>
          <w:rFonts w:hint="eastAsia" w:ascii="仿宋_GB2312" w:hAnsi="仿宋_GB2312" w:eastAsia="仿宋_GB2312" w:cs="仿宋_GB2312"/>
          <w:sz w:val="32"/>
          <w:szCs w:val="32"/>
        </w:rPr>
        <w:t>部门整体绩效自评报告</w:t>
      </w:r>
      <w:bookmarkStart w:id="56" w:name="OLE_LINK36"/>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bookmarkEnd w:id="5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凉山州科学技术协会</w:t>
      </w:r>
      <w:r>
        <w:rPr>
          <w:rFonts w:hint="eastAsia" w:ascii="仿宋_GB2312" w:hAnsi="仿宋_GB2312" w:eastAsia="仿宋_GB2312" w:cs="仿宋_GB2312"/>
          <w:sz w:val="32"/>
          <w:szCs w:val="32"/>
          <w:lang w:eastAsia="zh-CN"/>
        </w:rPr>
        <w:t>部门预算绩效报告</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bookmarkStart w:id="57" w:name="OLE_LINK47"/>
      <w:r>
        <w:rPr>
          <w:rFonts w:hint="eastAsia" w:ascii="仿宋_GB2312" w:hAnsi="仿宋_GB2312" w:eastAsia="仿宋_GB2312" w:cs="仿宋_GB2312"/>
          <w:sz w:val="32"/>
          <w:szCs w:val="32"/>
        </w:rPr>
        <w:t>专项</w:t>
      </w:r>
      <w:bookmarkEnd w:id="57"/>
      <w:r>
        <w:rPr>
          <w:rFonts w:hint="eastAsia" w:ascii="仿宋_GB2312" w:hAnsi="仿宋_GB2312" w:eastAsia="仿宋_GB2312" w:cs="仿宋_GB2312"/>
          <w:sz w:val="32"/>
          <w:szCs w:val="32"/>
        </w:rPr>
        <w:t>预算项目“凉山州科学技术协会换届选举项目”</w:t>
      </w:r>
      <w:bookmarkStart w:id="58" w:name="OLE_LINK16"/>
      <w:bookmarkStart w:id="59" w:name="OLE_LINK15"/>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rPr>
        <w:t>2-1</w:t>
      </w:r>
      <w:r>
        <w:rPr>
          <w:rFonts w:hint="eastAsia" w:ascii="仿宋_GB2312" w:hAnsi="仿宋_GB2312" w:eastAsia="仿宋_GB2312" w:cs="仿宋_GB2312"/>
          <w:sz w:val="32"/>
          <w:szCs w:val="32"/>
        </w:rPr>
        <w:t>）</w:t>
      </w:r>
      <w:bookmarkEnd w:id="58"/>
      <w:bookmarkEnd w:id="59"/>
      <w:bookmarkStart w:id="60" w:name="OLE_LINK9"/>
      <w:bookmarkStart w:id="61" w:name="OLE_LINK8"/>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第38届凉山州青少年科技创新大赛项目绩效自评</w:t>
      </w:r>
      <w:r>
        <w:rPr>
          <w:rFonts w:hint="eastAsia" w:ascii="仿宋_GB2312" w:hAnsi="仿宋_GB2312" w:eastAsia="仿宋_GB2312" w:cs="仿宋_GB2312"/>
          <w:sz w:val="32"/>
          <w:szCs w:val="32"/>
          <w:lang w:val="en-US"/>
        </w:rPr>
        <w:t>报告</w:t>
      </w:r>
      <w:bookmarkStart w:id="62" w:name="OLE_LINK6"/>
      <w:bookmarkStart w:id="63" w:name="OLE_LINK5"/>
      <w:bookmarkStart w:id="64" w:name="OLE_LINK7"/>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rPr>
        <w:t>2-2</w:t>
      </w:r>
      <w:r>
        <w:rPr>
          <w:rFonts w:hint="eastAsia" w:ascii="仿宋_GB2312" w:hAnsi="仿宋_GB2312" w:eastAsia="仿宋_GB2312" w:cs="仿宋_GB2312"/>
          <w:sz w:val="32"/>
          <w:szCs w:val="32"/>
        </w:rPr>
        <w:t>）</w:t>
      </w:r>
      <w:bookmarkEnd w:id="60"/>
      <w:bookmarkEnd w:id="61"/>
      <w:bookmarkEnd w:id="62"/>
      <w:bookmarkEnd w:id="63"/>
      <w:bookmarkEnd w:id="64"/>
      <w:r>
        <w:rPr>
          <w:rFonts w:hint="eastAsia" w:ascii="仿宋_GB2312" w:hAnsi="仿宋_GB2312" w:eastAsia="仿宋_GB2312" w:cs="仿宋_GB2312"/>
          <w:sz w:val="32"/>
          <w:szCs w:val="32"/>
        </w:rPr>
        <w:t>、</w:t>
      </w:r>
      <w:bookmarkStart w:id="65" w:name="OLE_LINK33"/>
      <w:bookmarkStart w:id="66" w:name="OLE_LINK34"/>
      <w:r>
        <w:rPr>
          <w:rFonts w:hint="eastAsia" w:ascii="仿宋_GB2312" w:hAnsi="仿宋_GB2312" w:eastAsia="仿宋_GB2312" w:cs="仿宋_GB2312"/>
          <w:sz w:val="32"/>
          <w:szCs w:val="32"/>
        </w:rPr>
        <w:t>学术交流活动绩效自评报告</w:t>
      </w:r>
      <w:bookmarkEnd w:id="65"/>
      <w:bookmarkEnd w:id="66"/>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rPr>
        <w:t xml:space="preserve">:  </w:t>
      </w:r>
    </w:p>
    <w:p w14:paraId="4B5CA276">
      <w:pPr>
        <w:pStyle w:val="37"/>
        <w:spacing w:line="560" w:lineRule="exact"/>
        <w:ind w:firstLine="640" w:firstLineChars="200"/>
        <w:jc w:val="left"/>
        <w:rPr>
          <w:rFonts w:hint="eastAsia" w:ascii="仿宋_GB2312" w:hAnsi="Calibri" w:eastAsia="仿宋_GB2312" w:cs="仿宋"/>
          <w:color w:val="auto"/>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凉山州科学技术协会部门整体绩效自评</w:t>
      </w:r>
      <w:bookmarkStart w:id="67" w:name="OLE_LINK2"/>
      <w:r>
        <w:rPr>
          <w:rFonts w:hint="eastAsia" w:ascii="仿宋_GB2312" w:hAnsi="仿宋_GB2312" w:eastAsia="仿宋_GB2312" w:cs="仿宋_GB2312"/>
          <w:sz w:val="32"/>
          <w:szCs w:val="32"/>
        </w:rPr>
        <w:t>得分为9</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rPr>
        <w:t>分</w:t>
      </w:r>
      <w:bookmarkEnd w:id="67"/>
      <w:r>
        <w:rPr>
          <w:rFonts w:hint="eastAsia" w:ascii="仿宋_GB2312" w:hAnsi="仿宋_GB2312" w:eastAsia="仿宋_GB2312" w:cs="仿宋_GB2312"/>
          <w:sz w:val="32"/>
          <w:szCs w:val="32"/>
        </w:rPr>
        <w:t>。</w:t>
      </w:r>
      <w:bookmarkStart w:id="68" w:name="OLE_LINK13"/>
      <w:bookmarkStart w:id="69" w:name="OLE_LINK14"/>
      <w:r>
        <w:rPr>
          <w:rFonts w:hint="eastAsia" w:ascii="仿宋_GB2312" w:hAnsi="仿宋_GB2312" w:eastAsia="仿宋_GB2312" w:cs="仿宋_GB2312"/>
          <w:sz w:val="32"/>
          <w:szCs w:val="32"/>
        </w:rPr>
        <w:t>绩效自评综述：</w:t>
      </w:r>
      <w:bookmarkEnd w:id="68"/>
      <w:bookmarkEnd w:id="69"/>
      <w:r>
        <w:rPr>
          <w:rFonts w:hint="eastAsia" w:ascii="仿宋_GB2312" w:hAnsi="仿宋_GB2312" w:eastAsia="仿宋_GB2312" w:cs="仿宋_GB2312"/>
          <w:color w:val="auto"/>
          <w:sz w:val="32"/>
          <w:szCs w:val="32"/>
        </w:rPr>
        <w:t>2023年在州委、州政府的坚强领导下，在经历了疫情和森林防灭的考验下，</w:t>
      </w:r>
      <w:r>
        <w:rPr>
          <w:rFonts w:hint="eastAsia" w:ascii="仿宋_GB2312" w:hAnsi="仿宋_GB2312" w:eastAsia="仿宋_GB2312" w:cs="仿宋_GB2312"/>
          <w:color w:val="auto"/>
          <w:sz w:val="32"/>
          <w:szCs w:val="32"/>
          <w:lang w:eastAsia="zh-CN"/>
        </w:rPr>
        <w:t>我们</w:t>
      </w:r>
      <w:r>
        <w:rPr>
          <w:rFonts w:hint="eastAsia" w:ascii="仿宋_GB2312" w:hAnsi="仿宋_GB2312" w:eastAsia="仿宋_GB2312" w:cs="仿宋_GB2312"/>
          <w:color w:val="auto"/>
          <w:sz w:val="32"/>
          <w:szCs w:val="32"/>
        </w:rPr>
        <w:t>全面学习贯彻党中央二十大精神，坚定以习总书记“四服务”重要指示为统揽，结合科协自身实际，围绕省科协天府科技云服务重点项目工作为中心，按照年初计划，开展科普宣传、学术交流、青少年科技教育实践、提高全民科学素质、全力推进科普建设、科技创新，充分发挥科技资源优势，为全州各级政府决策和科研工作者服好务。同时，扎实开展党的建设、巩固脱贫攻坚成果有效衔接乡村振兴、社会服务等工作，顺利完成了以上各项重点工作任务。在执行预算中，支出经济科目在预算编制和实际支出决算上存在一定的差异，体现了编制不够精准；年末对重点项目进行了追踪，完成情况良好，但因受疫情余波影响项目执行进度前期较缓慢，极个别绩效目标实际完成有点偏离预期指标。在绩效结果应用方面，按照州财政局工作要求，我部门于年</w:t>
      </w:r>
      <w:r>
        <w:rPr>
          <w:rFonts w:hint="eastAsia" w:ascii="仿宋_GB2312" w:hAnsi="Calibri" w:eastAsia="仿宋_GB2312" w:cs="仿宋"/>
          <w:sz w:val="32"/>
          <w:szCs w:val="32"/>
        </w:rPr>
        <w:t>度将本级部门预算、决算批复、整体支出和项目支出绩效评价报告以及转移支付绩效目标表等相关表格在规定的时间内，在凉山州政府网站和州科学技术协会网站进行公开公示；州科协党组针对自评找出的问题进行整改，要求各部门优化细化预算编制，重视对经济科目的编制，防止执行预算时发生较大的差异；预算资金使用的管理上有待加强，应按预算进度及时支付，完成工作，避免资金滞留账上。我们在单位开展部门整体</w:t>
      </w:r>
      <w:r>
        <w:rPr>
          <w:rFonts w:hint="eastAsia" w:ascii="仿宋_GB2312" w:hAnsi="Calibri" w:eastAsia="仿宋_GB2312" w:cs="仿宋"/>
          <w:color w:val="auto"/>
          <w:sz w:val="32"/>
          <w:szCs w:val="32"/>
        </w:rPr>
        <w:t>支出绩效管理工作自查自评中，内容完整、观点客观、建议举措具有一定价值，工作中能够对照问题按照规章制度严格执行立即整改。综上所述，故自评扣分</w:t>
      </w:r>
      <w:r>
        <w:rPr>
          <w:rFonts w:hint="eastAsia" w:ascii="仿宋_GB2312" w:hAnsi="Calibri" w:eastAsia="仿宋_GB2312" w:cs="仿宋"/>
          <w:color w:val="auto"/>
          <w:sz w:val="32"/>
          <w:szCs w:val="32"/>
          <w:lang w:val="en-US"/>
        </w:rPr>
        <w:t>3分，</w:t>
      </w:r>
      <w:r>
        <w:rPr>
          <w:rFonts w:hint="eastAsia" w:ascii="仿宋_GB2312" w:hAnsi="Calibri" w:eastAsia="仿宋_GB2312" w:cs="仿宋"/>
          <w:color w:val="auto"/>
          <w:sz w:val="32"/>
          <w:szCs w:val="32"/>
        </w:rPr>
        <w:t>得分</w:t>
      </w:r>
      <w:r>
        <w:rPr>
          <w:rFonts w:hint="eastAsia" w:ascii="仿宋_GB2312" w:hAnsi="Calibri" w:eastAsia="仿宋_GB2312" w:cs="仿宋"/>
          <w:color w:val="auto"/>
          <w:sz w:val="32"/>
          <w:szCs w:val="32"/>
          <w:lang w:val="en-US"/>
        </w:rPr>
        <w:t>97</w:t>
      </w:r>
      <w:r>
        <w:rPr>
          <w:rFonts w:hint="eastAsia" w:ascii="仿宋_GB2312" w:hAnsi="Calibri" w:eastAsia="仿宋_GB2312" w:cs="仿宋"/>
          <w:color w:val="auto"/>
          <w:sz w:val="32"/>
          <w:szCs w:val="32"/>
        </w:rPr>
        <w:t>分。</w:t>
      </w:r>
      <w:r>
        <w:rPr>
          <w:rFonts w:hint="eastAsia" w:ascii="仿宋_GB2312" w:hAnsi="Calibri" w:eastAsia="仿宋_GB2312" w:cs="仿宋"/>
          <w:color w:val="auto"/>
          <w:sz w:val="32"/>
          <w:szCs w:val="32"/>
          <w:lang w:val="en-US"/>
        </w:rPr>
        <w:t>(整体</w:t>
      </w:r>
      <w:r>
        <w:rPr>
          <w:rFonts w:hint="eastAsia" w:ascii="仿宋_GB2312" w:hAnsi="Calibri" w:eastAsia="仿宋_GB2312" w:cs="仿宋"/>
          <w:color w:val="auto"/>
          <w:sz w:val="32"/>
          <w:szCs w:val="32"/>
        </w:rPr>
        <w:t>绩效自评报告详见附件</w:t>
      </w:r>
      <w:r>
        <w:rPr>
          <w:rFonts w:hint="eastAsia" w:ascii="仿宋_GB2312" w:hAnsi="Calibri" w:eastAsia="仿宋_GB2312" w:cs="仿宋"/>
          <w:color w:val="auto"/>
          <w:sz w:val="32"/>
          <w:szCs w:val="32"/>
          <w:lang w:val="en-US"/>
        </w:rPr>
        <w:t>1)</w:t>
      </w:r>
    </w:p>
    <w:p w14:paraId="20244967">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2.</w:t>
      </w:r>
      <w:bookmarkStart w:id="70" w:name="OLE_LINK48"/>
      <w:r>
        <w:rPr>
          <w:rFonts w:hint="eastAsia" w:ascii="仿宋_GB2312" w:hAnsi="仿宋_GB2312" w:eastAsia="仿宋_GB2312" w:cs="仿宋_GB2312"/>
          <w:sz w:val="32"/>
          <w:szCs w:val="32"/>
        </w:rPr>
        <w:t>专项</w:t>
      </w:r>
      <w:bookmarkEnd w:id="70"/>
      <w:r>
        <w:rPr>
          <w:rFonts w:hint="eastAsia" w:ascii="仿宋_GB2312" w:hAnsi="仿宋_GB2312" w:eastAsia="仿宋_GB2312" w:cs="仿宋_GB2312"/>
          <w:sz w:val="32"/>
          <w:szCs w:val="32"/>
        </w:rPr>
        <w:t>“凉山州科学技术协会换届选举”项目</w:t>
      </w:r>
      <w:bookmarkStart w:id="71" w:name="OLE_LINK19"/>
      <w:bookmarkStart w:id="72" w:name="OLE_LINK20"/>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color w:val="auto"/>
          <w:sz w:val="32"/>
          <w:szCs w:val="32"/>
        </w:rPr>
        <w:t>得分9</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bookmarkStart w:id="73" w:name="OLE_LINK3"/>
      <w:r>
        <w:rPr>
          <w:rFonts w:hint="eastAsia" w:ascii="仿宋_GB2312" w:hAnsi="仿宋_GB2312" w:eastAsia="仿宋_GB2312" w:cs="仿宋_GB2312"/>
          <w:sz w:val="32"/>
          <w:szCs w:val="32"/>
        </w:rPr>
        <w:t>绩效自评</w:t>
      </w:r>
      <w:bookmarkEnd w:id="73"/>
      <w:r>
        <w:rPr>
          <w:rFonts w:hint="eastAsia" w:ascii="仿宋_GB2312" w:hAnsi="仿宋_GB2312" w:eastAsia="仿宋_GB2312" w:cs="仿宋_GB2312"/>
          <w:sz w:val="32"/>
          <w:szCs w:val="32"/>
        </w:rPr>
        <w:t>综述：</w:t>
      </w:r>
      <w:bookmarkEnd w:id="71"/>
      <w:bookmarkEnd w:id="72"/>
      <w:r>
        <w:rPr>
          <w:rFonts w:hint="eastAsia" w:ascii="仿宋_GB2312" w:hAnsi="仿宋_GB2312" w:eastAsia="仿宋_GB2312" w:cs="仿宋_GB2312"/>
          <w:sz w:val="32"/>
          <w:szCs w:val="32"/>
        </w:rPr>
        <w:t>该项目由州科协负责，旨在确保州科协换届选举工作顺利进行，为州科协注入新的活力，更好地服务全州科技工作者和推动凉山科技事业发展。项目立项专项资金44.84万元，资金到位率达到了100%。于2023年11月正式召开，参会代表及工作人员近</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pacing w:val="6"/>
          <w:sz w:val="32"/>
          <w:szCs w:val="32"/>
          <w:shd w:val="clear" w:color="auto" w:fill="FFFFFF"/>
          <w:lang w:val="en-US" w:eastAsia="zh-CN" w:bidi="ar-SA"/>
        </w:rPr>
        <w:t>选举产生了第五届委员会委员53名、常委委员25名、主席1名、副主席（含兼职）9名、秘书长1</w:t>
      </w:r>
      <w:r>
        <w:rPr>
          <w:rFonts w:hint="eastAsia" w:ascii="仿宋_GB2312" w:hAnsi="仿宋_GB2312" w:eastAsia="仿宋_GB2312" w:cs="仿宋_GB2312"/>
          <w:sz w:val="32"/>
          <w:szCs w:val="32"/>
          <w:lang w:val="en-US" w:eastAsia="zh-CN"/>
        </w:rPr>
        <w:t>名。本次换届会议经费按照核定二类会议从严控制，</w:t>
      </w:r>
      <w:r>
        <w:rPr>
          <w:rFonts w:hint="eastAsia" w:ascii="仿宋_GB2312" w:hAnsi="仿宋_GB2312" w:eastAsia="仿宋_GB2312" w:cs="仿宋_GB2312"/>
          <w:kern w:val="2"/>
          <w:sz w:val="32"/>
          <w:szCs w:val="32"/>
          <w:lang w:val="en-US" w:eastAsia="zh-CN" w:bidi="ar"/>
        </w:rPr>
        <w:t>资金主要用于换届会议所需材料印制、委托第三方专业人员宣传片拍摄制作费、会场设计安装布置费、摄像劳务费、会场租用费、参会代表食宿费等</w:t>
      </w:r>
      <w:r>
        <w:rPr>
          <w:rFonts w:hint="eastAsia" w:ascii="仿宋_GB2312" w:hAnsi="仿宋_GB2312" w:eastAsia="仿宋_GB2312" w:cs="仿宋_GB2312"/>
          <w:sz w:val="32"/>
          <w:szCs w:val="32"/>
          <w:lang w:val="en-US" w:eastAsia="zh-CN"/>
        </w:rPr>
        <w:t>共使用资金44.29万元，节约会议费开支0.55万元，如数上交财政。项目的实施为科协换届选举工作的顺利进行提供了有力保障，也为科协未来</w:t>
      </w:r>
      <w:r>
        <w:rPr>
          <w:rFonts w:hint="eastAsia" w:ascii="仿宋_GB2312" w:hAnsi="仿宋_GB2312" w:eastAsia="仿宋_GB2312" w:cs="仿宋_GB2312"/>
          <w:sz w:val="32"/>
          <w:szCs w:val="32"/>
        </w:rPr>
        <w:t>的发展奠定了坚实基础。依据预算项目支出绩效自评表从产出、效益、满意度指标等进行了打分，预算执行率100%，执行情况良好，自评得分99分。</w:t>
      </w:r>
      <w:bookmarkStart w:id="74" w:name="OLE_LINK32"/>
      <w:bookmarkStart w:id="75" w:name="OLE_LINK31"/>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绩效自评报告</w:t>
      </w:r>
      <w:r>
        <w:rPr>
          <w:rFonts w:hint="eastAsia" w:ascii="仿宋_GB2312" w:hAnsi="仿宋_GB2312" w:eastAsia="仿宋_GB2312" w:cs="仿宋_GB2312"/>
          <w:sz w:val="32"/>
          <w:szCs w:val="32"/>
        </w:rPr>
        <w:t>详见附件2-1）</w:t>
      </w:r>
      <w:bookmarkEnd w:id="74"/>
      <w:bookmarkEnd w:id="75"/>
    </w:p>
    <w:p w14:paraId="6E847FEF">
      <w:pPr>
        <w:pStyle w:val="16"/>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zh-CN"/>
        </w:rPr>
      </w:pPr>
      <w:r>
        <w:rPr>
          <w:rFonts w:hint="eastAsia" w:ascii="仿宋_GB2312" w:hAnsi="Calibri" w:eastAsia="仿宋_GB2312" w:cs="仿宋"/>
          <w:kern w:val="0"/>
          <w:sz w:val="32"/>
          <w:szCs w:val="32"/>
        </w:rPr>
        <w:t>3.</w:t>
      </w:r>
      <w:r>
        <w:rPr>
          <w:rFonts w:hint="eastAsia" w:ascii="仿宋_GB2312" w:hAnsi="仿宋_GB2312" w:eastAsia="仿宋_GB2312" w:cs="仿宋_GB2312"/>
          <w:sz w:val="32"/>
          <w:szCs w:val="32"/>
        </w:rPr>
        <w:t xml:space="preserve"> </w:t>
      </w:r>
      <w:bookmarkStart w:id="76" w:name="OLE_LINK21"/>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第38届凉山州青少年科技创新大赛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项目绩效自评</w:t>
      </w:r>
      <w:bookmarkEnd w:id="76"/>
      <w:r>
        <w:rPr>
          <w:rFonts w:hint="eastAsia" w:ascii="仿宋_GB2312" w:hAnsi="仿宋_GB2312" w:eastAsia="仿宋_GB2312" w:cs="仿宋_GB2312"/>
          <w:sz w:val="32"/>
          <w:szCs w:val="32"/>
          <w:lang w:eastAsia="zh-CN"/>
        </w:rPr>
        <w:t>得分</w:t>
      </w:r>
      <w:r>
        <w:rPr>
          <w:rFonts w:hint="eastAsia" w:ascii="仿宋_GB2312" w:hAnsi="仿宋_GB2312" w:eastAsia="仿宋_GB2312" w:cs="仿宋_GB2312"/>
          <w:sz w:val="32"/>
          <w:szCs w:val="32"/>
          <w:lang w:val="en-US" w:eastAsia="zh-CN"/>
        </w:rPr>
        <w:t>100分。</w:t>
      </w:r>
      <w:r>
        <w:rPr>
          <w:rFonts w:hint="eastAsia" w:ascii="仿宋_GB2312" w:hAnsi="仿宋_GB2312" w:eastAsia="仿宋_GB2312" w:cs="仿宋_GB2312"/>
          <w:sz w:val="32"/>
          <w:szCs w:val="32"/>
        </w:rPr>
        <w:t>绩效自评综述：</w:t>
      </w:r>
      <w:r>
        <w:rPr>
          <w:rFonts w:hint="eastAsia" w:ascii="仿宋_GB2312" w:hAnsi="仿宋_GB2312" w:eastAsia="仿宋_GB2312" w:cs="仿宋_GB2312"/>
          <w:sz w:val="32"/>
          <w:szCs w:val="32"/>
          <w:lang w:val="zh-CN"/>
        </w:rPr>
        <w:t>该项目是</w:t>
      </w:r>
      <w:bookmarkStart w:id="77" w:name="OLE_LINK4"/>
      <w:r>
        <w:rPr>
          <w:rFonts w:hint="eastAsia" w:ascii="仿宋_GB2312" w:hAnsi="仿宋_GB2312" w:eastAsia="仿宋_GB2312" w:cs="仿宋_GB2312"/>
          <w:sz w:val="32"/>
          <w:szCs w:val="32"/>
          <w:lang w:val="zh-CN"/>
        </w:rPr>
        <w:t>凉山州级科普专项经费子项目</w:t>
      </w:r>
      <w:bookmarkEnd w:id="77"/>
      <w:r>
        <w:rPr>
          <w:rFonts w:hint="eastAsia" w:ascii="仿宋_GB2312" w:hAnsi="仿宋_GB2312" w:eastAsia="仿宋_GB2312" w:cs="仿宋_GB2312"/>
          <w:sz w:val="32"/>
          <w:szCs w:val="32"/>
          <w:lang w:val="zh-CN"/>
        </w:rPr>
        <w:t>，实际到位资金25.52万元，是全州青少年和科技教师开展的一项规模最大、层级最高的综合性科技竞赛活动。于2023年5月启动、12月全面完成。全州共有430余所中小学、16.2万余名中小学师生参加活动。大赛共征集作品995项，经资格审查和专家初评，确定入围终评作品710项。</w:t>
      </w:r>
      <w:r>
        <w:rPr>
          <w:rFonts w:hint="eastAsia" w:ascii="仿宋_GB2312" w:hAnsi="仿宋_GB2312" w:eastAsia="仿宋_GB2312" w:cs="仿宋_GB2312"/>
          <w:sz w:val="32"/>
          <w:szCs w:val="32"/>
          <w:lang w:val="zh-CN" w:eastAsia="zh-CN"/>
        </w:rPr>
        <w:t>大赛支出专家评审费</w:t>
      </w:r>
      <w:r>
        <w:rPr>
          <w:rFonts w:hint="eastAsia" w:ascii="仿宋_GB2312" w:hAnsi="仿宋_GB2312" w:eastAsia="仿宋_GB2312" w:cs="仿宋_GB2312"/>
          <w:sz w:val="32"/>
          <w:szCs w:val="32"/>
          <w:lang w:val="en-US" w:eastAsia="zh-CN"/>
        </w:rPr>
        <w:t>3.94万元；</w:t>
      </w:r>
      <w:r>
        <w:rPr>
          <w:rFonts w:hint="eastAsia" w:ascii="仿宋_GB2312" w:hAnsi="仿宋_GB2312" w:eastAsia="仿宋_GB2312" w:cs="仿宋_GB2312"/>
          <w:sz w:val="32"/>
          <w:szCs w:val="32"/>
          <w:lang w:val="zh-CN" w:eastAsia="zh-CN"/>
        </w:rPr>
        <w:t>委托布展服务费、场地租用费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 xml:space="preserve">会务资料费、奖牌证书制作、工作人员差旅费等费用合计 </w:t>
      </w:r>
      <w:r>
        <w:rPr>
          <w:rFonts w:hint="eastAsia" w:ascii="仿宋_GB2312" w:hAnsi="仿宋_GB2312" w:eastAsia="仿宋_GB2312" w:cs="仿宋_GB2312"/>
          <w:sz w:val="32"/>
          <w:szCs w:val="32"/>
          <w:lang w:val="en-US" w:eastAsia="zh-CN"/>
        </w:rPr>
        <w:t>21.58万</w:t>
      </w:r>
      <w:r>
        <w:rPr>
          <w:rFonts w:hint="eastAsia" w:ascii="仿宋_GB2312" w:hAnsi="仿宋_GB2312" w:eastAsia="仿宋_GB2312" w:cs="仿宋_GB2312"/>
          <w:sz w:val="32"/>
          <w:szCs w:val="32"/>
          <w:lang w:val="zh-CN" w:eastAsia="zh-CN"/>
        </w:rPr>
        <w:t>元。共计使用资金</w:t>
      </w:r>
      <w:r>
        <w:rPr>
          <w:rFonts w:hint="eastAsia" w:ascii="仿宋_GB2312" w:hAnsi="仿宋_GB2312" w:eastAsia="仿宋_GB2312" w:cs="仿宋_GB2312"/>
          <w:sz w:val="32"/>
          <w:szCs w:val="32"/>
          <w:lang w:val="en-US" w:eastAsia="zh-CN"/>
        </w:rPr>
        <w:t>25.52万</w:t>
      </w:r>
      <w:r>
        <w:rPr>
          <w:rFonts w:hint="eastAsia" w:ascii="仿宋_GB2312" w:hAnsi="仿宋_GB2312" w:eastAsia="仿宋_GB2312" w:cs="仿宋_GB2312"/>
          <w:sz w:val="32"/>
          <w:szCs w:val="32"/>
          <w:lang w:val="zh-CN" w:eastAsia="zh-CN"/>
        </w:rPr>
        <w:t>元。</w:t>
      </w:r>
      <w:r>
        <w:rPr>
          <w:rFonts w:hint="eastAsia" w:ascii="仿宋_GB2312" w:hAnsi="仿宋_GB2312" w:eastAsia="仿宋_GB2312" w:cs="仿宋_GB2312"/>
          <w:sz w:val="32"/>
          <w:szCs w:val="32"/>
          <w:lang w:val="zh-CN"/>
        </w:rPr>
        <w:t>通过大赛活动，极大地激发了广大青少年的创新创意热情，培养了广大青少年的实践能力，有力促进了广大青少年“学科学、爱科学、用科学”良好风尚的形成。大赛从预算执行情况、效益、满意度指标等进行了分析，预算执行率100%，执行情况良好，自评得分100分。（</w:t>
      </w:r>
      <w:r>
        <w:rPr>
          <w:rFonts w:hint="eastAsia" w:ascii="仿宋_GB2312" w:hAnsi="仿宋_GB2312" w:eastAsia="仿宋_GB2312" w:cs="仿宋_GB2312"/>
          <w:sz w:val="32"/>
          <w:szCs w:val="32"/>
          <w:lang w:val="en-US" w:eastAsia="zh-CN"/>
        </w:rPr>
        <w:t>绩效自评报告</w:t>
      </w:r>
      <w:r>
        <w:rPr>
          <w:rFonts w:hint="eastAsia" w:ascii="仿宋_GB2312" w:hAnsi="仿宋_GB2312" w:eastAsia="仿宋_GB2312" w:cs="仿宋_GB2312"/>
          <w:sz w:val="32"/>
          <w:szCs w:val="32"/>
          <w:lang w:val="zh-CN"/>
        </w:rPr>
        <w:t>详见附件2-2）</w:t>
      </w:r>
    </w:p>
    <w:p w14:paraId="53E17971">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4. </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学术交流活动业务经费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绩效自评</w:t>
      </w:r>
      <w:bookmarkStart w:id="78" w:name="OLE_LINK39"/>
      <w:bookmarkStart w:id="79" w:name="OLE_LINK40"/>
      <w:r>
        <w:rPr>
          <w:rFonts w:hint="eastAsia" w:ascii="仿宋_GB2312" w:hAnsi="仿宋_GB2312" w:eastAsia="仿宋_GB2312" w:cs="仿宋_GB2312"/>
          <w:sz w:val="32"/>
          <w:szCs w:val="32"/>
          <w:lang w:val="en-US" w:eastAsia="zh-CN"/>
        </w:rPr>
        <w:t>98分。</w:t>
      </w:r>
      <w:r>
        <w:rPr>
          <w:rFonts w:hint="eastAsia" w:ascii="仿宋_GB2312" w:hAnsi="仿宋_GB2312" w:eastAsia="仿宋_GB2312" w:cs="仿宋_GB2312"/>
          <w:sz w:val="32"/>
          <w:szCs w:val="32"/>
        </w:rPr>
        <w:t>绩效自评综述：</w:t>
      </w:r>
      <w:bookmarkEnd w:id="78"/>
      <w:bookmarkEnd w:id="79"/>
      <w:bookmarkStart w:id="80" w:name="OLE_LINK45"/>
      <w:bookmarkStart w:id="81" w:name="OLE_LINK46"/>
      <w:r>
        <w:rPr>
          <w:rFonts w:hint="eastAsia" w:ascii="仿宋_GB2312" w:hAnsi="仿宋_GB2312" w:eastAsia="仿宋_GB2312" w:cs="仿宋_GB2312"/>
          <w:kern w:val="0"/>
          <w:sz w:val="32"/>
          <w:szCs w:val="32"/>
        </w:rPr>
        <w:t>项目年初预算12万元，主要</w:t>
      </w:r>
      <w:bookmarkEnd w:id="80"/>
      <w:bookmarkEnd w:id="81"/>
      <w:r>
        <w:rPr>
          <w:rFonts w:hint="eastAsia" w:ascii="仿宋_GB2312" w:hAnsi="仿宋_GB2312" w:eastAsia="仿宋_GB2312" w:cs="仿宋_GB2312"/>
          <w:kern w:val="0"/>
          <w:sz w:val="32"/>
          <w:szCs w:val="32"/>
        </w:rPr>
        <w:t>用于凉山州第十一届自然科学优秀学术论文评选活动。项目于2023年5月启动，</w:t>
      </w:r>
      <w:r>
        <w:rPr>
          <w:rFonts w:hint="eastAsia" w:ascii="仿宋_GB2312" w:hAnsi="仿宋_GB2312" w:eastAsia="仿宋_GB2312" w:cs="仿宋_GB2312"/>
          <w:kern w:val="0"/>
          <w:sz w:val="32"/>
          <w:szCs w:val="32"/>
          <w:lang w:eastAsia="zh-CN"/>
        </w:rPr>
        <w:t>由</w:t>
      </w:r>
      <w:r>
        <w:rPr>
          <w:rFonts w:hint="eastAsia" w:ascii="仿宋_GB2312" w:hAnsi="仿宋_GB2312" w:eastAsia="仿宋_GB2312" w:cs="仿宋_GB2312"/>
          <w:kern w:val="0"/>
          <w:sz w:val="32"/>
          <w:szCs w:val="32"/>
        </w:rPr>
        <w:t>中共凉山州委组织部、凉山州人力资源和社会保障局、凉山州科学技术局和凉山州科学技术协会联合印发《关于开展凉山州第十一届自然科学优秀学术论文评选活动的通知》凉科协﹝2023﹞16号文。活动共征集申报作品182篇，经过自行申报、初审、小组评审、专家复审及终审等程序评出一、二、三等奖58项。并在凉山日报上进行公示。其中产生专家评审费、优秀学术论文一、二、三等奖获奖作者奖金、公示费、印制优秀学术论文集200册等费用共计12万元。于2023年12月圆满完成所有项目任务和专项资金的支付。预算执行率100%。</w:t>
      </w:r>
      <w:r>
        <w:rPr>
          <w:rFonts w:hint="eastAsia" w:ascii="仿宋_GB2312" w:hAnsi="仿宋_GB2312" w:eastAsia="仿宋_GB2312" w:cs="仿宋_GB2312"/>
          <w:color w:val="000000" w:themeColor="text1"/>
          <w:kern w:val="0"/>
          <w:sz w:val="32"/>
          <w:szCs w:val="32"/>
          <w:lang w:val="zh-CN"/>
        </w:rPr>
        <w:t>执行情况良好，自评得</w:t>
      </w:r>
      <w:r>
        <w:rPr>
          <w:rFonts w:hint="eastAsia" w:ascii="仿宋_GB2312" w:hAnsi="仿宋_GB2312" w:eastAsia="仿宋_GB2312" w:cs="仿宋_GB2312"/>
          <w:sz w:val="32"/>
          <w:szCs w:val="32"/>
          <w:lang w:val="zh-CN"/>
        </w:rPr>
        <w:t>分98分。</w:t>
      </w:r>
      <w:bookmarkStart w:id="82" w:name="OLE_LINK10"/>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绩效自评报告</w:t>
      </w:r>
      <w:r>
        <w:rPr>
          <w:rFonts w:hint="eastAsia" w:ascii="仿宋_GB2312" w:hAnsi="仿宋_GB2312" w:eastAsia="仿宋_GB2312" w:cs="仿宋_GB2312"/>
          <w:sz w:val="32"/>
          <w:szCs w:val="32"/>
          <w:lang w:val="zh-CN"/>
        </w:rPr>
        <w:t>详见附件2-3）</w:t>
      </w:r>
      <w:bookmarkEnd w:id="82"/>
      <w:r>
        <w:rPr>
          <w:rFonts w:hint="eastAsia" w:ascii="仿宋_GB2312" w:hAnsi="仿宋_GB2312" w:eastAsia="仿宋_GB2312" w:cs="仿宋_GB2312"/>
          <w:sz w:val="32"/>
          <w:szCs w:val="32"/>
          <w:lang w:val="en-US" w:eastAsia="zh-CN"/>
        </w:rPr>
        <w:t>。</w:t>
      </w:r>
    </w:p>
    <w:p w14:paraId="3887CF94">
      <w:pPr>
        <w:pStyle w:val="2"/>
        <w:ind w:firstLine="1767" w:firstLineChars="400"/>
        <w:jc w:val="both"/>
      </w:pPr>
      <w:r>
        <w:rPr>
          <w:rFonts w:hint="eastAsia"/>
        </w:rPr>
        <w:t>第三部分 名词解释</w:t>
      </w:r>
    </w:p>
    <w:p w14:paraId="3B373B24">
      <w:pPr>
        <w:pStyle w:val="2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44FA68C2">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6A1ACFCC">
      <w:pPr>
        <w:pStyle w:val="16"/>
        <w:widowControl/>
        <w:spacing w:beforeAutospacing="0" w:afterAutospacing="0" w:line="435" w:lineRule="atLeast"/>
        <w:ind w:firstLine="640" w:firstLineChars="200"/>
        <w:rPr>
          <w:rFonts w:ascii="仿宋_GB2312" w:eastAsia="仿宋_GB2312"/>
          <w:sz w:val="32"/>
          <w:szCs w:val="32"/>
        </w:rPr>
      </w:pPr>
      <w:r>
        <w:rPr>
          <w:rFonts w:hint="eastAsia" w:ascii="仿宋_GB2312" w:eastAsia="仿宋_GB2312"/>
          <w:sz w:val="32"/>
          <w:szCs w:val="32"/>
        </w:rPr>
        <w:t>3.科学技术支出（206类）科学技术普及（07款）机构运行（01项）：反映科普事业单位基本支出，</w:t>
      </w:r>
      <w:r>
        <w:rPr>
          <w:rFonts w:hint="eastAsia" w:ascii="仿宋_GB2312" w:hAnsi="仿宋_GB2312" w:eastAsia="仿宋_GB2312" w:cs="仿宋_GB2312"/>
          <w:sz w:val="32"/>
          <w:szCs w:val="32"/>
        </w:rPr>
        <w:t>指反映本单位基本支出，包括为保障机构正常运转、完成日常工作任而发生的人员支出和公用支出。</w:t>
      </w:r>
      <w:r>
        <w:rPr>
          <w:rFonts w:hint="eastAsia" w:ascii="仿宋_GB2312" w:eastAsia="仿宋_GB2312"/>
          <w:sz w:val="32"/>
          <w:szCs w:val="32"/>
        </w:rPr>
        <w:t>包括本机构正常运行的人员支出和公用支出。</w:t>
      </w:r>
    </w:p>
    <w:p w14:paraId="01E18531">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科学技术支出（206类）科学技术普及（07款）科普活动（02项）：指开展科学普及与推广。如开展科普活动月、科技活动周、科技工作者活动日，宣传疾病防治、卫生健康、禁毒防艾、崇尚科学、反邪教等科学思想理念。</w:t>
      </w:r>
    </w:p>
    <w:p w14:paraId="007CF6FE">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5.科学技术支出（206类）科学技术普及（07款）青少年科技活动（03项）：指为增强青少年科技创新意识，培养创新兴趣和能力，针对青少年开展的各类科技活动。如青少年科技创新大赛、</w:t>
      </w:r>
      <w:r>
        <w:rPr>
          <w:rFonts w:hint="eastAsia" w:ascii="仿宋_GB2312" w:eastAsia="仿宋_GB2312"/>
          <w:color w:val="auto"/>
          <w:sz w:val="32"/>
          <w:szCs w:val="32"/>
          <w:lang w:eastAsia="zh-CN"/>
        </w:rPr>
        <w:t>青少年科学研学</w:t>
      </w:r>
      <w:r>
        <w:rPr>
          <w:rFonts w:hint="eastAsia" w:ascii="仿宋_GB2312" w:eastAsia="仿宋_GB2312"/>
          <w:color w:val="auto"/>
          <w:sz w:val="32"/>
          <w:szCs w:val="32"/>
        </w:rPr>
        <w:t>活动等。</w:t>
      </w:r>
    </w:p>
    <w:p w14:paraId="3C918E20">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科学技术支出（206类）科学技术普及（07款）学术交流活动（04项）：指为科普工作者搭建科普平台，进行学术探讨、交流，不断提升自身科学素质，提高科普能力。如优秀科技论文评选、优秀科普工作者评定等工作。</w:t>
      </w:r>
    </w:p>
    <w:p w14:paraId="53C2348E">
      <w:pPr>
        <w:pStyle w:val="29"/>
        <w:spacing w:line="560" w:lineRule="exact"/>
        <w:ind w:firstLine="640" w:firstLineChars="200"/>
        <w:rPr>
          <w:rFonts w:ascii="仿宋_GB2312" w:eastAsia="仿宋_GB2312"/>
          <w:color w:val="FF0000"/>
          <w:sz w:val="32"/>
          <w:szCs w:val="32"/>
        </w:rPr>
      </w:pPr>
      <w:r>
        <w:rPr>
          <w:rFonts w:hint="eastAsia" w:ascii="仿宋_GB2312" w:eastAsia="仿宋_GB2312"/>
          <w:color w:val="auto"/>
          <w:sz w:val="32"/>
          <w:szCs w:val="32"/>
        </w:rPr>
        <w:t>7.科学技术支出（206类）科学技术普及（07款）其他科学技术普及支出（99项）：指其他多方面的科学技术普及支出。如科技、基地示范创建、举办科普培训、科普公共服务、科普资源开发、院士专家工作站等科技科普活动。</w:t>
      </w:r>
    </w:p>
    <w:p w14:paraId="444DBACE">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8.科学技术支出（206类）其他科学技术支出（99款）其他科学技术支出（99项）：指除上述之外的各种科学技术活动。如开展老科协工作、全民科学素质纲要调查工作</w:t>
      </w:r>
      <w:r>
        <w:rPr>
          <w:rFonts w:hint="eastAsia" w:ascii="仿宋_GB2312" w:eastAsia="仿宋_GB2312"/>
          <w:color w:val="auto"/>
          <w:sz w:val="32"/>
          <w:szCs w:val="32"/>
          <w:lang w:eastAsia="zh-CN"/>
        </w:rPr>
        <w:t>、人才发展工作</w:t>
      </w:r>
      <w:r>
        <w:rPr>
          <w:rFonts w:hint="eastAsia" w:ascii="仿宋_GB2312" w:eastAsia="仿宋_GB2312"/>
          <w:color w:val="auto"/>
          <w:sz w:val="32"/>
          <w:szCs w:val="32"/>
        </w:rPr>
        <w:t xml:space="preserve">等。   </w:t>
      </w:r>
    </w:p>
    <w:p w14:paraId="53A83D4D">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w:t>
      </w:r>
      <w:r>
        <w:rPr>
          <w:rFonts w:hint="eastAsia" w:ascii="仿宋_GB2312" w:eastAsia="仿宋_GB2312"/>
          <w:color w:val="auto"/>
          <w:sz w:val="32"/>
          <w:szCs w:val="32"/>
        </w:rPr>
        <w:t>社会保障和就业支出（208类）行政事业单位离退休（05款）行政单位离退休（01项）：指行政单位离休人员离休费和退休人员统筹外交通费补贴及生活补助等。</w:t>
      </w:r>
    </w:p>
    <w:p w14:paraId="23536F0A">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10.社会保障和就业支出（208类）行政事业单位离退休（05款）事业单位离退休（02项）：指事业单位退休人员生活补助等。</w:t>
      </w:r>
    </w:p>
    <w:p w14:paraId="495021CB">
      <w:pPr>
        <w:ind w:firstLine="640" w:firstLineChars="200"/>
        <w:rPr>
          <w:rFonts w:ascii="仿宋_GB2312" w:eastAsia="仿宋_GB2312"/>
          <w:sz w:val="32"/>
          <w:szCs w:val="32"/>
        </w:rPr>
      </w:pPr>
      <w:r>
        <w:rPr>
          <w:rFonts w:hint="eastAsia" w:ascii="仿宋_GB2312" w:eastAsia="仿宋_GB2312"/>
          <w:sz w:val="32"/>
          <w:szCs w:val="32"/>
        </w:rPr>
        <w:t>11.社会保障和就业支出（208类）行政事业单位离退休（05款）机关事业单位基本养老保险缴费支出（05项）：指国家实施养老保险制度后，财政拨款单位为在职职工缴纳的基本养老保险部分。</w:t>
      </w:r>
    </w:p>
    <w:p w14:paraId="71C7340D">
      <w:pPr>
        <w:ind w:firstLine="640" w:firstLineChars="200"/>
        <w:rPr>
          <w:rFonts w:ascii="仿宋_GB2312" w:eastAsia="仿宋_GB2312"/>
          <w:sz w:val="32"/>
          <w:szCs w:val="32"/>
        </w:rPr>
      </w:pPr>
      <w:r>
        <w:rPr>
          <w:rFonts w:hint="eastAsia" w:ascii="仿宋_GB2312" w:eastAsia="仿宋_GB2312"/>
          <w:sz w:val="32"/>
          <w:szCs w:val="32"/>
        </w:rPr>
        <w:t>12.社会保障和就业支出（208类）行政事业单位离退休（05款）为机关事业单位职业年金缴费支出（06项）：为机关事业单位职工职业年金缴费支出。</w:t>
      </w:r>
    </w:p>
    <w:p w14:paraId="6D1A2F63">
      <w:pPr>
        <w:ind w:firstLine="640" w:firstLineChars="200"/>
        <w:rPr>
          <w:rFonts w:ascii="仿宋_GB2312" w:eastAsia="仿宋_GB2312"/>
          <w:sz w:val="32"/>
          <w:szCs w:val="32"/>
        </w:rPr>
      </w:pPr>
      <w:r>
        <w:rPr>
          <w:rFonts w:hint="eastAsia" w:ascii="仿宋_GB2312" w:eastAsia="仿宋_GB2312"/>
          <w:sz w:val="32"/>
          <w:szCs w:val="32"/>
        </w:rPr>
        <w:t>13.卫生健康支出（210类）行政事业单位医疗（11款）行政单位医疗（01项）：指本单位财政拨款安排的行政（参公）单位人员基本医疗保险缴费。</w:t>
      </w:r>
    </w:p>
    <w:p w14:paraId="6C9AD11B">
      <w:pPr>
        <w:pStyle w:val="16"/>
        <w:widowControl/>
        <w:spacing w:beforeAutospacing="0" w:afterAutospacing="0" w:line="435" w:lineRule="atLeast"/>
        <w:ind w:firstLine="640" w:firstLineChars="200"/>
        <w:rPr>
          <w:rFonts w:ascii="仿宋_GB2312" w:eastAsia="仿宋_GB2312"/>
          <w:sz w:val="32"/>
          <w:szCs w:val="32"/>
        </w:rPr>
      </w:pPr>
      <w:r>
        <w:rPr>
          <w:rFonts w:hint="eastAsia" w:ascii="仿宋_GB2312" w:eastAsia="仿宋_GB2312"/>
          <w:sz w:val="32"/>
          <w:szCs w:val="32"/>
        </w:rPr>
        <w:t>14.卫生健康支出（210类）行政事业单位医疗（11款）事业单位医疗02（项）：指本单位财政拨款安排的事业单位人员基本医疗保险缴费。</w:t>
      </w:r>
    </w:p>
    <w:p w14:paraId="29A4EB15">
      <w:pPr>
        <w:pStyle w:val="16"/>
        <w:widowControl/>
        <w:spacing w:beforeAutospacing="0" w:afterAutospacing="0" w:line="435" w:lineRule="atLeast"/>
        <w:ind w:firstLine="640" w:firstLineChars="200"/>
        <w:rPr>
          <w:rFonts w:ascii="仿宋_GB2312" w:hAnsi="仿宋_GB2312" w:eastAsia="仿宋_GB2312" w:cs="仿宋_GB2312"/>
          <w:sz w:val="32"/>
          <w:szCs w:val="32"/>
        </w:rPr>
      </w:pPr>
      <w:r>
        <w:rPr>
          <w:rFonts w:hint="eastAsia" w:ascii="仿宋_GB2312" w:eastAsia="仿宋_GB2312"/>
          <w:sz w:val="32"/>
          <w:szCs w:val="32"/>
        </w:rPr>
        <w:t>15.卫生健康支出（210类）行政事业单位医疗（11款）公务员医疗补充（03项）：</w:t>
      </w:r>
      <w:r>
        <w:rPr>
          <w:rFonts w:hint="eastAsia" w:ascii="仿宋_GB2312" w:hAnsi="仿宋_GB2312" w:eastAsia="仿宋_GB2312" w:cs="仿宋_GB2312"/>
          <w:sz w:val="32"/>
          <w:szCs w:val="32"/>
        </w:rPr>
        <w:t>指反映本单位财政部门集中安排的公务员医疗补助经费。</w:t>
      </w:r>
    </w:p>
    <w:p w14:paraId="10118CD7">
      <w:pPr>
        <w:pStyle w:val="16"/>
        <w:widowControl/>
        <w:spacing w:beforeAutospacing="0" w:afterAutospacing="0" w:line="43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eastAsia="仿宋_GB2312"/>
          <w:sz w:val="32"/>
          <w:szCs w:val="32"/>
        </w:rPr>
        <w:t>卫生健康支出（210类）行政事业单位医疗（11款）其他行政事业单位医疗（99项）：</w:t>
      </w:r>
      <w:r>
        <w:rPr>
          <w:rFonts w:hint="eastAsia" w:ascii="仿宋_GB2312" w:hAnsi="仿宋_GB2312" w:eastAsia="仿宋_GB2312" w:cs="仿宋_GB2312"/>
          <w:sz w:val="32"/>
          <w:szCs w:val="32"/>
        </w:rPr>
        <w:t>指反映本单位财政部门集中安排的行政事业单位除上述以外的其他用于医疗方面的保险缴费支出。如行政事业单位工伤保险、事业单位失业保险、行政事业退休人员医疗补助缴费等。</w:t>
      </w:r>
    </w:p>
    <w:p w14:paraId="57D6FB3A">
      <w:pPr>
        <w:pStyle w:val="16"/>
        <w:widowControl/>
        <w:spacing w:beforeAutospacing="0" w:afterAutospacing="0" w:line="43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eastAsia="仿宋_GB2312"/>
          <w:sz w:val="32"/>
          <w:szCs w:val="32"/>
        </w:rPr>
        <w:t>住房保障自出（221类）住房改革支出（02款）住房公积金（01项）：</w:t>
      </w:r>
      <w:r>
        <w:rPr>
          <w:rFonts w:hint="eastAsia" w:ascii="仿宋_GB2312" w:hAnsi="仿宋_GB2312" w:eastAsia="仿宋_GB2312" w:cs="仿宋_GB2312"/>
          <w:sz w:val="32"/>
          <w:szCs w:val="32"/>
        </w:rPr>
        <w:t>指反映行政事业单位按人力资源和社会保障部、财政部规定的基本工资和津补贴以及规定比例为职工缴纳的住房公积金支出。</w:t>
      </w:r>
    </w:p>
    <w:p w14:paraId="4168D07D">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27B5DEC6">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65521C58">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公务用车购置及运行费和公务接待费。其中公务用车购置及运行费反映单位公务用车车辆购置支出（含车辆购置税）及燃料费、维修费、过路过桥费、保险费等支出；公务接待费反映单位按规定开支的开展国内业务活动公务接待支出。</w:t>
      </w:r>
    </w:p>
    <w:p w14:paraId="5A1B2CB2">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机关运行经费：为保障参照公务员法管理的行政单位运行用于购买货物和服务的各项资金，包括办公及印刷费、邮电费、差旅费、会议费、福利费、工会经费、日常维修（护）费、办公用房水电费、劳务费、委托业务费、公务用车运行维护费、其他交通费以及其他商品支出。</w:t>
      </w:r>
    </w:p>
    <w:p w14:paraId="057A8EF7">
      <w:pPr>
        <w:spacing w:line="600" w:lineRule="exact"/>
        <w:jc w:val="center"/>
        <w:outlineLvl w:val="0"/>
        <w:rPr>
          <w:rFonts w:ascii="黑体" w:hAnsi="黑体" w:eastAsia="黑体"/>
          <w:color w:val="FF0000"/>
          <w:sz w:val="44"/>
          <w:szCs w:val="44"/>
        </w:rPr>
      </w:pPr>
    </w:p>
    <w:p w14:paraId="24587EC3">
      <w:pPr>
        <w:spacing w:line="600" w:lineRule="exact"/>
        <w:jc w:val="center"/>
        <w:outlineLvl w:val="0"/>
        <w:rPr>
          <w:rFonts w:ascii="黑体" w:hAnsi="黑体" w:eastAsia="黑体"/>
          <w:sz w:val="44"/>
          <w:szCs w:val="44"/>
        </w:rPr>
      </w:pPr>
    </w:p>
    <w:p w14:paraId="6ED39B73">
      <w:pPr>
        <w:ind w:firstLine="2080" w:firstLineChars="400"/>
        <w:jc w:val="both"/>
        <w:rPr>
          <w:rFonts w:ascii="黑体" w:hAnsi="黑体" w:eastAsia="黑体"/>
          <w:b w:val="0"/>
          <w:sz w:val="52"/>
          <w:szCs w:val="52"/>
        </w:rPr>
      </w:pPr>
      <w:r>
        <w:rPr>
          <w:rFonts w:hint="eastAsia" w:ascii="黑体" w:hAnsi="黑体" w:eastAsia="黑体"/>
          <w:b w:val="0"/>
          <w:sz w:val="52"/>
          <w:szCs w:val="52"/>
        </w:rPr>
        <w:t>第四部分 附件</w:t>
      </w:r>
    </w:p>
    <w:p w14:paraId="4933060C"/>
    <w:p w14:paraId="133E6989">
      <w:pPr>
        <w:rPr>
          <w:rFonts w:hint="eastAsia" w:ascii="黑体" w:hAnsi="黑体" w:eastAsia="黑体"/>
          <w:sz w:val="32"/>
          <w:szCs w:val="32"/>
          <w:lang w:val="en-US" w:eastAsia="zh-CN"/>
        </w:rPr>
      </w:pPr>
      <w:r>
        <w:rPr>
          <w:rFonts w:hint="eastAsia" w:ascii="黑体" w:hAnsi="黑体" w:eastAsia="黑体"/>
          <w:sz w:val="32"/>
          <w:szCs w:val="32"/>
        </w:rPr>
        <w:t>附件1</w:t>
      </w:r>
      <w:r>
        <w:rPr>
          <w:rFonts w:hint="eastAsia" w:ascii="黑体" w:hAnsi="黑体" w:eastAsia="黑体"/>
          <w:sz w:val="32"/>
          <w:szCs w:val="32"/>
          <w:lang w:val="en-US" w:eastAsia="zh-CN"/>
        </w:rPr>
        <w:t>-1</w:t>
      </w:r>
    </w:p>
    <w:p w14:paraId="798FEA0D">
      <w:pPr>
        <w:snapToGrid w:val="0"/>
        <w:spacing w:line="560" w:lineRule="exact"/>
        <w:ind w:firstLine="880" w:firstLineChars="200"/>
        <w:jc w:val="center"/>
        <w:rPr>
          <w:rFonts w:ascii="方正小标宋_GBK" w:hAnsi="宋体" w:eastAsia="方正小标宋_GBK" w:cs="宋体"/>
          <w:bCs/>
          <w:color w:val="000000"/>
          <w:kern w:val="0"/>
          <w:sz w:val="44"/>
          <w:szCs w:val="44"/>
          <w:shd w:val="clear" w:color="auto" w:fill="FFFFFF"/>
          <w:lang w:val="zh-CN"/>
        </w:rPr>
      </w:pPr>
      <w:r>
        <w:rPr>
          <w:rFonts w:hint="eastAsia" w:ascii="方正小标宋_GBK" w:hAnsi="宋体" w:eastAsia="方正小标宋_GBK" w:cs="宋体"/>
          <w:bCs/>
          <w:color w:val="000000"/>
          <w:kern w:val="0"/>
          <w:sz w:val="44"/>
          <w:szCs w:val="44"/>
          <w:shd w:val="clear" w:color="auto" w:fill="FFFFFF"/>
          <w:lang w:val="zh-CN"/>
        </w:rPr>
        <w:t>凉山州科学技术协会</w:t>
      </w:r>
    </w:p>
    <w:p w14:paraId="141E69E7">
      <w:pPr>
        <w:snapToGrid w:val="0"/>
        <w:spacing w:line="560" w:lineRule="exact"/>
        <w:ind w:firstLine="880" w:firstLineChars="200"/>
        <w:jc w:val="center"/>
        <w:rPr>
          <w:rFonts w:ascii="方正小标宋_GBK" w:hAnsi="宋体" w:eastAsia="方正小标宋_GBK" w:cs="宋体"/>
          <w:b/>
          <w:bCs/>
          <w:color w:val="000000"/>
          <w:kern w:val="0"/>
          <w:sz w:val="44"/>
          <w:szCs w:val="44"/>
          <w:shd w:val="clear" w:color="auto" w:fill="FFFFFF"/>
          <w:lang w:val="zh-CN"/>
        </w:rPr>
      </w:pPr>
      <w:r>
        <w:rPr>
          <w:rFonts w:ascii="方正小标宋_GBK" w:hAnsi="宋体" w:eastAsia="方正小标宋_GBK" w:cs="宋体"/>
          <w:bCs/>
          <w:color w:val="000000"/>
          <w:kern w:val="0"/>
          <w:sz w:val="44"/>
          <w:szCs w:val="44"/>
          <w:shd w:val="clear" w:color="auto" w:fill="FFFFFF"/>
          <w:lang w:val="zh-CN"/>
        </w:rPr>
        <w:t>20</w:t>
      </w:r>
      <w:r>
        <w:rPr>
          <w:rFonts w:ascii="方正小标宋_GBK" w:hAnsi="宋体" w:eastAsia="方正小标宋_GBK" w:cs="宋体"/>
          <w:bCs/>
          <w:color w:val="000000"/>
          <w:kern w:val="0"/>
          <w:sz w:val="44"/>
          <w:szCs w:val="44"/>
          <w:shd w:val="clear" w:color="auto" w:fill="FFFFFF"/>
        </w:rPr>
        <w:t>2</w:t>
      </w:r>
      <w:r>
        <w:rPr>
          <w:rFonts w:hint="eastAsia" w:ascii="方正小标宋_GBK" w:hAnsi="宋体" w:eastAsia="方正小标宋_GBK" w:cs="宋体"/>
          <w:bCs/>
          <w:color w:val="000000"/>
          <w:kern w:val="0"/>
          <w:sz w:val="44"/>
          <w:szCs w:val="44"/>
          <w:shd w:val="clear" w:color="auto" w:fill="FFFFFF"/>
        </w:rPr>
        <w:t>3</w:t>
      </w:r>
      <w:r>
        <w:rPr>
          <w:rFonts w:hint="eastAsia" w:ascii="方正小标宋_GBK" w:hAnsi="宋体" w:eastAsia="方正小标宋_GBK" w:cs="宋体"/>
          <w:bCs/>
          <w:color w:val="000000"/>
          <w:kern w:val="0"/>
          <w:sz w:val="44"/>
          <w:szCs w:val="44"/>
          <w:shd w:val="clear" w:color="auto" w:fill="FFFFFF"/>
          <w:lang w:val="zh-CN"/>
        </w:rPr>
        <w:t>年整体支出绩效评价自评报告</w:t>
      </w:r>
    </w:p>
    <w:p w14:paraId="2D0BA608">
      <w:pPr>
        <w:snapToGrid w:val="0"/>
        <w:spacing w:line="560" w:lineRule="exact"/>
        <w:rPr>
          <w:rFonts w:ascii="仿宋_GB2312" w:hAnsi="宋体" w:cs="宋体"/>
          <w:b/>
          <w:bCs/>
          <w:color w:val="000000"/>
          <w:kern w:val="0"/>
          <w:sz w:val="30"/>
          <w:szCs w:val="30"/>
          <w:shd w:val="clear" w:color="auto" w:fill="FFFFFF"/>
        </w:rPr>
      </w:pPr>
    </w:p>
    <w:p w14:paraId="762E57EE">
      <w:pPr>
        <w:snapToGrid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一、部门（单位）概况</w:t>
      </w:r>
    </w:p>
    <w:p w14:paraId="55E9837C">
      <w:pPr>
        <w:snapToGrid w:val="0"/>
        <w:spacing w:line="56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（一）机构组成。</w:t>
      </w:r>
      <w:r>
        <w:rPr>
          <w:rFonts w:hint="eastAsia" w:ascii="仿宋_GB2312" w:hAnsi="仿宋_GB2312" w:eastAsia="仿宋_GB2312" w:cs="仿宋_GB2312"/>
          <w:sz w:val="30"/>
          <w:szCs w:val="30"/>
        </w:rPr>
        <w:t>凉山州科学技术协会属地（市）级全额拨款独立核算单位。其中参照公务员法管理的单位1个，下属二级事业单位青少年科技活动中心1个。2023年末，州编办核编行政编制10人，行政工勤1人，事业编制6人。</w:t>
      </w:r>
    </w:p>
    <w:p w14:paraId="5F56AA78">
      <w:pPr>
        <w:spacing w:line="560" w:lineRule="exact"/>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（二）机构职能。</w:t>
      </w:r>
      <w:r>
        <w:rPr>
          <w:rFonts w:hint="eastAsia" w:ascii="仿宋_GB2312" w:hAnsi="仿宋_GB2312" w:eastAsia="仿宋_GB2312" w:cs="仿宋_GB2312"/>
          <w:sz w:val="30"/>
          <w:szCs w:val="30"/>
        </w:rPr>
        <w:t>凉山州科学技术协会的职能一是开展学术交流，活跃学术思想，促进学科发展，推动决策的科学化和民主化；二是弘扬科学精神，普及科学技术知识，推广先进技术，开展青少年科技教育活动，提高全民族科学文化素质；三是维护科技工作者的合法权益，为科技团体和科技工作者服务，表彰和奖励优秀科技工作者，举荐人才。组织科技工作者参与科技政策、法规制定和政治协商、科学决策、民主工作。四是开展技术培训、技术咨询服务，进行咨询服务行业管理。推动科技成果向现实生产力的转化，接受委托承担项目评估，成果鉴定，专业技术职务评审等任务。五是开展国际民间科技交流活动，发展同国外的科学技术团体和科技工作者的友好交往。六是开展培训工作。七是对直属州级学会、协会、研究会进行管理，对县、市科协和基层组织进行业务指导。八是承担州委、州政府和省科协交办的其他事项。</w:t>
      </w:r>
    </w:p>
    <w:p w14:paraId="396850C7">
      <w:pPr>
        <w:snapToGrid w:val="0"/>
        <w:spacing w:line="56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（三）人员概况。</w:t>
      </w:r>
      <w:r>
        <w:rPr>
          <w:rFonts w:hint="eastAsia" w:ascii="仿宋_GB2312" w:hAnsi="仿宋_GB2312" w:eastAsia="仿宋_GB2312" w:cs="仿宋_GB2312"/>
          <w:sz w:val="30"/>
          <w:szCs w:val="30"/>
        </w:rPr>
        <w:t>凉山州科学技术协会经编办核定2023年末行政编制10人，行政工勤1个、事业编制6人。上年末实有行政人员10人，本年度增加调入1人，减少外调1人，故年末实有行政人员10人；上年末实有事业人员5人，本年无增减变动，故年末实有事业人员仍为5人；离休人员1人；上年末退休职工18人，本年</w:t>
      </w:r>
      <w:r>
        <w:rPr>
          <w:rFonts w:hint="eastAsia" w:ascii="仿宋_GB2312" w:hAnsi="仿宋_GB2312" w:eastAsia="仿宋_GB2312" w:cs="仿宋_GB2312"/>
          <w:sz w:val="30"/>
          <w:szCs w:val="30"/>
          <w:lang w:eastAsia="zh-CN"/>
        </w:rPr>
        <w:t>病故减少</w:t>
      </w:r>
      <w:r>
        <w:rPr>
          <w:rFonts w:hint="eastAsia" w:ascii="仿宋_GB2312" w:hAnsi="仿宋_GB2312" w:eastAsia="仿宋_GB2312" w:cs="仿宋_GB2312"/>
          <w:sz w:val="30"/>
          <w:szCs w:val="30"/>
          <w:lang w:val="en-US" w:eastAsia="zh-CN"/>
        </w:rPr>
        <w:t>1人</w:t>
      </w:r>
      <w:r>
        <w:rPr>
          <w:rFonts w:hint="eastAsia" w:ascii="仿宋_GB2312" w:hAnsi="仿宋_GB2312" w:eastAsia="仿宋_GB2312" w:cs="仿宋_GB2312"/>
          <w:sz w:val="30"/>
          <w:szCs w:val="30"/>
        </w:rPr>
        <w:t>，故年末退休职工为1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人。总计3</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人。</w:t>
      </w:r>
    </w:p>
    <w:p w14:paraId="7009353E">
      <w:pPr>
        <w:snapToGrid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二、部门财政资金收支情况</w:t>
      </w:r>
    </w:p>
    <w:p w14:paraId="03B0D05B">
      <w:pPr>
        <w:snapToGrid w:val="0"/>
        <w:spacing w:line="56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（一）部门财政资金收入情况。</w:t>
      </w:r>
      <w:r>
        <w:rPr>
          <w:rFonts w:hint="eastAsia" w:ascii="仿宋_GB2312" w:hAnsi="仿宋_GB2312" w:eastAsia="仿宋_GB2312" w:cs="仿宋_GB2312"/>
          <w:sz w:val="30"/>
          <w:szCs w:val="30"/>
        </w:rPr>
        <w:t>2023年当年财政拨款调整预算数收入874.05万元、其中基本支出拨入468.99万元，占当年拨入总额的54%；项目支出拨入405.06万元，占当年拨入总额的46%。</w:t>
      </w:r>
    </w:p>
    <w:p w14:paraId="6430A8DC">
      <w:pPr>
        <w:snapToGrid w:val="0"/>
        <w:spacing w:line="56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（二）部门财政资金支出情况。</w:t>
      </w:r>
      <w:r>
        <w:rPr>
          <w:rFonts w:hint="eastAsia" w:ascii="仿宋_GB2312" w:hAnsi="仿宋_GB2312" w:eastAsia="仿宋_GB2312" w:cs="仿宋_GB2312"/>
          <w:sz w:val="30"/>
          <w:szCs w:val="30"/>
        </w:rPr>
        <w:t>2023年当年财政拨款支出总体情况为总支874.05万元,其中⑴基本支出中的工资福利支出、对个人和家庭补助支出等人员经费支出417.82万元，日常公用经费主要用于办公、水电、邮电、差旅、公务用车运行维护费等支出51.17万元，以上基本支出合计468.99万元，占当年支出总额的54%，与预算持平；基本支出与去年同期比较有所增加，主要系职工正常晋级工资、增加行政退休职工抚恤金、清算目标绩效奖及社保医疗公积金等缴费所致。⑵项目支出405.06万元，占当年支出总额的46%，主要系围绕省科协重点工作天府科技云服务项目开展科学技术普及、传播、科普阵地建设、学术交流、青少年科技创新活动、科普资源开发、全民科学素质调查、开展畜牧养殖培训、州科协系统换届选举会议等项目支出，并向凉山17个县市学（协）会、企事业组织、学校、帮扶村、社区、老科协等拨付和转移支付民族科普、科普创建、打造重点学会、科普进乡村大篷车进校园、乡村振兴、老科协工作保障等科普专项工作经费。项目支出与去年同期比较有所减少，减幅8%，主要系州财政减少公务用车购置费，这是2023年项目支出较上年有所减少的主要原因。</w:t>
      </w:r>
    </w:p>
    <w:p w14:paraId="55D058FE">
      <w:pPr>
        <w:snapToGrid w:val="0"/>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三、部门整体预算绩效管理情况</w:t>
      </w:r>
    </w:p>
    <w:p w14:paraId="59AD3DCF">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2023年在州委、州政府的坚强领导下，在经历了疫情和森林火灾防灭的考验下，我单位紧密团结在党的周围，主动适应积极作为，听从指挥服务大局。坚持</w:t>
      </w:r>
      <w:r>
        <w:rPr>
          <w:rFonts w:hint="eastAsia" w:ascii="仿宋_GB2312" w:hAnsi="仿宋_GB2312" w:eastAsia="仿宋_GB2312" w:cs="仿宋_GB2312"/>
          <w:sz w:val="30"/>
          <w:szCs w:val="30"/>
        </w:rPr>
        <w:t>以习近平新时代中国特色社会主义思想为指导</w:t>
      </w:r>
      <w:r>
        <w:rPr>
          <w:rFonts w:hint="eastAsia" w:ascii="仿宋_GB2312" w:hAnsi="仿宋_GB2312" w:eastAsia="仿宋_GB2312" w:cs="仿宋_GB2312"/>
          <w:color w:val="000000"/>
          <w:sz w:val="30"/>
          <w:szCs w:val="30"/>
        </w:rPr>
        <w:t>，全面学习贯彻党中央二十大精神</w:t>
      </w:r>
      <w:r>
        <w:rPr>
          <w:rFonts w:hint="eastAsia" w:ascii="仿宋_GB2312" w:hAnsi="仿宋_GB2312" w:eastAsia="仿宋_GB2312" w:cs="仿宋_GB2312"/>
          <w:sz w:val="30"/>
          <w:szCs w:val="30"/>
        </w:rPr>
        <w:t>，坚定以习总书记“四服务”重要指示为统揽，结合科协自身实际，围绕省科协天府科技云服务重点项目工作为中心，按照年初计划，开展科普宣传、学术交流、青少年科技教育实践、提高全民科学素质、全力推进科普建设、科技创新，充分发挥科技资源优势，为全州各级政府决策和科研工作者服好务。同时，扎实开展党的建设、巩固脱贫攻坚成果有效衔接乡村振兴、社会服务等工作，2023年度凉山州科学技术协会顺利完成了以上各项重点工作任务。</w:t>
      </w:r>
    </w:p>
    <w:p w14:paraId="374CE937">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单位对照“凉山州部门预算绩效评价指标体系”和此次评分规则，对部门预算总体绩效，部门预算项目绩效、专项预算绩效、绩效结果应用、自评质量五个方面中的各细项内容进行自评打分，总体扣分3分，最后得分97分。具体汇报如下：</w:t>
      </w:r>
    </w:p>
    <w:p w14:paraId="66E7E4BA">
      <w:pPr>
        <w:numPr>
          <w:ilvl w:val="0"/>
          <w:numId w:val="3"/>
        </w:numPr>
        <w:snapToGrid w:val="0"/>
        <w:spacing w:line="56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部门预算总体绩效。</w:t>
      </w:r>
    </w:p>
    <w:p w14:paraId="78BF39AD">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预算编制虽要素完整、指标能够细化量化、总体体现较科学准确，但在执行预算中，资金支付前期较缓慢、支出经济科目在预算编制和实际支出决算上存在一定的差异，体现了编制仍不够精准。因此以上自评共扣分3分，得分27分。</w:t>
      </w:r>
    </w:p>
    <w:p w14:paraId="6E5EFA2A">
      <w:pPr>
        <w:snapToGrid w:val="0"/>
        <w:spacing w:line="560" w:lineRule="exact"/>
        <w:ind w:firstLine="300" w:firstLineChars="1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目标制定、预算编报等方面:我单位严格按照《预算法》编制预算，严格执行政府会计制度。党组在年初进行了各项工作任务安排，制定了部门绩效目标。2023年财政拨款总收支614.51万元全面完整编入当年年初预算，其中基本支出经费400.51万元、项目支出经费214万元（不含州财政代编对县、市转移支付项目50万元）。对以上项目绩效目标进行量化，以确保预算编制的科学、准确、合理、完整。编报了部门预算一上、二上，部门预算公开报表。按照州财政局的具体部署要求，年初在预算一体化中全覆盖的编制了项目支出绩效目标、部门整体支出绩效目标和对县（市）转移支付项目绩效目标，全年资金应编尽编，预算编制较准确，并于财政规定的时间内在州政府网站和州科协网站进行公开公示，接受政府和社会的监督审查。</w:t>
      </w:r>
    </w:p>
    <w:p w14:paraId="3E9927DE">
      <w:pPr>
        <w:widowControl/>
        <w:adjustRightInd w:val="0"/>
        <w:snapToGrid w:val="0"/>
        <w:spacing w:line="560" w:lineRule="exact"/>
        <w:ind w:firstLine="600" w:firstLineChars="200"/>
        <w:contextualSpacing/>
        <w:jc w:val="left"/>
        <w:rPr>
          <w:rFonts w:hint="eastAsia" w:ascii="仿宋_GB2312" w:hAnsi="仿宋_GB2312" w:eastAsia="仿宋_GB2312" w:cs="仿宋_GB2312"/>
          <w:kern w:val="0"/>
          <w:sz w:val="30"/>
          <w:szCs w:val="30"/>
          <w:shd w:val="clear" w:color="auto" w:fill="FFFFFF"/>
        </w:rPr>
      </w:pPr>
      <w:r>
        <w:rPr>
          <w:rFonts w:hint="eastAsia" w:ascii="仿宋_GB2312" w:hAnsi="仿宋_GB2312" w:eastAsia="仿宋_GB2312" w:cs="仿宋_GB2312"/>
          <w:bCs/>
          <w:sz w:val="30"/>
          <w:szCs w:val="30"/>
        </w:rPr>
        <w:t>2、</w:t>
      </w:r>
      <w:r>
        <w:rPr>
          <w:rFonts w:hint="eastAsia" w:ascii="仿宋_GB2312" w:hAnsi="仿宋_GB2312" w:eastAsia="仿宋_GB2312" w:cs="仿宋_GB2312"/>
          <w:kern w:val="0"/>
          <w:sz w:val="30"/>
          <w:szCs w:val="30"/>
          <w:shd w:val="clear" w:color="auto" w:fill="FFFFFF"/>
        </w:rPr>
        <w:t>目标实现（按人员类、运转类、特定目标类项目分类阐述）预算</w:t>
      </w:r>
      <w:r>
        <w:rPr>
          <w:rFonts w:hint="eastAsia" w:ascii="仿宋_GB2312" w:hAnsi="仿宋_GB2312" w:eastAsia="仿宋_GB2312" w:cs="仿宋_GB2312"/>
          <w:bCs/>
          <w:sz w:val="30"/>
          <w:szCs w:val="30"/>
        </w:rPr>
        <w:t>管理</w:t>
      </w:r>
      <w:r>
        <w:rPr>
          <w:rFonts w:hint="eastAsia" w:ascii="仿宋_GB2312" w:hAnsi="仿宋_GB2312" w:eastAsia="仿宋_GB2312" w:cs="仿宋_GB2312"/>
          <w:kern w:val="0"/>
          <w:sz w:val="30"/>
          <w:szCs w:val="30"/>
          <w:shd w:val="clear" w:color="auto" w:fill="FFFFFF"/>
        </w:rPr>
        <w:t>完成情况等</w:t>
      </w:r>
      <w:r>
        <w:rPr>
          <w:rFonts w:hint="eastAsia" w:ascii="仿宋_GB2312" w:hAnsi="仿宋_GB2312" w:eastAsia="仿宋_GB2312" w:cs="仿宋_GB2312"/>
          <w:bCs/>
          <w:sz w:val="30"/>
          <w:szCs w:val="30"/>
        </w:rPr>
        <w:t>方面</w:t>
      </w:r>
      <w:r>
        <w:rPr>
          <w:rFonts w:hint="eastAsia" w:ascii="仿宋_GB2312" w:hAnsi="仿宋_GB2312" w:eastAsia="仿宋_GB2312" w:cs="仿宋_GB2312"/>
          <w:kern w:val="0"/>
          <w:sz w:val="30"/>
          <w:szCs w:val="30"/>
          <w:shd w:val="clear" w:color="auto" w:fill="FFFFFF"/>
        </w:rPr>
        <w:t>：年度内我们严格预算支出管理，年中紧扣年初预算，按照工作任务安排稳步实施，能够严格执行各项财经制度，强调财务基础工作的重要性，规范收支行为，年度内无乱发奖金津补贴、超范围开支、挪用挤占专项资金等违纪记录情况发生。</w:t>
      </w:r>
    </w:p>
    <w:p w14:paraId="4333AAD7">
      <w:pPr>
        <w:pStyle w:val="5"/>
        <w:rPr>
          <w:rFonts w:hint="eastAsia" w:ascii="仿宋_GB2312" w:hAnsi="仿宋_GB2312" w:eastAsia="仿宋_GB2312" w:cs="仿宋_GB2312"/>
          <w:kern w:val="0"/>
          <w:sz w:val="30"/>
          <w:szCs w:val="30"/>
          <w:shd w:val="clear" w:color="auto" w:fill="FFFFFF"/>
        </w:rPr>
      </w:pPr>
      <w:r>
        <w:rPr>
          <w:rFonts w:hint="eastAsia" w:ascii="仿宋_GB2312" w:hAnsi="仿宋_GB2312" w:eastAsia="仿宋_GB2312" w:cs="仿宋_GB2312"/>
          <w:kern w:val="0"/>
          <w:sz w:val="30"/>
          <w:szCs w:val="30"/>
          <w:shd w:val="clear" w:color="auto" w:fill="FFFFFF"/>
        </w:rPr>
        <w:t>（1）基本支出468.99万元，其中人员经费年初预算349.21万元，年中因职工正常晋级工资、增加行政退休职工丧葬抚恤金、清算目标绩效奖及社保医疗公积金等缴费增加至417.82万元。按照配置定额，逐人核定编制执行，并及时发放职工工资、按时缴交五险一金；基本公用经费51.17万元，按预算下达指标执行，根据“总量控制、计划管理”的要求从严控制行政经费，厉行节约压减“三公”经费开支，年末将公务用车运行维护费政府采购余款3.28万元上缴财政。</w:t>
      </w:r>
    </w:p>
    <w:p w14:paraId="37AA8A49">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（2）项目支出405.06万元，其中运转类项目年初预算3万元，年中因执行财政10%压减差旅费规定，故2023年调整预算运转类项目财政拨款收入总计2.8万元，年度执行中主要用于38届青少年科创赛活动补助经费。</w:t>
      </w:r>
      <w:r>
        <w:rPr>
          <w:rFonts w:hint="eastAsia" w:ascii="仿宋_GB2312" w:hAnsi="仿宋_GB2312" w:eastAsia="仿宋_GB2312" w:cs="仿宋_GB2312"/>
          <w:kern w:val="0"/>
          <w:sz w:val="30"/>
          <w:szCs w:val="30"/>
          <w:shd w:val="clear" w:color="auto" w:fill="FFFFFF"/>
        </w:rPr>
        <w:t>特定目标类项目经费年初预算214万元，年中因结转上年省级科普专项资金82.9万元、当年增加州级科普专项资金天府科技云“专职保姆”经费25万元、州级院士专家工作站专项50万元、人才发展专项50万元、</w:t>
      </w:r>
      <w:r>
        <w:rPr>
          <w:rFonts w:hint="eastAsia" w:ascii="仿宋_GB2312" w:hAnsi="仿宋_GB2312" w:eastAsia="仿宋_GB2312" w:cs="仿宋_GB2312"/>
          <w:sz w:val="30"/>
          <w:szCs w:val="30"/>
        </w:rPr>
        <w:t>州科协系统换届选举会议44.84万元等以及执行财政压减10%会议、培训、差旅费后，故2023年调整预算特定专项财政拨款收入总计</w:t>
      </w:r>
      <w:r>
        <w:rPr>
          <w:rFonts w:hint="eastAsia" w:ascii="仿宋_GB2312" w:hAnsi="仿宋_GB2312" w:eastAsia="仿宋_GB2312" w:cs="仿宋_GB2312"/>
          <w:kern w:val="0"/>
          <w:sz w:val="30"/>
          <w:szCs w:val="30"/>
          <w:shd w:val="clear" w:color="auto" w:fill="FFFFFF"/>
        </w:rPr>
        <w:t>402.26万元。</w:t>
      </w:r>
      <w:r>
        <w:rPr>
          <w:rFonts w:hint="eastAsia" w:ascii="仿宋_GB2312" w:hAnsi="仿宋_GB2312" w:eastAsia="仿宋_GB2312" w:cs="仿宋_GB2312"/>
          <w:sz w:val="30"/>
          <w:szCs w:val="30"/>
        </w:rPr>
        <w:t>我们按照《四川省科普经费管理办法》（川财教［2020］83号）、《凉山州科技计划项目专项资金管理办法》（凉财规［2020］2号）等相关规章制度，严格项目预算管理。各科室按照年度工作计划申报项目预算，由州科协党组集体研究决定审批。项目经费收支设立专账核算，专款专用，填报项目支出绩效目标能清晰反映预算资金的预期产出和效果，并以相应的绩效指标予以细化、量化描述项目。年度中能够把盘活存量资金，提高财政资金使用效率的理念贯穿执行过程，在项目预算执行中，围绕省科协重点项目天府科技云服务工作开展科学技术普及、传播、科普阵地建设、学术交流、青少年科技创新活动、全民科学素质调查，并向凉山17个县市和学（协）会等转移支付天府科技云、科普创建、科普进乡村大篷车进校园、科普阵地建设、学会能力提升、乡村振兴、老科协工作保障等科普专项工作经费。我们积极协调对接多方部门，在时间紧任务重的情况下，努力完成了省州领导及17县市参加多达300多人次的州科协系统换届选举会议及乡土人才大赛、青少年科创赛、自然科学优秀论文评选、院士（专家）工作站建设、“菁英计划”人才评选、开展畜牧培训等等专项项目任务；</w:t>
      </w:r>
      <w:r>
        <w:rPr>
          <w:rFonts w:hint="eastAsia" w:ascii="仿宋_GB2312" w:hAnsi="仿宋_GB2312" w:eastAsia="仿宋_GB2312" w:cs="仿宋_GB2312"/>
          <w:sz w:val="30"/>
          <w:szCs w:val="30"/>
          <w:lang w:eastAsia="zh-CN"/>
        </w:rPr>
        <w:t>认真完成了财政布置的</w:t>
      </w:r>
      <w:r>
        <w:rPr>
          <w:rFonts w:hint="eastAsia" w:ascii="仿宋_GB2312" w:hAnsi="仿宋_GB2312" w:eastAsia="仿宋_GB2312" w:cs="仿宋_GB2312"/>
          <w:sz w:val="30"/>
          <w:szCs w:val="30"/>
        </w:rPr>
        <w:t>绩效运行监控</w:t>
      </w:r>
      <w:r>
        <w:rPr>
          <w:rFonts w:hint="eastAsia" w:ascii="仿宋_GB2312" w:hAnsi="仿宋_GB2312" w:eastAsia="仿宋_GB2312" w:cs="仿宋_GB2312"/>
          <w:sz w:val="30"/>
          <w:szCs w:val="30"/>
          <w:lang w:eastAsia="zh-CN"/>
        </w:rPr>
        <w:t>工作、预算执行中期评估自查工作并拟写了以上自查及整改报告。通过以上工作的</w:t>
      </w:r>
      <w:r>
        <w:rPr>
          <w:rFonts w:hint="eastAsia" w:ascii="仿宋_GB2312" w:hAnsi="仿宋_GB2312" w:eastAsia="仿宋_GB2312" w:cs="仿宋_GB2312"/>
          <w:sz w:val="30"/>
          <w:szCs w:val="30"/>
        </w:rPr>
        <w:t>开展</w:t>
      </w:r>
      <w:r>
        <w:rPr>
          <w:rFonts w:hint="eastAsia" w:ascii="仿宋_GB2312" w:hAnsi="仿宋_GB2312" w:eastAsia="仿宋_GB2312" w:cs="仿宋_GB2312"/>
          <w:sz w:val="30"/>
          <w:szCs w:val="30"/>
          <w:lang w:eastAsia="zh-CN"/>
        </w:rPr>
        <w:t>，助推进了项目进度，</w:t>
      </w:r>
      <w:r>
        <w:rPr>
          <w:rFonts w:hint="eastAsia" w:ascii="仿宋_GB2312" w:hAnsi="仿宋_GB2312" w:eastAsia="仿宋_GB2312" w:cs="仿宋_GB2312"/>
          <w:sz w:val="30"/>
          <w:szCs w:val="30"/>
        </w:rPr>
        <w:t>尽可能的不形成沉淀资金，</w:t>
      </w:r>
      <w:r>
        <w:rPr>
          <w:rFonts w:hint="eastAsia" w:ascii="仿宋_GB2312" w:hAnsi="仿宋_GB2312" w:eastAsia="仿宋_GB2312" w:cs="仿宋_GB2312"/>
          <w:sz w:val="30"/>
          <w:szCs w:val="30"/>
          <w:lang w:eastAsia="zh-CN"/>
        </w:rPr>
        <w:t>努力</w:t>
      </w:r>
      <w:r>
        <w:rPr>
          <w:rFonts w:hint="eastAsia" w:ascii="仿宋_GB2312" w:hAnsi="仿宋_GB2312" w:eastAsia="仿宋_GB2312" w:cs="仿宋_GB2312"/>
          <w:sz w:val="30"/>
          <w:szCs w:val="30"/>
        </w:rPr>
        <w:t>提高了财政资金的使用效率。年末将换届选举会议余款0.55万元上缴财政。我部门对重点项目进行了追踪问效，因受疫情</w:t>
      </w:r>
      <w:r>
        <w:rPr>
          <w:rFonts w:hint="eastAsia" w:ascii="仿宋_GB2312" w:hAnsi="仿宋_GB2312" w:eastAsia="仿宋_GB2312" w:cs="仿宋_GB2312"/>
          <w:sz w:val="30"/>
          <w:szCs w:val="30"/>
          <w:lang w:eastAsia="zh-CN"/>
        </w:rPr>
        <w:t>余波及森林防灭火党建工作繁忙等</w:t>
      </w:r>
      <w:r>
        <w:rPr>
          <w:rFonts w:hint="eastAsia" w:ascii="仿宋_GB2312" w:hAnsi="仿宋_GB2312" w:eastAsia="仿宋_GB2312" w:cs="仿宋_GB2312"/>
          <w:sz w:val="30"/>
          <w:szCs w:val="30"/>
        </w:rPr>
        <w:t>影响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项目执行进度前期较缓慢，极个别绩效目标实际实现程度指标有点偏离预期指标</w:t>
      </w:r>
      <w:r>
        <w:rPr>
          <w:rFonts w:hint="eastAsia" w:ascii="仿宋_GB2312" w:hAnsi="仿宋_GB2312" w:eastAsia="仿宋_GB2312" w:cs="仿宋_GB2312"/>
          <w:sz w:val="30"/>
          <w:szCs w:val="30"/>
          <w:lang w:eastAsia="zh-CN"/>
        </w:rPr>
        <w:t>，经过党组积极调整，后期</w:t>
      </w:r>
      <w:r>
        <w:rPr>
          <w:rFonts w:hint="eastAsia" w:ascii="仿宋_GB2312" w:hAnsi="仿宋_GB2312" w:eastAsia="仿宋_GB2312" w:cs="仿宋_GB2312"/>
          <w:sz w:val="30"/>
          <w:szCs w:val="30"/>
        </w:rPr>
        <w:t>项目总体完成情况良好</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我们还结合专项预算项目工作要求开展了2022年项目自评并打分，形成自评报告，全覆盖填报了项目资金支出目标自评表</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并随同2022年决算同步公示公开。</w:t>
      </w:r>
    </w:p>
    <w:p w14:paraId="19B1CAFA">
      <w:pPr>
        <w:pStyle w:val="5"/>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（二）部门预算项目绩效。</w:t>
      </w:r>
    </w:p>
    <w:p w14:paraId="50ADF534">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我部门虽无此次“凉山州部门预算绩效评价指标体系” 所述“财政重点绩效评价组结合部门管理的特定目标类部门预算项目数量，选取部分特定目标类部门预算项目实施评价并打分，将形成的项目评价分数的平均分（百分制）按20%的比例换算得分。”情况，但在2023年预算一体化系统中按照财政要求进行了相关详细编报，故自评得分20分。</w:t>
      </w:r>
    </w:p>
    <w:p w14:paraId="39F2F09C">
      <w:pPr>
        <w:pStyle w:val="5"/>
        <w:ind w:left="643" w:firstLine="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（三）专项预算绩效。</w:t>
      </w:r>
    </w:p>
    <w:p w14:paraId="4E738F38">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我部门虽无此次“凉山州部门预算绩效评价指标体系” 所述“根据财政局组织开展对专项预算项目自评报告质量会审结果换算得分。（有两个以上专项预算项目的，以平均分换算得分）”情况，但在2023年预算一体化系统中按照财政要求进行了相关详细编报，故自评得分30分。</w:t>
      </w:r>
    </w:p>
    <w:p w14:paraId="24B71D40">
      <w:pPr>
        <w:snapToGrid w:val="0"/>
        <w:spacing w:line="560" w:lineRule="exact"/>
        <w:ind w:firstLine="301" w:firstLineChars="1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（四）绩效结果应用情况。</w:t>
      </w:r>
    </w:p>
    <w:p w14:paraId="097D74C5">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我们结合财政指标，按照州财政局工作要求，</w:t>
      </w:r>
      <w:r>
        <w:rPr>
          <w:rFonts w:hint="eastAsia" w:ascii="仿宋_GB2312" w:hAnsi="仿宋_GB2312" w:eastAsia="仿宋_GB2312" w:cs="仿宋_GB2312"/>
          <w:b/>
          <w:bCs/>
          <w:sz w:val="30"/>
          <w:szCs w:val="30"/>
        </w:rPr>
        <w:t>一是内部应用方面：</w:t>
      </w:r>
      <w:r>
        <w:rPr>
          <w:rFonts w:hint="eastAsia" w:ascii="仿宋_GB2312" w:hAnsi="仿宋_GB2312" w:eastAsia="仿宋_GB2312" w:cs="仿宋_GB2312"/>
          <w:sz w:val="30"/>
          <w:szCs w:val="30"/>
        </w:rPr>
        <w:t>我单位将部门绩效结果与预算挂钩，如在支持协会学会能力提升补助经费时，对资金使用效率高合规合法、账务核算规范的协会学会作为重要考核依据之一，并在州科协网站上公示后方可给予补助。</w:t>
      </w:r>
      <w:r>
        <w:rPr>
          <w:rFonts w:hint="eastAsia" w:ascii="仿宋_GB2312" w:hAnsi="仿宋_GB2312" w:eastAsia="仿宋_GB2312" w:cs="仿宋_GB2312"/>
          <w:b/>
          <w:bCs/>
          <w:sz w:val="30"/>
          <w:szCs w:val="30"/>
        </w:rPr>
        <w:t>二是信息公开方面：</w:t>
      </w:r>
      <w:r>
        <w:rPr>
          <w:rFonts w:hint="eastAsia" w:ascii="仿宋_GB2312" w:hAnsi="仿宋_GB2312" w:eastAsia="仿宋_GB2312" w:cs="仿宋_GB2312"/>
          <w:sz w:val="30"/>
          <w:szCs w:val="30"/>
        </w:rPr>
        <w:t>2023年度本级部门预算、2022年决算批复、整体支出和项目支出绩效评价报告以及转移支付绩效目标表等相关表格在规定的时间内，在凉山州政府网站和州科学技术协会网站进行公开公示。</w:t>
      </w:r>
      <w:r>
        <w:rPr>
          <w:rFonts w:hint="eastAsia" w:ascii="仿宋_GB2312" w:hAnsi="仿宋_GB2312" w:eastAsia="仿宋_GB2312" w:cs="仿宋_GB2312"/>
          <w:b/>
          <w:bCs/>
          <w:sz w:val="30"/>
          <w:szCs w:val="30"/>
        </w:rPr>
        <w:t>三是整改反馈方面：</w:t>
      </w:r>
      <w:r>
        <w:rPr>
          <w:rFonts w:hint="eastAsia" w:ascii="仿宋_GB2312" w:hAnsi="仿宋_GB2312" w:eastAsia="仿宋_GB2312" w:cs="仿宋_GB2312"/>
          <w:sz w:val="30"/>
          <w:szCs w:val="30"/>
        </w:rPr>
        <w:t>州科协党组针对审计、财政指出的问题，进行认真思考整改，进一步强化绩效考核意识，提高绩效考核工作质量并纳入全单位工作考核目标；优化细化预算编制，重视对经济科目的编制；能够对财政委派的检查组在规范会计基础工作专项行动现场抽查提出的问题写出报告说明及时进行整改，并归档妥善保管专卷备查。我们在单位开展部门整体支出绩效管理工作自查自评中，内容完整、观点客观、建议举措具有一定价值，工作中能够对照财政要求、审计问题按照规章制度严格执行立即整改，故自评得分14分。</w:t>
      </w:r>
    </w:p>
    <w:p w14:paraId="4B9F3220">
      <w:pPr>
        <w:spacing w:line="580" w:lineRule="exact"/>
        <w:ind w:firstLine="301" w:firstLineChars="1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zh-CN"/>
        </w:rPr>
        <w:t>（五）自评质量情况：</w:t>
      </w:r>
      <w:r>
        <w:rPr>
          <w:rFonts w:hint="eastAsia" w:ascii="仿宋_GB2312" w:hAnsi="仿宋_GB2312" w:eastAsia="仿宋_GB2312" w:cs="仿宋_GB2312"/>
          <w:sz w:val="30"/>
          <w:szCs w:val="30"/>
          <w:lang w:val="zh-CN"/>
        </w:rPr>
        <w:t>我部门按照州财政局预算绩效管理工作要求积极开展自评，其观点明确客观、内容完整、资料齐全、</w:t>
      </w:r>
      <w:r>
        <w:rPr>
          <w:rFonts w:hint="eastAsia" w:ascii="仿宋_GB2312" w:hAnsi="仿宋_GB2312" w:eastAsia="仿宋_GB2312" w:cs="仿宋_GB2312"/>
          <w:sz w:val="30"/>
          <w:szCs w:val="30"/>
        </w:rPr>
        <w:t>分析较透彻、</w:t>
      </w:r>
      <w:r>
        <w:rPr>
          <w:rFonts w:hint="eastAsia" w:ascii="仿宋_GB2312" w:hAnsi="仿宋_GB2312" w:eastAsia="仿宋_GB2312" w:cs="仿宋_GB2312"/>
          <w:sz w:val="30"/>
          <w:szCs w:val="30"/>
          <w:lang w:val="zh-CN"/>
        </w:rPr>
        <w:t>报送及时、建议具有一定的价值。相关年度中我单位未</w:t>
      </w:r>
      <w:r>
        <w:rPr>
          <w:rFonts w:hint="eastAsia" w:ascii="仿宋_GB2312" w:hAnsi="仿宋_GB2312" w:eastAsia="仿宋_GB2312" w:cs="仿宋_GB2312"/>
          <w:sz w:val="30"/>
          <w:szCs w:val="30"/>
        </w:rPr>
        <w:t>被州财政局抽为重点整体评价和重点项目评价单位之一，但是在2023年被财政抽为规范会计基础工作专项行动现场检查单位之一，在10-12月期间能够积极配合检查组提供相关数据及资料开展此项工作，得到检查组的较高评价、得分95.5分。故此项自评得分6分</w:t>
      </w:r>
    </w:p>
    <w:p w14:paraId="61D77820">
      <w:pPr>
        <w:spacing w:line="580" w:lineRule="exact"/>
        <w:ind w:firstLine="301" w:firstLineChars="1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四、</w:t>
      </w:r>
      <w:r>
        <w:rPr>
          <w:rFonts w:hint="eastAsia" w:ascii="仿宋_GB2312" w:hAnsi="仿宋_GB2312" w:eastAsia="仿宋_GB2312" w:cs="仿宋_GB2312"/>
          <w:sz w:val="30"/>
          <w:szCs w:val="30"/>
        </w:rPr>
        <w:t>评价结论及建议</w:t>
      </w:r>
    </w:p>
    <w:p w14:paraId="281EE548">
      <w:pPr>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（一）评价结论。</w:t>
      </w:r>
      <w:r>
        <w:rPr>
          <w:rFonts w:hint="eastAsia" w:ascii="仿宋_GB2312" w:hAnsi="仿宋_GB2312" w:eastAsia="仿宋_GB2312" w:cs="仿宋_GB2312"/>
          <w:color w:val="000000"/>
          <w:kern w:val="0"/>
          <w:sz w:val="30"/>
          <w:szCs w:val="30"/>
        </w:rPr>
        <w:t>我单位对照“2023年凉山州部门预算绩效评价指标体系”内容，对部门预算总体绩效，部门预算项目绩效、专项预算绩效、结果应用、</w:t>
      </w:r>
      <w:r>
        <w:rPr>
          <w:rFonts w:hint="eastAsia" w:ascii="仿宋_GB2312" w:hAnsi="仿宋_GB2312" w:eastAsia="仿宋_GB2312" w:cs="仿宋_GB2312"/>
          <w:color w:val="000000"/>
          <w:kern w:val="0"/>
          <w:sz w:val="30"/>
          <w:szCs w:val="30"/>
          <w:lang w:val="zh-CN"/>
        </w:rPr>
        <w:t>自评质量情况五</w:t>
      </w:r>
      <w:r>
        <w:rPr>
          <w:rFonts w:hint="eastAsia" w:ascii="仿宋_GB2312" w:hAnsi="仿宋_GB2312" w:eastAsia="仿宋_GB2312" w:cs="仿宋_GB2312"/>
          <w:color w:val="000000"/>
          <w:kern w:val="0"/>
          <w:sz w:val="30"/>
          <w:szCs w:val="30"/>
        </w:rPr>
        <w:t>个方面中的各细项进行</w:t>
      </w:r>
      <w:r>
        <w:rPr>
          <w:rFonts w:hint="eastAsia" w:ascii="仿宋_GB2312" w:hAnsi="仿宋_GB2312" w:eastAsia="仿宋_GB2312" w:cs="仿宋_GB2312"/>
          <w:kern w:val="0"/>
          <w:sz w:val="30"/>
          <w:szCs w:val="30"/>
        </w:rPr>
        <w:t>自评打分，总体扣分3分，得分97分。</w:t>
      </w:r>
    </w:p>
    <w:p w14:paraId="7A6761A0">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（二）存在问题：</w:t>
      </w:r>
      <w:r>
        <w:rPr>
          <w:rFonts w:hint="eastAsia" w:ascii="仿宋_GB2312" w:hAnsi="仿宋_GB2312" w:eastAsia="仿宋_GB2312" w:cs="仿宋_GB2312"/>
          <w:sz w:val="30"/>
          <w:szCs w:val="30"/>
        </w:rPr>
        <w:t>预算编制有待优化，预算编制与实际支出项目有的存在差异。预算拨付滞后。部分专项资金财政下拨晚，预算资金使用的管理上有待加强，应按预算进度及时支付，完成工作，避免资金滞留账上。</w:t>
      </w:r>
    </w:p>
    <w:p w14:paraId="4E8E2DF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（三）改进建议：</w:t>
      </w:r>
      <w:r>
        <w:rPr>
          <w:rFonts w:hint="eastAsia" w:ascii="仿宋_GB2312" w:hAnsi="仿宋_GB2312" w:eastAsia="仿宋_GB2312" w:cs="仿宋_GB2312"/>
          <w:b/>
          <w:bCs/>
          <w:sz w:val="30"/>
          <w:szCs w:val="30"/>
        </w:rPr>
        <w:t>一是</w:t>
      </w:r>
      <w:r>
        <w:rPr>
          <w:rFonts w:hint="eastAsia" w:ascii="仿宋_GB2312" w:hAnsi="仿宋_GB2312" w:eastAsia="仿宋_GB2312" w:cs="仿宋_GB2312"/>
          <w:sz w:val="30"/>
          <w:szCs w:val="30"/>
        </w:rPr>
        <w:t>进一步强化绩效考核意识，加强绩效中期评估工作，将绩效考核工作纳入部门工作目标；</w:t>
      </w:r>
      <w:r>
        <w:rPr>
          <w:rFonts w:hint="eastAsia" w:ascii="仿宋_GB2312" w:hAnsi="仿宋_GB2312" w:eastAsia="仿宋_GB2312" w:cs="仿宋_GB2312"/>
          <w:b/>
          <w:bCs/>
          <w:sz w:val="30"/>
          <w:szCs w:val="30"/>
        </w:rPr>
        <w:t>二是</w:t>
      </w:r>
      <w:r>
        <w:rPr>
          <w:rFonts w:hint="eastAsia" w:ascii="仿宋_GB2312" w:hAnsi="仿宋_GB2312" w:eastAsia="仿宋_GB2312" w:cs="仿宋_GB2312"/>
          <w:sz w:val="30"/>
          <w:szCs w:val="30"/>
        </w:rPr>
        <w:t>优化预算编制，尽可能的编制与实际支出相符的经济科目；</w:t>
      </w:r>
      <w:r>
        <w:rPr>
          <w:rFonts w:hint="eastAsia" w:ascii="仿宋_GB2312" w:hAnsi="仿宋_GB2312" w:eastAsia="仿宋_GB2312" w:cs="仿宋_GB2312"/>
          <w:b/>
          <w:bCs/>
          <w:sz w:val="30"/>
          <w:szCs w:val="30"/>
        </w:rPr>
        <w:t>三是</w:t>
      </w:r>
      <w:r>
        <w:rPr>
          <w:rFonts w:hint="eastAsia" w:ascii="仿宋_GB2312" w:hAnsi="仿宋_GB2312" w:eastAsia="仿宋_GB2312" w:cs="仿宋_GB2312"/>
          <w:sz w:val="30"/>
          <w:szCs w:val="30"/>
        </w:rPr>
        <w:t>強调项目跟踪监测，提高财政资金使用效率。</w:t>
      </w:r>
    </w:p>
    <w:p w14:paraId="79023827">
      <w:pPr>
        <w:widowControl/>
        <w:spacing w:line="578"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建议:绩效管理工作是一项政策性综合业务性极强的工作，不是财务部门写算能够落实完成的。希望财政部门能够协调具体措施落实单位各部门共同完成此项工作，使此项工作能够达到设计高层预期的目标。</w:t>
      </w:r>
    </w:p>
    <w:p w14:paraId="008E3386">
      <w:pPr>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特此报告。</w:t>
      </w:r>
    </w:p>
    <w:p w14:paraId="35ACCDD6">
      <w:pPr>
        <w:snapToGrid w:val="0"/>
        <w:spacing w:line="560" w:lineRule="exact"/>
        <w:rPr>
          <w:rFonts w:hint="eastAsia" w:ascii="仿宋_GB2312" w:hAnsi="仿宋_GB2312" w:eastAsia="仿宋_GB2312" w:cs="仿宋_GB2312"/>
          <w:color w:val="000000"/>
          <w:sz w:val="30"/>
          <w:szCs w:val="30"/>
        </w:rPr>
      </w:pPr>
    </w:p>
    <w:p w14:paraId="59919ADC">
      <w:pPr>
        <w:snapToGrid w:val="0"/>
        <w:spacing w:line="560" w:lineRule="exact"/>
        <w:ind w:right="320" w:firstLine="4500" w:firstLineChars="15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年1月15日</w:t>
      </w:r>
    </w:p>
    <w:p w14:paraId="7BA136D4">
      <w:pPr>
        <w:spacing w:line="580" w:lineRule="exact"/>
        <w:rPr>
          <w:szCs w:val="32"/>
        </w:rPr>
      </w:pPr>
    </w:p>
    <w:p w14:paraId="57BB7C9E">
      <w:pPr>
        <w:rPr>
          <w:rFonts w:hint="eastAsia" w:ascii="黑体" w:hAnsi="黑体" w:eastAsia="黑体"/>
          <w:sz w:val="32"/>
          <w:szCs w:val="32"/>
          <w:lang w:val="en-US" w:eastAsia="zh-CN"/>
        </w:rPr>
      </w:pPr>
    </w:p>
    <w:p w14:paraId="76284486">
      <w:pPr>
        <w:rPr>
          <w:rFonts w:hint="eastAsia" w:ascii="黑体" w:hAnsi="黑体" w:eastAsia="黑体"/>
          <w:sz w:val="32"/>
          <w:szCs w:val="32"/>
          <w:lang w:val="en-US" w:eastAsia="zh-CN"/>
        </w:rPr>
      </w:pPr>
    </w:p>
    <w:p w14:paraId="7E3646E4">
      <w:pPr>
        <w:rPr>
          <w:rFonts w:hint="eastAsia" w:ascii="黑体" w:hAnsi="黑体" w:eastAsia="黑体"/>
          <w:sz w:val="32"/>
          <w:szCs w:val="32"/>
          <w:lang w:val="en-US" w:eastAsia="zh-CN"/>
        </w:rPr>
      </w:pPr>
    </w:p>
    <w:p w14:paraId="28E6CDA4">
      <w:pPr>
        <w:rPr>
          <w:rFonts w:hint="eastAsia" w:ascii="黑体" w:hAnsi="黑体" w:eastAsia="黑体"/>
          <w:sz w:val="32"/>
          <w:szCs w:val="32"/>
          <w:lang w:val="en-US" w:eastAsia="zh-CN"/>
        </w:rPr>
      </w:pPr>
    </w:p>
    <w:p w14:paraId="08D4F5B8">
      <w:pPr>
        <w:rPr>
          <w:rFonts w:hint="eastAsia" w:ascii="黑体" w:hAnsi="黑体" w:eastAsia="黑体"/>
          <w:sz w:val="32"/>
          <w:szCs w:val="32"/>
          <w:lang w:val="en-US" w:eastAsia="zh-CN"/>
        </w:rPr>
      </w:pPr>
    </w:p>
    <w:p w14:paraId="63DD238A">
      <w:pPr>
        <w:rPr>
          <w:rFonts w:hint="eastAsia" w:ascii="黑体" w:hAnsi="黑体" w:eastAsia="黑体"/>
          <w:sz w:val="32"/>
          <w:szCs w:val="32"/>
          <w:lang w:val="en-US" w:eastAsia="zh-CN"/>
        </w:rPr>
      </w:pPr>
    </w:p>
    <w:p w14:paraId="349087C8">
      <w:pPr>
        <w:rPr>
          <w:rFonts w:hint="eastAsia" w:ascii="黑体" w:hAnsi="黑体" w:eastAsia="黑体"/>
          <w:sz w:val="32"/>
          <w:szCs w:val="32"/>
          <w:lang w:val="en-US" w:eastAsia="zh-CN"/>
        </w:rPr>
      </w:pPr>
    </w:p>
    <w:p w14:paraId="38C51473">
      <w:pPr>
        <w:rPr>
          <w:rFonts w:hint="eastAsia" w:ascii="黑体" w:hAnsi="黑体" w:eastAsia="黑体"/>
          <w:sz w:val="32"/>
          <w:szCs w:val="32"/>
          <w:lang w:val="en-US" w:eastAsia="zh-CN"/>
        </w:rPr>
      </w:pPr>
    </w:p>
    <w:p w14:paraId="1890E94A">
      <w:pPr>
        <w:rPr>
          <w:rFonts w:hint="eastAsia" w:ascii="黑体" w:hAnsi="黑体" w:eastAsia="黑体"/>
          <w:sz w:val="32"/>
          <w:szCs w:val="32"/>
          <w:lang w:val="en-US" w:eastAsia="zh-CN"/>
        </w:rPr>
      </w:pPr>
    </w:p>
    <w:p w14:paraId="3DBE8466">
      <w:pPr>
        <w:rPr>
          <w:rFonts w:hint="eastAsia" w:ascii="黑体" w:hAnsi="黑体" w:eastAsia="黑体"/>
          <w:sz w:val="32"/>
          <w:szCs w:val="32"/>
          <w:lang w:val="en-US" w:eastAsia="zh-CN"/>
        </w:rPr>
      </w:pPr>
    </w:p>
    <w:p w14:paraId="6B97DF2C">
      <w:pPr>
        <w:rPr>
          <w:rFonts w:hint="eastAsia" w:ascii="黑体" w:hAnsi="黑体" w:eastAsia="黑体"/>
          <w:sz w:val="32"/>
          <w:szCs w:val="32"/>
          <w:lang w:val="en-US" w:eastAsia="zh-CN"/>
        </w:rPr>
      </w:pPr>
    </w:p>
    <w:p w14:paraId="4902D77A">
      <w:pPr>
        <w:rPr>
          <w:rFonts w:hint="eastAsia" w:ascii="黑体" w:hAnsi="黑体" w:eastAsia="黑体"/>
          <w:sz w:val="32"/>
          <w:szCs w:val="32"/>
          <w:lang w:val="en-US" w:eastAsia="zh-CN"/>
        </w:rPr>
      </w:pPr>
    </w:p>
    <w:p w14:paraId="61F3EB08">
      <w:pPr>
        <w:rPr>
          <w:rFonts w:hint="eastAsia" w:ascii="黑体" w:hAnsi="黑体" w:eastAsia="黑体"/>
          <w:sz w:val="32"/>
          <w:szCs w:val="32"/>
          <w:lang w:val="en-US" w:eastAsia="zh-CN"/>
        </w:rPr>
      </w:pPr>
    </w:p>
    <w:p w14:paraId="2345F585">
      <w:pPr>
        <w:rPr>
          <w:rFonts w:hint="eastAsia" w:ascii="黑体" w:hAnsi="黑体" w:eastAsia="黑体"/>
          <w:sz w:val="32"/>
          <w:szCs w:val="32"/>
          <w:lang w:val="en-US" w:eastAsia="zh-CN"/>
        </w:rPr>
      </w:pPr>
    </w:p>
    <w:p w14:paraId="23D293E6">
      <w:pPr>
        <w:rPr>
          <w:rFonts w:hint="eastAsia" w:ascii="黑体" w:hAnsi="黑体" w:eastAsia="黑体"/>
          <w:sz w:val="32"/>
          <w:szCs w:val="32"/>
          <w:lang w:val="en-US" w:eastAsia="zh-CN"/>
        </w:rPr>
      </w:pPr>
    </w:p>
    <w:p w14:paraId="03BE0B1A">
      <w:pPr>
        <w:rPr>
          <w:rFonts w:hint="eastAsia" w:ascii="黑体" w:hAnsi="黑体" w:eastAsia="黑体"/>
          <w:sz w:val="32"/>
          <w:szCs w:val="32"/>
          <w:lang w:val="en-US" w:eastAsia="zh-CN"/>
        </w:rPr>
      </w:pPr>
    </w:p>
    <w:p w14:paraId="69EEC20D">
      <w:pPr>
        <w:rPr>
          <w:rFonts w:hint="eastAsia" w:ascii="黑体" w:hAnsi="黑体" w:eastAsia="黑体"/>
          <w:sz w:val="32"/>
          <w:szCs w:val="32"/>
          <w:lang w:val="en-US" w:eastAsia="zh-CN"/>
        </w:rPr>
      </w:pPr>
    </w:p>
    <w:p w14:paraId="0DC97C06">
      <w:pPr>
        <w:rPr>
          <w:rFonts w:hint="default" w:ascii="黑体" w:hAnsi="黑体" w:eastAsia="黑体"/>
          <w:sz w:val="32"/>
          <w:szCs w:val="32"/>
          <w:lang w:val="en-US" w:eastAsia="zh-CN"/>
        </w:rPr>
      </w:pPr>
      <w:r>
        <w:rPr>
          <w:rFonts w:hint="eastAsia" w:ascii="黑体" w:hAnsi="黑体" w:eastAsia="黑体"/>
          <w:sz w:val="32"/>
          <w:szCs w:val="32"/>
          <w:lang w:val="en-US" w:eastAsia="zh-CN"/>
        </w:rPr>
        <w:t>附件1-2：</w:t>
      </w:r>
    </w:p>
    <w:p w14:paraId="6CBBEC28">
      <w:pPr>
        <w:keepNext w:val="0"/>
        <w:keepLines w:val="0"/>
        <w:pageBreakBefore w:val="0"/>
        <w:widowControl w:val="0"/>
        <w:kinsoku/>
        <w:wordWrap/>
        <w:overflowPunct/>
        <w:topLinePunct w:val="0"/>
        <w:autoSpaceDE/>
        <w:autoSpaceDN/>
        <w:bidi w:val="0"/>
        <w:adjustRightInd/>
        <w:snapToGrid/>
        <w:spacing w:line="600" w:lineRule="exact"/>
        <w:ind w:firstLine="2200" w:firstLineChars="500"/>
        <w:jc w:val="both"/>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凉山州科学技术协会</w:t>
      </w:r>
    </w:p>
    <w:p w14:paraId="6EB482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olor w:val="FF0000"/>
          <w:sz w:val="32"/>
          <w:szCs w:val="32"/>
        </w:rPr>
      </w:pPr>
      <w:bookmarkStart w:id="83" w:name="OLE_LINK1"/>
      <w:r>
        <w:rPr>
          <w:rFonts w:hint="eastAsia" w:ascii="方正小标宋简体" w:hAnsi="方正小标宋简体" w:eastAsia="方正小标宋简体"/>
          <w:sz w:val="44"/>
          <w:szCs w:val="44"/>
        </w:rPr>
        <w:t>部门预算绩效评价报告</w:t>
      </w:r>
    </w:p>
    <w:bookmarkEnd w:id="83"/>
    <w:p w14:paraId="6E16032D"/>
    <w:p w14:paraId="0255FFDF">
      <w:pPr>
        <w:rPr>
          <w:rFonts w:ascii="黑体" w:hAnsi="黑体" w:eastAsia="黑体"/>
          <w:sz w:val="32"/>
          <w:szCs w:val="32"/>
        </w:rPr>
      </w:pPr>
      <w:r>
        <w:rPr>
          <w:rFonts w:hint="eastAsia" w:ascii="黑体" w:hAnsi="黑体" w:eastAsia="黑体"/>
          <w:sz w:val="32"/>
          <w:szCs w:val="32"/>
        </w:rPr>
        <w:t>一、部门（单位）基本情况</w:t>
      </w:r>
    </w:p>
    <w:p w14:paraId="3FF44DD9">
      <w:pPr>
        <w:ind w:firstLine="643" w:firstLineChars="200"/>
        <w:rPr>
          <w:rFonts w:hint="eastAsia" w:ascii="仿宋_GB2312" w:eastAsia="仿宋_GB2312"/>
          <w:color w:val="FF0000"/>
          <w:sz w:val="32"/>
          <w:szCs w:val="32"/>
        </w:rPr>
      </w:pPr>
      <w:r>
        <w:rPr>
          <w:rFonts w:hint="eastAsia" w:ascii="楷体_GB2312" w:eastAsia="楷体_GB2312"/>
          <w:b/>
          <w:sz w:val="32"/>
          <w:szCs w:val="32"/>
        </w:rPr>
        <w:t>（一）机构组成</w:t>
      </w:r>
    </w:p>
    <w:p w14:paraId="6AF11598">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凉山州科学技术协会属地（市）级全额拨款独立核算单位。其中参照公务员法管理的单位1个，下属二级事业单位青少年科技活动中心1个。2023年末，州编办核编行政编制10人，行政工勤1人，事业编制6人。</w:t>
      </w:r>
    </w:p>
    <w:p w14:paraId="44C6F365">
      <w:pPr>
        <w:numPr>
          <w:ilvl w:val="0"/>
          <w:numId w:val="0"/>
        </w:numPr>
        <w:ind w:firstLine="643" w:firstLineChars="200"/>
        <w:rPr>
          <w:rFonts w:ascii="楷体_GB2312" w:eastAsia="楷体_GB2312"/>
          <w:b/>
          <w:color w:val="FF0000"/>
          <w:sz w:val="32"/>
          <w:szCs w:val="32"/>
        </w:rPr>
      </w:pPr>
      <w:r>
        <w:rPr>
          <w:rFonts w:hint="eastAsia" w:ascii="楷体_GB2312" w:eastAsia="楷体_GB2312"/>
          <w:b/>
          <w:sz w:val="32"/>
          <w:szCs w:val="32"/>
          <w:lang w:eastAsia="zh-CN"/>
        </w:rPr>
        <w:t>（二）</w:t>
      </w:r>
      <w:r>
        <w:rPr>
          <w:rFonts w:hint="eastAsia" w:ascii="楷体_GB2312" w:eastAsia="楷体_GB2312"/>
          <w:b/>
          <w:sz w:val="32"/>
          <w:szCs w:val="32"/>
        </w:rPr>
        <w:t>机构职能</w:t>
      </w:r>
    </w:p>
    <w:p w14:paraId="28378AA0">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凉山州科学技术协会的职能一是开展学术交流，活跃学术思想，促进学科发展，推动决策的科学化和民主化；二是弘扬科学精神，普及科学技术知识，推广先进技术，开展青少年科技教育活动，提高全民族科学文化素质；三是维护科技工作者的合法权益，为科技团体和科技工作者服务，表彰和奖励优秀科技工作者，举荐人才。组织科技工作者参与科技政策、法规制定和政治协商、科学决策、民主工作。四是开展技术培训、技术咨询服务，进行咨询服务行业管理。推动科技成果向现实生产力的转化，接受委托承担项目评估，成果鉴定，专业技术职务评审等任务。五是开展国际民间科技交流活动，发展同国外的科学技术团体和科技工作者的友好交往。六是开展培训工作。七是对直属州级学会、协会、研究会进行管理，对县、市科协和基层组织进行业务指导。八是承担州委、州政府和省科协交办的其他事项。</w:t>
      </w:r>
    </w:p>
    <w:p w14:paraId="7F0D76EC">
      <w:pPr>
        <w:numPr>
          <w:ilvl w:val="0"/>
          <w:numId w:val="0"/>
        </w:numPr>
        <w:ind w:firstLine="643" w:firstLineChars="200"/>
        <w:rPr>
          <w:rFonts w:hint="eastAsia" w:ascii="仿宋_GB2312" w:eastAsia="仿宋_GB2312"/>
          <w:sz w:val="32"/>
          <w:szCs w:val="32"/>
        </w:rPr>
      </w:pPr>
      <w:r>
        <w:rPr>
          <w:rFonts w:hint="eastAsia" w:ascii="楷体_GB2312" w:eastAsia="楷体_GB2312"/>
          <w:b/>
          <w:sz w:val="32"/>
          <w:szCs w:val="32"/>
          <w:lang w:eastAsia="zh-CN"/>
        </w:rPr>
        <w:t>（三）</w:t>
      </w:r>
      <w:r>
        <w:rPr>
          <w:rFonts w:hint="eastAsia" w:ascii="楷体_GB2312" w:eastAsia="楷体_GB2312"/>
          <w:b/>
          <w:sz w:val="32"/>
          <w:szCs w:val="32"/>
        </w:rPr>
        <w:t>人员概况</w:t>
      </w:r>
    </w:p>
    <w:p w14:paraId="7845ADD4">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凉山州科学技术协会经编办核定</w:t>
      </w:r>
      <w:r>
        <w:rPr>
          <w:rFonts w:hint="eastAsia" w:ascii="仿宋_GB2312" w:hAnsi="Times New Roman" w:eastAsia="仿宋_GB2312" w:cs="Times New Roman"/>
          <w:sz w:val="32"/>
          <w:szCs w:val="32"/>
          <w:lang w:eastAsia="zh-CN"/>
        </w:rPr>
        <w:t>截止</w:t>
      </w:r>
      <w:r>
        <w:rPr>
          <w:rFonts w:hint="eastAsia" w:ascii="仿宋_GB2312" w:hAnsi="Times New Roman" w:eastAsia="仿宋_GB2312" w:cs="Times New Roman"/>
          <w:sz w:val="32"/>
          <w:szCs w:val="32"/>
        </w:rPr>
        <w:t>2023年末行政编制10人，行政工勤1个、事业编制6人。上年末实有行政人员10人，本年度增加调入1人，减少外调1人，故年末实有行政人员10人；上年末实有事业人员5人，本年无增减变动，故年末实有事业人员仍为5人；离休人员1人；上年末退休职工18人，本年</w:t>
      </w:r>
      <w:r>
        <w:rPr>
          <w:rFonts w:hint="eastAsia" w:ascii="仿宋_GB2312" w:hAnsi="Times New Roman" w:eastAsia="仿宋_GB2312" w:cs="Times New Roman"/>
          <w:sz w:val="32"/>
          <w:szCs w:val="32"/>
          <w:lang w:eastAsia="zh-CN"/>
        </w:rPr>
        <w:t>病故减少</w:t>
      </w:r>
      <w:r>
        <w:rPr>
          <w:rFonts w:hint="eastAsia" w:ascii="仿宋_GB2312" w:hAnsi="Times New Roman" w:eastAsia="仿宋_GB2312" w:cs="Times New Roman"/>
          <w:sz w:val="32"/>
          <w:szCs w:val="32"/>
          <w:lang w:val="en-US" w:eastAsia="zh-CN"/>
        </w:rPr>
        <w:t>1人</w:t>
      </w:r>
      <w:r>
        <w:rPr>
          <w:rFonts w:hint="eastAsia" w:ascii="仿宋_GB2312" w:hAnsi="Times New Roman" w:eastAsia="仿宋_GB2312" w:cs="Times New Roman"/>
          <w:sz w:val="32"/>
          <w:szCs w:val="32"/>
        </w:rPr>
        <w:t>，故年末退休职工为1</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人。总计3</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人。</w:t>
      </w:r>
    </w:p>
    <w:p w14:paraId="0F341AC7">
      <w:pPr>
        <w:rPr>
          <w:rFonts w:ascii="黑体" w:hAnsi="黑体" w:eastAsia="黑体"/>
          <w:sz w:val="32"/>
          <w:szCs w:val="32"/>
        </w:rPr>
      </w:pPr>
      <w:r>
        <w:rPr>
          <w:rFonts w:hint="eastAsia" w:ascii="黑体" w:hAnsi="黑体" w:eastAsia="黑体"/>
          <w:sz w:val="32"/>
          <w:szCs w:val="32"/>
        </w:rPr>
        <w:t>二、部门资金收支情况</w:t>
      </w:r>
    </w:p>
    <w:p w14:paraId="227F1840">
      <w:pPr>
        <w:ind w:firstLine="643" w:firstLineChars="200"/>
        <w:rPr>
          <w:rFonts w:hint="eastAsia" w:ascii="仿宋_GB2312" w:eastAsia="仿宋_GB2312"/>
          <w:color w:val="FF0000"/>
          <w:sz w:val="32"/>
          <w:szCs w:val="32"/>
        </w:rPr>
      </w:pPr>
      <w:r>
        <w:rPr>
          <w:rFonts w:hint="eastAsia" w:ascii="楷体_GB2312" w:eastAsia="楷体_GB2312"/>
          <w:b/>
          <w:sz w:val="32"/>
          <w:szCs w:val="32"/>
        </w:rPr>
        <w:t>（一）收入情况</w:t>
      </w:r>
      <w:bookmarkStart w:id="84" w:name="OLE_LINK22"/>
    </w:p>
    <w:bookmarkEnd w:id="84"/>
    <w:p w14:paraId="2BC7F006">
      <w:pPr>
        <w:snapToGrid w:val="0"/>
        <w:spacing w:line="560" w:lineRule="exact"/>
        <w:ind w:firstLine="640" w:firstLineChars="200"/>
        <w:rPr>
          <w:rFonts w:hint="eastAsia" w:ascii="Times New Roman" w:hAnsi="Times New Roman" w:eastAsia="仿宋_GB2312" w:cs="Times New Roman"/>
          <w:sz w:val="32"/>
          <w:szCs w:val="32"/>
          <w:lang w:eastAsia="zh-CN"/>
        </w:rPr>
      </w:pPr>
      <w:bookmarkStart w:id="85" w:name="OLE_LINK25"/>
      <w:r>
        <w:rPr>
          <w:rFonts w:hint="eastAsia" w:eastAsia="仿宋_GB2312"/>
          <w:sz w:val="32"/>
          <w:szCs w:val="32"/>
          <w:lang w:eastAsia="zh-CN"/>
        </w:rPr>
        <w:t>凉山州科协部门</w:t>
      </w:r>
      <w:r>
        <w:rPr>
          <w:rFonts w:hint="eastAsia" w:ascii="仿宋_GB2312" w:eastAsia="仿宋_GB2312"/>
          <w:sz w:val="32"/>
          <w:szCs w:val="32"/>
        </w:rPr>
        <w:t>2023年年初预算收入</w:t>
      </w:r>
      <w:r>
        <w:rPr>
          <w:rFonts w:hint="eastAsia" w:ascii="仿宋_GB2312" w:eastAsia="仿宋_GB2312"/>
          <w:sz w:val="32"/>
          <w:szCs w:val="32"/>
          <w:lang w:eastAsia="zh-CN"/>
        </w:rPr>
        <w:t>为</w:t>
      </w:r>
      <w:bookmarkStart w:id="86" w:name="OLE_LINK24"/>
      <w:r>
        <w:rPr>
          <w:rFonts w:hint="eastAsia" w:ascii="仿宋_GB2312" w:eastAsia="仿宋_GB2312"/>
          <w:sz w:val="32"/>
          <w:szCs w:val="32"/>
          <w:lang w:eastAsia="zh-CN"/>
        </w:rPr>
        <w:t>一般公共预算</w:t>
      </w:r>
      <w:r>
        <w:rPr>
          <w:rFonts w:hint="eastAsia" w:ascii="仿宋_GB2312" w:eastAsia="仿宋_GB2312"/>
          <w:sz w:val="32"/>
          <w:szCs w:val="32"/>
          <w:lang w:val="en-US" w:eastAsia="zh-CN"/>
        </w:rPr>
        <w:t>614.51</w:t>
      </w:r>
      <w:bookmarkEnd w:id="86"/>
      <w:r>
        <w:rPr>
          <w:rFonts w:hint="eastAsia"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eastAsia="zh-CN"/>
        </w:rPr>
        <w:t>、其中基本支出拨入</w:t>
      </w:r>
      <w:r>
        <w:rPr>
          <w:rFonts w:hint="eastAsia" w:ascii="Times New Roman" w:hAnsi="Times New Roman" w:eastAsia="仿宋_GB2312" w:cs="Times New Roman"/>
          <w:sz w:val="32"/>
          <w:szCs w:val="32"/>
          <w:lang w:val="en-US" w:eastAsia="zh-CN"/>
        </w:rPr>
        <w:t>400.51</w:t>
      </w:r>
      <w:r>
        <w:rPr>
          <w:rFonts w:hint="eastAsia" w:ascii="Times New Roman" w:hAnsi="Times New Roman" w:eastAsia="仿宋_GB2312" w:cs="Times New Roman"/>
          <w:sz w:val="32"/>
          <w:szCs w:val="32"/>
          <w:lang w:eastAsia="zh-CN"/>
        </w:rPr>
        <w:t>万元，占当年拨入总额的</w:t>
      </w:r>
      <w:r>
        <w:rPr>
          <w:rFonts w:hint="eastAsia" w:ascii="Times New Roman" w:hAnsi="Times New Roman" w:eastAsia="仿宋_GB2312" w:cs="Times New Roman"/>
          <w:sz w:val="32"/>
          <w:szCs w:val="32"/>
          <w:lang w:val="en-US" w:eastAsia="zh-CN"/>
        </w:rPr>
        <w:t>65.18</w:t>
      </w:r>
      <w:r>
        <w:rPr>
          <w:rFonts w:hint="eastAsia" w:ascii="Times New Roman" w:hAnsi="Times New Roman" w:eastAsia="仿宋_GB2312" w:cs="Times New Roman"/>
          <w:sz w:val="32"/>
          <w:szCs w:val="32"/>
          <w:lang w:eastAsia="zh-CN"/>
        </w:rPr>
        <w:t>%；项目支出拨入</w:t>
      </w:r>
      <w:r>
        <w:rPr>
          <w:rFonts w:hint="eastAsia" w:ascii="Times New Roman" w:hAnsi="Times New Roman" w:eastAsia="仿宋_GB2312" w:cs="Times New Roman"/>
          <w:sz w:val="32"/>
          <w:szCs w:val="32"/>
          <w:lang w:val="en-US" w:eastAsia="zh-CN"/>
        </w:rPr>
        <w:t>214</w:t>
      </w:r>
      <w:r>
        <w:rPr>
          <w:rFonts w:hint="eastAsia" w:ascii="Times New Roman" w:hAnsi="Times New Roman" w:eastAsia="仿宋_GB2312" w:cs="Times New Roman"/>
          <w:sz w:val="32"/>
          <w:szCs w:val="32"/>
          <w:lang w:eastAsia="zh-CN"/>
        </w:rPr>
        <w:t>万元，占当年拨入总额的</w:t>
      </w:r>
      <w:r>
        <w:rPr>
          <w:rFonts w:hint="eastAsia" w:ascii="Times New Roman" w:hAnsi="Times New Roman" w:eastAsia="仿宋_GB2312" w:cs="Times New Roman"/>
          <w:sz w:val="32"/>
          <w:szCs w:val="32"/>
          <w:lang w:val="en-US" w:eastAsia="zh-CN"/>
        </w:rPr>
        <w:t>34.82</w:t>
      </w:r>
      <w:r>
        <w:rPr>
          <w:rFonts w:hint="eastAsia" w:ascii="Times New Roman" w:hAnsi="Times New Roman" w:eastAsia="仿宋_GB2312" w:cs="Times New Roman"/>
          <w:sz w:val="32"/>
          <w:szCs w:val="32"/>
          <w:lang w:eastAsia="zh-CN"/>
        </w:rPr>
        <w:t>%；决算报表收入为</w:t>
      </w:r>
      <w:bookmarkStart w:id="87" w:name="OLE_LINK27"/>
      <w:r>
        <w:rPr>
          <w:rFonts w:hint="eastAsia" w:ascii="Times New Roman" w:hAnsi="Times New Roman" w:eastAsia="仿宋_GB2312" w:cs="Times New Roman"/>
          <w:sz w:val="32"/>
          <w:szCs w:val="32"/>
          <w:lang w:eastAsia="zh-CN"/>
        </w:rPr>
        <w:t>一般公共预算874.05万元、</w:t>
      </w:r>
      <w:bookmarkStart w:id="88" w:name="OLE_LINK23"/>
      <w:r>
        <w:rPr>
          <w:rFonts w:hint="eastAsia" w:ascii="Times New Roman" w:hAnsi="Times New Roman" w:eastAsia="仿宋_GB2312" w:cs="Times New Roman"/>
          <w:sz w:val="32"/>
          <w:szCs w:val="32"/>
          <w:lang w:eastAsia="zh-CN"/>
        </w:rPr>
        <w:t>其中基本支出拨入468.99万元，占当年拨入总额的54%；项目支出拨入405.06万元，占当年拨入总额的46%。</w:t>
      </w:r>
    </w:p>
    <w:bookmarkEnd w:id="85"/>
    <w:bookmarkEnd w:id="87"/>
    <w:bookmarkEnd w:id="88"/>
    <w:p w14:paraId="20AF1F06">
      <w:pPr>
        <w:numPr>
          <w:ilvl w:val="0"/>
          <w:numId w:val="0"/>
        </w:numPr>
        <w:ind w:firstLine="643" w:firstLineChars="200"/>
        <w:rPr>
          <w:color w:val="FF0000"/>
        </w:rPr>
      </w:pPr>
      <w:r>
        <w:rPr>
          <w:rFonts w:hint="eastAsia" w:ascii="楷体_GB2312" w:eastAsia="楷体_GB2312"/>
          <w:b/>
          <w:sz w:val="32"/>
          <w:szCs w:val="32"/>
          <w:lang w:eastAsia="zh-CN"/>
        </w:rPr>
        <w:t>（二）</w:t>
      </w:r>
      <w:r>
        <w:rPr>
          <w:rFonts w:hint="eastAsia" w:ascii="楷体_GB2312" w:eastAsia="楷体_GB2312"/>
          <w:b/>
          <w:sz w:val="32"/>
          <w:szCs w:val="32"/>
        </w:rPr>
        <w:t>支出情况</w:t>
      </w:r>
    </w:p>
    <w:p w14:paraId="6CEB0554">
      <w:pPr>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eastAsia="仿宋_GB2312"/>
          <w:sz w:val="32"/>
          <w:szCs w:val="32"/>
          <w:lang w:eastAsia="zh-CN"/>
        </w:rPr>
        <w:t>凉山州科协部门</w:t>
      </w:r>
      <w:r>
        <w:rPr>
          <w:rFonts w:hint="eastAsia" w:ascii="仿宋_GB2312" w:eastAsia="仿宋_GB2312"/>
          <w:sz w:val="32"/>
          <w:szCs w:val="32"/>
        </w:rPr>
        <w:t>2023年年初预算</w:t>
      </w:r>
      <w:r>
        <w:rPr>
          <w:rFonts w:hint="eastAsia" w:ascii="仿宋_GB2312" w:eastAsia="仿宋_GB2312"/>
          <w:sz w:val="32"/>
          <w:szCs w:val="32"/>
          <w:lang w:eastAsia="zh-CN"/>
        </w:rPr>
        <w:t>支出为一般公共预算</w:t>
      </w:r>
      <w:bookmarkStart w:id="89" w:name="OLE_LINK26"/>
      <w:r>
        <w:rPr>
          <w:rFonts w:hint="eastAsia" w:ascii="仿宋_GB2312" w:eastAsia="仿宋_GB2312"/>
          <w:sz w:val="32"/>
          <w:szCs w:val="32"/>
          <w:lang w:val="en-US" w:eastAsia="zh-CN"/>
        </w:rPr>
        <w:t>614.51</w:t>
      </w:r>
      <w:r>
        <w:rPr>
          <w:rFonts w:hint="eastAsia"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eastAsia="zh-CN"/>
        </w:rPr>
        <w:t>、其中基本支出</w:t>
      </w:r>
      <w:r>
        <w:rPr>
          <w:rFonts w:hint="eastAsia" w:ascii="Times New Roman" w:hAnsi="Times New Roman" w:eastAsia="仿宋_GB2312" w:cs="Times New Roman"/>
          <w:sz w:val="32"/>
          <w:szCs w:val="32"/>
          <w:lang w:val="en-US" w:eastAsia="zh-CN"/>
        </w:rPr>
        <w:t>400.51</w:t>
      </w:r>
      <w:r>
        <w:rPr>
          <w:rFonts w:hint="eastAsia" w:ascii="Times New Roman" w:hAnsi="Times New Roman" w:eastAsia="仿宋_GB2312" w:cs="Times New Roman"/>
          <w:sz w:val="32"/>
          <w:szCs w:val="32"/>
          <w:lang w:eastAsia="zh-CN"/>
        </w:rPr>
        <w:t>万元，占当年支出总额的</w:t>
      </w:r>
      <w:r>
        <w:rPr>
          <w:rFonts w:hint="eastAsia" w:ascii="Times New Roman" w:hAnsi="Times New Roman" w:eastAsia="仿宋_GB2312" w:cs="Times New Roman"/>
          <w:sz w:val="32"/>
          <w:szCs w:val="32"/>
          <w:lang w:val="en-US" w:eastAsia="zh-CN"/>
        </w:rPr>
        <w:t>65.18</w:t>
      </w:r>
      <w:r>
        <w:rPr>
          <w:rFonts w:hint="eastAsia"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214</w:t>
      </w:r>
      <w:r>
        <w:rPr>
          <w:rFonts w:hint="eastAsia" w:ascii="Times New Roman" w:hAnsi="Times New Roman" w:eastAsia="仿宋_GB2312" w:cs="Times New Roman"/>
          <w:sz w:val="32"/>
          <w:szCs w:val="32"/>
          <w:lang w:eastAsia="zh-CN"/>
        </w:rPr>
        <w:t>万元，占当年支出总额的</w:t>
      </w:r>
      <w:r>
        <w:rPr>
          <w:rFonts w:hint="eastAsia" w:ascii="Times New Roman" w:hAnsi="Times New Roman" w:eastAsia="仿宋_GB2312" w:cs="Times New Roman"/>
          <w:sz w:val="32"/>
          <w:szCs w:val="32"/>
          <w:lang w:val="en-US" w:eastAsia="zh-CN"/>
        </w:rPr>
        <w:t>34.82</w:t>
      </w:r>
      <w:r>
        <w:rPr>
          <w:rFonts w:hint="eastAsia" w:ascii="Times New Roman" w:hAnsi="Times New Roman" w:eastAsia="仿宋_GB2312" w:cs="Times New Roman"/>
          <w:sz w:val="32"/>
          <w:szCs w:val="32"/>
          <w:lang w:eastAsia="zh-CN"/>
        </w:rPr>
        <w:t>%；</w:t>
      </w:r>
      <w:bookmarkEnd w:id="89"/>
      <w:r>
        <w:rPr>
          <w:rFonts w:hint="eastAsia" w:ascii="Times New Roman" w:hAnsi="Times New Roman" w:eastAsia="仿宋_GB2312" w:cs="Times New Roman"/>
          <w:sz w:val="32"/>
          <w:szCs w:val="32"/>
          <w:lang w:eastAsia="zh-CN"/>
        </w:rPr>
        <w:t>决算报表支出为一般公共预算874.05万元、其中基本支出468.99万元，占当年支出总额的54%，主要为工资福利支出、对个人和家庭补助支出等人员经费支出417.82万元，日常公用经费主要用于办公、水电、邮电、差旅、公务用车运行维护费等支出51.17万元。基本支出与去年同期比较有所增加，主要系职工正常晋级工资、增加行政退休职工抚恤金、清算目标绩效奖及社保医疗公积金等缴费所致；项目支出405.06万元，占当年支出总额的46%，主要系围绕省科协重点工作天府科技云服务项目开展科学技术普及、传播、科普阵地建设、学术交流、青少年科技创新活动、科普资源开发、全民科学素质调查、开展畜牧养殖培训、州科协系统换届选举会议等项目支出，并向凉山17个县市学（协）会、企事业组织、学校、帮扶村、社区、老科协等拨付和转移支付民族科普、科普创建、打造重点学会、科普进乡村大篷车进校园、乡村振兴、老科协工作保障等科普专项工作经费。项目支出与去年同期比较有所减少，减幅8%，主要系减少公务用车购置费</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这是2023年项目支出较上年减少的主要原因。</w:t>
      </w:r>
    </w:p>
    <w:p w14:paraId="35F74D9F">
      <w:pPr>
        <w:widowControl/>
        <w:numPr>
          <w:ilvl w:val="0"/>
          <w:numId w:val="0"/>
        </w:numPr>
        <w:adjustRightInd w:val="0"/>
        <w:snapToGrid w:val="0"/>
        <w:spacing w:line="560" w:lineRule="exact"/>
        <w:ind w:left="643" w:leftChars="0"/>
        <w:contextualSpacing/>
        <w:jc w:val="left"/>
        <w:rPr>
          <w:rFonts w:hint="eastAsia" w:ascii="仿宋_GB2312" w:eastAsia="仿宋_GB2312"/>
          <w:sz w:val="32"/>
          <w:szCs w:val="32"/>
        </w:rPr>
      </w:pPr>
      <w:r>
        <w:rPr>
          <w:rFonts w:hint="eastAsia" w:ascii="楷体_GB2312" w:eastAsia="楷体_GB2312"/>
          <w:b/>
          <w:sz w:val="32"/>
          <w:szCs w:val="32"/>
          <w:lang w:eastAsia="zh-CN"/>
        </w:rPr>
        <w:t>（三）</w:t>
      </w:r>
      <w:r>
        <w:rPr>
          <w:rFonts w:hint="eastAsia" w:ascii="楷体_GB2312" w:eastAsia="楷体_GB2312"/>
          <w:b/>
          <w:sz w:val="32"/>
          <w:szCs w:val="32"/>
        </w:rPr>
        <w:t>结余分配和结转结余情况</w:t>
      </w:r>
    </w:p>
    <w:p w14:paraId="1265A1E1">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本部门总体无结转结余情况。</w:t>
      </w:r>
    </w:p>
    <w:p w14:paraId="13BFB9B8">
      <w:pPr>
        <w:widowControl/>
        <w:numPr>
          <w:ilvl w:val="0"/>
          <w:numId w:val="2"/>
        </w:numPr>
        <w:adjustRightInd w:val="0"/>
        <w:snapToGrid w:val="0"/>
        <w:spacing w:line="560" w:lineRule="exact"/>
        <w:ind w:left="1360" w:leftChars="0" w:hanging="720" w:firstLineChars="0"/>
        <w:contextualSpacing/>
        <w:jc w:val="left"/>
        <w:rPr>
          <w:rFonts w:hint="eastAsia" w:ascii="黑体" w:hAnsi="黑体" w:eastAsia="黑体"/>
          <w:sz w:val="32"/>
          <w:szCs w:val="32"/>
        </w:rPr>
      </w:pPr>
      <w:r>
        <w:rPr>
          <w:rFonts w:hint="eastAsia" w:ascii="黑体" w:hAnsi="黑体" w:eastAsia="黑体"/>
          <w:sz w:val="32"/>
          <w:szCs w:val="32"/>
        </w:rPr>
        <w:t>部门预算绩效分析</w:t>
      </w:r>
    </w:p>
    <w:p w14:paraId="36E6593C">
      <w:pPr>
        <w:widowControl/>
        <w:numPr>
          <w:ilvl w:val="0"/>
          <w:numId w:val="0"/>
        </w:numPr>
        <w:adjustRightInd w:val="0"/>
        <w:snapToGrid w:val="0"/>
        <w:spacing w:line="560" w:lineRule="exact"/>
        <w:ind w:firstLine="643" w:firstLineChars="200"/>
        <w:contextualSpacing/>
        <w:jc w:val="left"/>
        <w:rPr>
          <w:rFonts w:ascii="仿宋_GB2312" w:eastAsia="仿宋_GB2312"/>
          <w:color w:val="FF0000"/>
          <w:sz w:val="32"/>
          <w:szCs w:val="32"/>
        </w:rPr>
      </w:pPr>
      <w:r>
        <w:rPr>
          <w:rFonts w:hint="eastAsia" w:ascii="楷体_GB2312" w:eastAsia="楷体_GB2312"/>
          <w:b/>
          <w:sz w:val="32"/>
          <w:szCs w:val="32"/>
        </w:rPr>
        <w:t>（一）部门预算总体绩效分析</w:t>
      </w:r>
    </w:p>
    <w:p w14:paraId="0F2AD90E">
      <w:pPr>
        <w:adjustRightInd w:val="0"/>
        <w:snapToGrid w:val="0"/>
        <w:spacing w:line="578" w:lineRule="exact"/>
        <w:ind w:firstLine="640" w:firstLineChars="200"/>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kern w:val="0"/>
          <w:sz w:val="32"/>
          <w:szCs w:val="32"/>
          <w:shd w:val="clear" w:color="auto" w:fill="FFFFFF"/>
        </w:rPr>
        <w:t>1.</w:t>
      </w:r>
      <w:r>
        <w:rPr>
          <w:rFonts w:hint="eastAsia" w:ascii="楷体_GB2312" w:hAnsi="楷体_GB2312" w:eastAsia="楷体_GB2312" w:cs="楷体_GB2312"/>
          <w:color w:val="000000"/>
          <w:kern w:val="0"/>
          <w:sz w:val="32"/>
          <w:szCs w:val="32"/>
          <w:shd w:val="clear" w:color="auto" w:fill="FFFFFF"/>
          <w:lang w:val="zh-CN"/>
        </w:rPr>
        <w:t>履职</w:t>
      </w:r>
      <w:r>
        <w:rPr>
          <w:rFonts w:hint="eastAsia" w:ascii="楷体_GB2312" w:hAnsi="楷体_GB2312" w:eastAsia="楷体_GB2312" w:cs="楷体_GB2312"/>
          <w:color w:val="000000"/>
          <w:kern w:val="0"/>
          <w:sz w:val="32"/>
          <w:szCs w:val="32"/>
          <w:shd w:val="clear" w:color="auto" w:fill="FFFFFF"/>
        </w:rPr>
        <w:t>效能</w:t>
      </w:r>
      <w:r>
        <w:rPr>
          <w:rFonts w:hint="eastAsia" w:ascii="楷体_GB2312" w:hAnsi="楷体_GB2312" w:eastAsia="楷体_GB2312" w:cs="楷体_GB2312"/>
          <w:color w:val="000000"/>
          <w:kern w:val="0"/>
          <w:sz w:val="32"/>
          <w:szCs w:val="32"/>
          <w:shd w:val="clear" w:color="auto" w:fill="FFFFFF"/>
          <w:lang w:eastAsia="zh-CN"/>
        </w:rPr>
        <w:t>。</w:t>
      </w:r>
      <w:r>
        <w:rPr>
          <w:rFonts w:hint="eastAsia" w:ascii="Times New Roman" w:hAnsi="Times New Roman" w:eastAsia="仿宋_GB2312" w:cs="Times New Roman"/>
          <w:sz w:val="32"/>
          <w:szCs w:val="32"/>
          <w:lang w:val="zh-CN"/>
        </w:rPr>
        <w:t>凉山州科协部门在州委、州政府的坚强领导下，全面学习贯彻党中央二十大精神，坚</w:t>
      </w:r>
      <w:r>
        <w:rPr>
          <w:rFonts w:hint="eastAsia" w:ascii="Times New Roman" w:hAnsi="Times New Roman" w:eastAsia="仿宋_GB2312" w:cs="Times New Roman"/>
          <w:sz w:val="32"/>
          <w:szCs w:val="32"/>
          <w:lang w:val="zh-CN" w:eastAsia="zh-CN"/>
        </w:rPr>
        <w:t>持</w:t>
      </w:r>
      <w:r>
        <w:rPr>
          <w:rFonts w:hint="eastAsia" w:ascii="Times New Roman" w:hAnsi="Times New Roman" w:eastAsia="仿宋_GB2312" w:cs="Times New Roman"/>
          <w:sz w:val="32"/>
          <w:szCs w:val="32"/>
          <w:lang w:val="zh-CN"/>
        </w:rPr>
        <w:t>以习总书记“四服务”重要指示为统揽，结合科协自身实际，围绕省科协天府科技云服务重点项目工作为中心，按照年初计划，开展科普宣传、学术交流、青少年科技教育实践、提高全民科学素质、全力推进科普建设、科技创新，充分发挥科技资源优势，为全州各级政府决策和科研工作者服好务。</w:t>
      </w:r>
      <w:r>
        <w:rPr>
          <w:rFonts w:hint="eastAsia" w:ascii="楷体_GB2312" w:hAnsi="楷体_GB2312" w:eastAsia="楷体_GB2312" w:cs="楷体_GB2312"/>
          <w:b w:val="0"/>
          <w:bCs w:val="0"/>
          <w:sz w:val="32"/>
          <w:szCs w:val="32"/>
          <w:lang w:eastAsia="zh-CN"/>
        </w:rPr>
        <w:t>一是</w:t>
      </w:r>
      <w:r>
        <w:rPr>
          <w:rFonts w:hint="eastAsia" w:ascii="楷体_GB2312" w:hAnsi="楷体_GB2312" w:eastAsia="楷体_GB2312" w:cs="楷体_GB2312"/>
          <w:b w:val="0"/>
          <w:bCs w:val="0"/>
          <w:sz w:val="32"/>
          <w:szCs w:val="32"/>
        </w:rPr>
        <w:t>为创新驱动发展服务，融入经济社会建设有</w:t>
      </w:r>
      <w:r>
        <w:rPr>
          <w:rFonts w:hint="eastAsia" w:ascii="楷体_GB2312" w:hAnsi="楷体_GB2312" w:eastAsia="楷体_GB2312" w:cs="楷体_GB2312"/>
          <w:b w:val="0"/>
          <w:bCs w:val="0"/>
          <w:sz w:val="32"/>
          <w:szCs w:val="32"/>
          <w:lang w:eastAsia="zh-CN"/>
        </w:rPr>
        <w:t>新</w:t>
      </w:r>
      <w:r>
        <w:rPr>
          <w:rFonts w:hint="eastAsia" w:ascii="楷体_GB2312" w:hAnsi="楷体_GB2312" w:eastAsia="楷体_GB2312" w:cs="楷体_GB2312"/>
          <w:b w:val="0"/>
          <w:bCs w:val="0"/>
          <w:sz w:val="32"/>
          <w:szCs w:val="32"/>
        </w:rPr>
        <w:t>突破。</w:t>
      </w:r>
      <w:r>
        <w:rPr>
          <w:rFonts w:hint="default" w:ascii="Times New Roman" w:hAnsi="Times New Roman" w:eastAsia="仿宋_GB2312" w:cs="Times New Roman"/>
          <w:spacing w:val="-6"/>
          <w:sz w:val="32"/>
          <w:szCs w:val="32"/>
          <w:lang w:val="en-US" w:eastAsia="zh-CN"/>
        </w:rPr>
        <w:t>将“天府科技云”作</w:t>
      </w:r>
      <w:r>
        <w:rPr>
          <w:rFonts w:hint="eastAsia" w:ascii="Times New Roman" w:hAnsi="Times New Roman" w:eastAsia="仿宋_GB2312" w:cs="Times New Roman"/>
          <w:spacing w:val="-6"/>
          <w:sz w:val="32"/>
          <w:szCs w:val="32"/>
          <w:lang w:val="en-US" w:eastAsia="zh-CN"/>
        </w:rPr>
        <w:t>为服务凉山高质量发展的</w:t>
      </w:r>
      <w:r>
        <w:rPr>
          <w:rFonts w:hint="default" w:ascii="Times New Roman" w:hAnsi="Times New Roman" w:eastAsia="仿宋_GB2312" w:cs="Times New Roman"/>
          <w:spacing w:val="-6"/>
          <w:sz w:val="32"/>
          <w:szCs w:val="32"/>
          <w:lang w:val="en-US" w:eastAsia="zh-CN"/>
        </w:rPr>
        <w:t>“一</w:t>
      </w:r>
      <w:r>
        <w:rPr>
          <w:rFonts w:hint="default" w:ascii="Times New Roman" w:hAnsi="Times New Roman" w:eastAsia="仿宋_GB2312" w:cs="Times New Roman"/>
          <w:color w:val="000000"/>
          <w:spacing w:val="-6"/>
          <w:sz w:val="32"/>
          <w:szCs w:val="32"/>
          <w:lang w:val="en-US" w:eastAsia="zh-CN"/>
        </w:rPr>
        <w:t>号工程”“头</w:t>
      </w:r>
      <w:r>
        <w:rPr>
          <w:rFonts w:hint="default" w:ascii="Times New Roman" w:hAnsi="Times New Roman" w:eastAsia="仿宋_GB2312" w:cs="Times New Roman"/>
          <w:spacing w:val="-6"/>
          <w:sz w:val="32"/>
          <w:szCs w:val="32"/>
          <w:lang w:val="en-US" w:eastAsia="zh-CN"/>
        </w:rPr>
        <w:t>等大事”来抓，</w:t>
      </w:r>
      <w:r>
        <w:rPr>
          <w:rFonts w:hint="eastAsia" w:ascii="仿宋_GB2312" w:hAnsi="仿宋_GB2312" w:eastAsia="仿宋_GB2312" w:cs="仿宋_GB2312"/>
          <w:sz w:val="32"/>
          <w:szCs w:val="32"/>
        </w:rPr>
        <w:t>通过部门联动、上门服务、精准对接、州市联建、绩效管理等方式，</w:t>
      </w:r>
      <w:r>
        <w:rPr>
          <w:rFonts w:hint="eastAsia" w:ascii="仿宋_GB2312" w:hAnsi="仿宋_GB2312" w:eastAsia="仿宋_GB2312" w:cs="仿宋_GB2312"/>
          <w:color w:val="auto"/>
          <w:kern w:val="2"/>
          <w:sz w:val="32"/>
          <w:szCs w:val="32"/>
          <w:lang w:val="en-US" w:eastAsia="zh-CN" w:bidi="ar-SA"/>
        </w:rPr>
        <w:t>2023年“天府科技云”邀请用户注册28637人。成功邀请1117家企事业单位入驻。帮助创建科创工作室1701家</w:t>
      </w:r>
      <w:r>
        <w:rPr>
          <w:rFonts w:hint="eastAsia"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lang w:eastAsia="zh-CN"/>
        </w:rPr>
        <w:t>“保姆式”服务任务</w:t>
      </w:r>
      <w:r>
        <w:rPr>
          <w:rFonts w:hint="eastAsia" w:ascii="仿宋_GB2312" w:hAnsi="仿宋_GB2312" w:eastAsia="仿宋_GB2312" w:cs="仿宋_GB2312"/>
          <w:sz w:val="32"/>
          <w:szCs w:val="32"/>
          <w:lang w:val="en-US" w:eastAsia="zh-CN"/>
        </w:rPr>
        <w:t>超额完成5338单。</w:t>
      </w:r>
      <w:r>
        <w:rPr>
          <w:rFonts w:hint="eastAsia" w:ascii="仿宋_GB2312" w:hAnsi="仿宋_GB2312" w:eastAsia="仿宋_GB2312" w:cs="仿宋_GB2312"/>
          <w:color w:val="000000"/>
          <w:sz w:val="32"/>
          <w:szCs w:val="32"/>
          <w:lang w:val="en-US" w:eastAsia="zh-CN"/>
        </w:rPr>
        <w:t>积极参加第二届“科创会”，</w:t>
      </w:r>
      <w:r>
        <w:rPr>
          <w:rFonts w:hint="eastAsia" w:ascii="仿宋_GB2312" w:hAnsi="仿宋_GB2312" w:eastAsia="仿宋_GB2312" w:cs="仿宋_GB2312"/>
          <w:sz w:val="32"/>
          <w:szCs w:val="32"/>
          <w:lang w:val="en-US" w:eastAsia="zh-CN"/>
        </w:rPr>
        <w:t>共征集139个项目在“天府科技云”平台及凉山“云展厅”发布，14项入选省级开幕式、省级重大专场、州级专场现场发布。2项在省级平台签约，签约金额1600余万元。1项</w:t>
      </w:r>
      <w:r>
        <w:rPr>
          <w:rFonts w:hint="eastAsia" w:ascii="仿宋_GB2312" w:hAnsi="仿宋_GB2312" w:eastAsia="仿宋_GB2312" w:cs="仿宋_GB2312"/>
          <w:color w:val="000000"/>
          <w:sz w:val="32"/>
          <w:szCs w:val="32"/>
          <w:lang w:val="en-US" w:eastAsia="zh-CN"/>
        </w:rPr>
        <w:t>入选“科创沙龙”典型案例并获奖。</w:t>
      </w:r>
      <w:r>
        <w:rPr>
          <w:rFonts w:hint="eastAsia" w:ascii="仿宋_GB2312" w:hAnsi="仿宋_GB2312" w:eastAsia="仿宋_GB2312" w:cs="仿宋_GB2312"/>
          <w:sz w:val="32"/>
          <w:szCs w:val="32"/>
        </w:rPr>
        <w:t>凉山</w:t>
      </w:r>
      <w:r>
        <w:rPr>
          <w:rFonts w:hint="eastAsia" w:ascii="仿宋_GB2312" w:hAnsi="仿宋_GB2312" w:eastAsia="仿宋_GB2312" w:cs="仿宋_GB2312"/>
          <w:sz w:val="32"/>
          <w:szCs w:val="32"/>
          <w:lang w:eastAsia="zh-CN"/>
        </w:rPr>
        <w:t>智慧科普传播员覆盖率达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实现“一村（社区）一名智慧科普传播员”</w:t>
      </w:r>
      <w:r>
        <w:rPr>
          <w:rFonts w:hint="eastAsia" w:ascii="仿宋_GB2312" w:hAnsi="仿宋_GB2312" w:eastAsia="仿宋_GB2312" w:cs="仿宋_GB2312"/>
          <w:sz w:val="32"/>
          <w:szCs w:val="32"/>
        </w:rPr>
        <w:t>全覆盖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“天府科技云”精准科普覆盖率7526.52‱、精准科普服务群众数3747260人、精准科普服务量56964926次。</w:t>
      </w:r>
    </w:p>
    <w:p w14:paraId="0999FDC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b w:val="0"/>
          <w:bCs w:val="0"/>
          <w:sz w:val="32"/>
          <w:szCs w:val="32"/>
          <w:lang w:eastAsia="zh-CN"/>
        </w:rPr>
        <w:t>二是</w:t>
      </w:r>
      <w:r>
        <w:rPr>
          <w:rFonts w:hint="eastAsia" w:ascii="楷体_GB2312" w:hAnsi="楷体_GB2312" w:eastAsia="楷体_GB2312" w:cs="楷体_GB2312"/>
          <w:b w:val="0"/>
          <w:bCs w:val="0"/>
          <w:sz w:val="32"/>
          <w:szCs w:val="32"/>
        </w:rPr>
        <w:t>为提升全民科学素质服务，科学普及有新业绩</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牵头实施《全民科学素质行动计划纲要》，构建大联合、大协作的工作新</w:t>
      </w:r>
      <w:r>
        <w:rPr>
          <w:rFonts w:hint="eastAsia" w:ascii="仿宋_GB2312" w:hAnsi="仿宋_GB2312" w:eastAsia="仿宋_GB2312" w:cs="仿宋_GB2312"/>
          <w:sz w:val="32"/>
          <w:szCs w:val="32"/>
          <w:lang w:eastAsia="zh-CN"/>
        </w:rPr>
        <w:t>格局，</w:t>
      </w:r>
      <w:r>
        <w:rPr>
          <w:rFonts w:hint="eastAsia" w:ascii="仿宋_GB2312" w:hAnsi="仿宋_GB2312" w:eastAsia="仿宋_GB2312" w:cs="仿宋_GB2312"/>
          <w:sz w:val="32"/>
          <w:szCs w:val="32"/>
        </w:rPr>
        <w:t>创新开展全国科普日、全国科技周、“科普进彝家、大蓬车进校园”、</w:t>
      </w:r>
      <w:r>
        <w:rPr>
          <w:rFonts w:hint="eastAsia" w:ascii="仿宋_GB2312" w:hAnsi="仿宋_GB2312" w:eastAsia="仿宋_GB2312" w:cs="仿宋_GB2312"/>
          <w:sz w:val="32"/>
          <w:szCs w:val="32"/>
          <w:lang w:eastAsia="zh-CN"/>
        </w:rPr>
        <w:t>科技“三下乡”、科普“七进”、</w:t>
      </w:r>
      <w:r>
        <w:rPr>
          <w:rFonts w:hint="eastAsia" w:ascii="仿宋_GB2312" w:hAnsi="仿宋_GB2312" w:eastAsia="仿宋_GB2312" w:cs="仿宋_GB2312"/>
          <w:sz w:val="32"/>
          <w:szCs w:val="32"/>
        </w:rPr>
        <w:t>科普集市等活动，发放宣传手册、宣传品共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万余份，</w:t>
      </w:r>
      <w:r>
        <w:rPr>
          <w:rFonts w:hint="eastAsia" w:ascii="仿宋_GB2312" w:hAnsi="仿宋_GB2312" w:eastAsia="仿宋_GB2312" w:cs="仿宋_GB2312"/>
          <w:sz w:val="32"/>
          <w:szCs w:val="32"/>
          <w:lang w:eastAsia="zh-CN"/>
        </w:rPr>
        <w:t>惠及</w:t>
      </w:r>
      <w:r>
        <w:rPr>
          <w:rFonts w:hint="eastAsia" w:ascii="仿宋_GB2312" w:hAnsi="仿宋_GB2312" w:eastAsia="仿宋_GB2312" w:cs="仿宋_GB2312"/>
          <w:sz w:val="32"/>
          <w:szCs w:val="32"/>
        </w:rPr>
        <w:t>群众</w:t>
      </w:r>
      <w:r>
        <w:rPr>
          <w:rFonts w:hint="eastAsia" w:ascii="仿宋_GB2312" w:hAnsi="仿宋_GB2312" w:eastAsia="仿宋_GB2312" w:cs="仿宋_GB2312"/>
          <w:sz w:val="32"/>
          <w:szCs w:val="32"/>
          <w:lang w:eastAsia="zh-CN"/>
        </w:rPr>
        <w:t>、师生</w:t>
      </w:r>
      <w:r>
        <w:rPr>
          <w:rFonts w:hint="eastAsia" w:ascii="仿宋_GB2312" w:hAnsi="仿宋_GB2312" w:eastAsia="仿宋_GB2312" w:cs="仿宋_GB2312"/>
          <w:sz w:val="32"/>
          <w:szCs w:val="32"/>
        </w:rPr>
        <w:t>达</w:t>
      </w:r>
      <w:r>
        <w:rPr>
          <w:rFonts w:hint="eastAsia" w:ascii="仿宋_GB2312" w:hAnsi="仿宋_GB2312" w:eastAsia="仿宋_GB2312" w:cs="仿宋_GB2312"/>
          <w:sz w:val="32"/>
          <w:szCs w:val="32"/>
          <w:lang w:val="en-US" w:eastAsia="zh-CN"/>
        </w:rPr>
        <w:t>50余</w:t>
      </w:r>
      <w:r>
        <w:rPr>
          <w:rFonts w:hint="eastAsia" w:ascii="仿宋_GB2312" w:hAnsi="仿宋_GB2312" w:eastAsia="仿宋_GB2312" w:cs="仿宋_GB2312"/>
          <w:sz w:val="32"/>
          <w:szCs w:val="32"/>
        </w:rPr>
        <w:t>万人。全面加强科普阵地建设，</w:t>
      </w:r>
      <w:r>
        <w:rPr>
          <w:rFonts w:hint="eastAsia" w:ascii="仿宋_GB2312" w:hAnsi="仿宋_GB2312" w:eastAsia="仿宋_GB2312" w:cs="仿宋_GB2312"/>
          <w:sz w:val="32"/>
          <w:szCs w:val="32"/>
          <w:lang w:eastAsia="zh-CN"/>
        </w:rPr>
        <w:t>新增冕宁县科普大篷车</w:t>
      </w:r>
      <w:r>
        <w:rPr>
          <w:rFonts w:hint="eastAsia" w:ascii="仿宋_GB2312" w:hAnsi="仿宋_GB2312" w:eastAsia="仿宋_GB2312" w:cs="仿宋_GB2312"/>
          <w:sz w:val="32"/>
          <w:szCs w:val="32"/>
          <w:lang w:val="en-US" w:eastAsia="zh-CN"/>
        </w:rPr>
        <w:t>1台</w:t>
      </w:r>
      <w:r>
        <w:rPr>
          <w:rFonts w:hint="eastAsia" w:ascii="仿宋_GB2312" w:hAnsi="仿宋_GB2312" w:eastAsia="仿宋_GB2312" w:cs="仿宋_GB2312"/>
          <w:sz w:val="32"/>
          <w:szCs w:val="32"/>
          <w:lang w:eastAsia="zh-CN"/>
        </w:rPr>
        <w:t>。争取会理科普资源包升级更换一套</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争取资金</w:t>
      </w:r>
      <w:r>
        <w:rPr>
          <w:rFonts w:hint="eastAsia" w:ascii="仿宋_GB2312" w:hAnsi="仿宋_GB2312" w:eastAsia="仿宋_GB2312" w:cs="仿宋_GB2312"/>
          <w:kern w:val="0"/>
          <w:sz w:val="32"/>
          <w:szCs w:val="32"/>
        </w:rPr>
        <w:t>开展科普示范</w:t>
      </w:r>
      <w:r>
        <w:rPr>
          <w:rFonts w:hint="eastAsia" w:ascii="仿宋_GB2312" w:hAnsi="仿宋_GB2312" w:eastAsia="仿宋_GB2312" w:cs="仿宋_GB2312"/>
          <w:kern w:val="0"/>
          <w:sz w:val="32"/>
          <w:szCs w:val="32"/>
          <w:lang w:eastAsia="zh-CN"/>
        </w:rPr>
        <w:t>基地、</w:t>
      </w:r>
      <w:r>
        <w:rPr>
          <w:rFonts w:hint="eastAsia" w:ascii="仿宋_GB2312" w:hAnsi="仿宋_GB2312" w:eastAsia="仿宋_GB2312" w:cs="仿宋_GB2312"/>
          <w:b w:val="0"/>
          <w:bCs w:val="0"/>
          <w:sz w:val="32"/>
          <w:szCs w:val="32"/>
          <w:lang w:val="en" w:eastAsia="zh-CN"/>
        </w:rPr>
        <w:t>开放式科技馆</w:t>
      </w:r>
      <w:r>
        <w:rPr>
          <w:rFonts w:hint="eastAsia" w:ascii="仿宋_GB2312" w:hAnsi="仿宋_GB2312" w:eastAsia="仿宋_GB2312" w:cs="仿宋_GB2312"/>
          <w:b w:val="0"/>
          <w:bCs w:val="0"/>
          <w:sz w:val="32"/>
          <w:szCs w:val="32"/>
          <w:lang w:val="en-US" w:eastAsia="zh-CN"/>
        </w:rPr>
        <w:t>、科普阵地等</w:t>
      </w:r>
      <w:r>
        <w:rPr>
          <w:rFonts w:hint="eastAsia" w:ascii="仿宋_GB2312" w:hAnsi="仿宋_GB2312" w:eastAsia="仿宋_GB2312" w:cs="仿宋_GB2312"/>
          <w:kern w:val="0"/>
          <w:sz w:val="32"/>
          <w:szCs w:val="32"/>
        </w:rPr>
        <w:t>创建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制作</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eastAsia="zh-CN"/>
        </w:rPr>
        <w:t>电视栏目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科普凉山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，采编科技致富带头、乡村振兴栏目40余期</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荣获“四川省2023年最具影响力的科普平台”荣誉称号。</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38届</w:t>
      </w:r>
      <w:r>
        <w:rPr>
          <w:rFonts w:hint="eastAsia" w:ascii="仿宋_GB2312" w:hAnsi="仿宋_GB2312" w:eastAsia="仿宋_GB2312" w:cs="仿宋_GB2312"/>
          <w:sz w:val="32"/>
          <w:szCs w:val="32"/>
        </w:rPr>
        <w:t>青少年科技创新大赛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征集各类作品</w:t>
      </w:r>
      <w:r>
        <w:rPr>
          <w:rFonts w:hint="eastAsia" w:ascii="仿宋_GB2312" w:hAnsi="仿宋_GB2312" w:eastAsia="仿宋_GB2312" w:cs="仿宋_GB2312"/>
          <w:color w:val="000000"/>
          <w:sz w:val="32"/>
          <w:szCs w:val="32"/>
          <w:lang w:val="en-US" w:eastAsia="zh-CN"/>
        </w:rPr>
        <w:t>995</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i w:val="0"/>
          <w:caps w:val="0"/>
          <w:color w:val="000000"/>
          <w:spacing w:val="0"/>
          <w:sz w:val="32"/>
          <w:szCs w:val="32"/>
          <w:u w:val="none"/>
          <w:shd w:val="clear" w:color="auto" w:fill="FFFFFF"/>
          <w:lang w:eastAsia="zh-CN"/>
        </w:rPr>
        <w:t>入围</w:t>
      </w:r>
      <w:r>
        <w:rPr>
          <w:rFonts w:hint="eastAsia" w:ascii="仿宋_GB2312" w:hAnsi="仿宋_GB2312" w:eastAsia="仿宋_GB2312" w:cs="仿宋_GB2312"/>
          <w:i w:val="0"/>
          <w:caps w:val="0"/>
          <w:color w:val="000000"/>
          <w:spacing w:val="0"/>
          <w:sz w:val="32"/>
          <w:szCs w:val="32"/>
          <w:u w:val="none"/>
          <w:shd w:val="clear" w:color="auto" w:fill="FFFFFF"/>
        </w:rPr>
        <w:t>终评</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710</w:t>
      </w:r>
      <w:r>
        <w:rPr>
          <w:rFonts w:hint="eastAsia" w:ascii="仿宋_GB2312" w:hAnsi="仿宋_GB2312" w:eastAsia="仿宋_GB2312" w:cs="仿宋_GB2312"/>
          <w:i w:val="0"/>
          <w:caps w:val="0"/>
          <w:color w:val="000000"/>
          <w:spacing w:val="0"/>
          <w:sz w:val="32"/>
          <w:szCs w:val="32"/>
          <w:u w:val="none"/>
          <w:shd w:val="clear" w:color="auto" w:fill="FFFFFF"/>
        </w:rPr>
        <w:t>项</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,来自全州200余名青少年和80余名科技辅导员教师</w:t>
      </w:r>
      <w:r>
        <w:rPr>
          <w:rFonts w:hint="eastAsia" w:ascii="仿宋_GB2312" w:hAnsi="仿宋_GB2312" w:eastAsia="仿宋_GB2312" w:cs="仿宋_GB2312"/>
          <w:sz w:val="32"/>
          <w:szCs w:val="32"/>
          <w:lang w:val="en-US" w:eastAsia="zh-CN"/>
        </w:rPr>
        <w:t>在凉山州航天科普基地参加终评决赛暨优秀成果展示会。</w:t>
      </w:r>
      <w:r>
        <w:rPr>
          <w:rFonts w:hint="eastAsia" w:ascii="仿宋_GB2312" w:hAnsi="仿宋_GB2312" w:eastAsia="仿宋_GB2312" w:cs="仿宋_GB2312"/>
          <w:b w:val="0"/>
          <w:bCs w:val="0"/>
          <w:color w:val="000000"/>
          <w:sz w:val="32"/>
          <w:szCs w:val="32"/>
          <w:lang w:eastAsia="zh-CN"/>
        </w:rPr>
        <w:t>第</w:t>
      </w:r>
      <w:r>
        <w:rPr>
          <w:rFonts w:hint="eastAsia" w:ascii="仿宋_GB2312" w:hAnsi="仿宋_GB2312" w:eastAsia="仿宋_GB2312" w:cs="仿宋_GB2312"/>
          <w:b w:val="0"/>
          <w:bCs w:val="0"/>
          <w:color w:val="000000"/>
          <w:sz w:val="32"/>
          <w:szCs w:val="32"/>
          <w:lang w:val="en-US" w:eastAsia="zh-CN"/>
        </w:rPr>
        <w:t>37届四川省青科赛凉山</w:t>
      </w:r>
      <w:r>
        <w:rPr>
          <w:rStyle w:val="39"/>
          <w:rFonts w:hint="eastAsia" w:ascii="仿宋_GB2312" w:hAnsi="仿宋_GB2312" w:eastAsia="仿宋_GB2312" w:cs="仿宋_GB2312"/>
          <w:b w:val="0"/>
          <w:bCs w:val="0"/>
          <w:i w:val="0"/>
          <w:color w:val="000000"/>
          <w:sz w:val="32"/>
          <w:szCs w:val="32"/>
        </w:rPr>
        <w:t>获</w:t>
      </w:r>
      <w:r>
        <w:rPr>
          <w:rStyle w:val="39"/>
          <w:rFonts w:hint="eastAsia" w:ascii="仿宋_GB2312" w:hAnsi="仿宋_GB2312" w:eastAsia="仿宋_GB2312" w:cs="仿宋_GB2312"/>
          <w:b w:val="0"/>
          <w:bCs w:val="0"/>
          <w:i w:val="0"/>
          <w:color w:val="000000"/>
          <w:sz w:val="32"/>
          <w:szCs w:val="32"/>
          <w:lang w:eastAsia="zh-CN"/>
        </w:rPr>
        <w:t>得</w:t>
      </w:r>
      <w:r>
        <w:rPr>
          <w:rFonts w:hint="eastAsia" w:ascii="仿宋_GB2312" w:hAnsi="仿宋_GB2312" w:eastAsia="仿宋_GB2312" w:cs="仿宋_GB2312"/>
          <w:sz w:val="32"/>
          <w:szCs w:val="32"/>
          <w:lang w:val="en-US" w:eastAsia="zh-CN"/>
        </w:rPr>
        <w:t>23个</w:t>
      </w:r>
      <w:r>
        <w:rPr>
          <w:rStyle w:val="39"/>
          <w:rFonts w:hint="eastAsia" w:ascii="仿宋_GB2312" w:hAnsi="仿宋_GB2312" w:eastAsia="仿宋_GB2312" w:cs="仿宋_GB2312"/>
          <w:i w:val="0"/>
          <w:color w:val="000000"/>
          <w:sz w:val="32"/>
          <w:szCs w:val="32"/>
          <w:lang w:eastAsia="zh-CN"/>
        </w:rPr>
        <w:t>奖</w:t>
      </w:r>
      <w:r>
        <w:rPr>
          <w:rFonts w:hint="eastAsia" w:ascii="仿宋_GB2312" w:hAnsi="仿宋_GB2312" w:eastAsia="仿宋_GB2312" w:cs="仿宋_GB2312"/>
          <w:sz w:val="32"/>
          <w:szCs w:val="32"/>
          <w:lang w:val="en-US" w:eastAsia="zh-CN"/>
        </w:rPr>
        <w:t>项，3名学生</w:t>
      </w:r>
      <w:r>
        <w:rPr>
          <w:rStyle w:val="39"/>
          <w:rFonts w:hint="eastAsia" w:ascii="仿宋_GB2312" w:hAnsi="仿宋_GB2312" w:eastAsia="仿宋_GB2312" w:cs="仿宋_GB2312"/>
          <w:i w:val="0"/>
          <w:color w:val="000000"/>
          <w:sz w:val="32"/>
          <w:szCs w:val="32"/>
          <w:lang w:eastAsia="zh-CN"/>
        </w:rPr>
        <w:t>获得专项奖</w:t>
      </w:r>
      <w:r>
        <w:rPr>
          <w:rStyle w:val="39"/>
          <w:rFonts w:hint="eastAsia" w:ascii="仿宋_GB2312" w:hAnsi="仿宋_GB2312" w:eastAsia="仿宋_GB2312" w:cs="仿宋_GB2312"/>
          <w:i w:val="0"/>
          <w:color w:val="000000"/>
          <w:sz w:val="32"/>
          <w:szCs w:val="32"/>
          <w:lang w:val="en-US" w:eastAsia="zh-CN"/>
        </w:rPr>
        <w:t>----</w:t>
      </w:r>
      <w:r>
        <w:rPr>
          <w:rStyle w:val="39"/>
          <w:rFonts w:hint="eastAsia" w:ascii="仿宋_GB2312" w:hAnsi="仿宋_GB2312" w:eastAsia="仿宋_GB2312" w:cs="仿宋_GB2312"/>
          <w:i w:val="0"/>
          <w:color w:val="000000"/>
          <w:sz w:val="32"/>
          <w:szCs w:val="32"/>
          <w:lang w:eastAsia="zh-CN"/>
        </w:rPr>
        <w:t>“盛通教育科学奖”。</w:t>
      </w:r>
      <w:r>
        <w:rPr>
          <w:rFonts w:hint="eastAsia" w:ascii="仿宋_GB2312" w:hAnsi="仿宋_GB2312" w:eastAsia="仿宋_GB2312" w:cs="仿宋_GB2312"/>
          <w:b w:val="0"/>
          <w:bCs w:val="0"/>
          <w:color w:val="000000"/>
          <w:sz w:val="32"/>
          <w:szCs w:val="32"/>
          <w:lang w:eastAsia="zh-CN"/>
        </w:rPr>
        <w:t>对青少年进行科学熏陶，开展</w:t>
      </w:r>
      <w:r>
        <w:rPr>
          <w:rFonts w:hint="eastAsia" w:ascii="仿宋_GB2312" w:hAnsi="仿宋_GB2312" w:eastAsia="仿宋_GB2312" w:cs="仿宋_GB2312"/>
          <w:color w:val="000000"/>
          <w:sz w:val="32"/>
          <w:szCs w:val="32"/>
        </w:rPr>
        <w:t>“科学调查体验”</w:t>
      </w:r>
      <w:r>
        <w:rPr>
          <w:rFonts w:hint="eastAsia" w:ascii="仿宋_GB2312" w:hAnsi="仿宋_GB2312" w:eastAsia="仿宋_GB2312" w:cs="仿宋_GB2312"/>
          <w:color w:val="000000"/>
          <w:sz w:val="32"/>
          <w:szCs w:val="32"/>
          <w:lang w:eastAsia="zh-CN"/>
        </w:rPr>
        <w:t>、“科学影像节”、“高校科学营”、</w:t>
      </w:r>
      <w:r>
        <w:rPr>
          <w:rFonts w:hint="eastAsia" w:ascii="仿宋_GB2312" w:hAnsi="仿宋_GB2312" w:eastAsia="仿宋_GB2312" w:cs="仿宋_GB2312"/>
          <w:b w:val="0"/>
          <w:bCs w:val="0"/>
          <w:i w:val="0"/>
          <w:caps w:val="0"/>
          <w:color w:val="000000"/>
          <w:spacing w:val="0"/>
          <w:sz w:val="32"/>
          <w:szCs w:val="32"/>
          <w:shd w:val="clear" w:color="auto" w:fill="FFFFFF"/>
        </w:rPr>
        <w:t>主题</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科普展览（报告宣讲）等活动。</w:t>
      </w:r>
      <w:r>
        <w:rPr>
          <w:rFonts w:hint="eastAsia" w:ascii="仿宋_GB2312" w:hAnsi="仿宋_GB2312" w:eastAsia="仿宋_GB2312" w:cs="仿宋_GB2312"/>
          <w:sz w:val="32"/>
          <w:szCs w:val="32"/>
        </w:rPr>
        <w:t>广泛开展畜牧养殖、林果种植等技能技术培训</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余期</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培训</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000余人</w:t>
      </w:r>
      <w:r>
        <w:rPr>
          <w:rFonts w:hint="eastAsia" w:ascii="仿宋_GB2312" w:hAnsi="仿宋_GB2312" w:eastAsia="仿宋_GB2312" w:cs="仿宋_GB2312"/>
          <w:sz w:val="32"/>
          <w:szCs w:val="32"/>
        </w:rPr>
        <w:t>。</w:t>
      </w:r>
    </w:p>
    <w:p w14:paraId="24102548">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三是</w:t>
      </w:r>
      <w:r>
        <w:rPr>
          <w:rFonts w:hint="eastAsia" w:ascii="楷体_GB2312" w:hAnsi="楷体_GB2312" w:eastAsia="楷体_GB2312" w:cs="楷体_GB2312"/>
          <w:b w:val="0"/>
          <w:bCs w:val="0"/>
          <w:sz w:val="32"/>
          <w:szCs w:val="32"/>
        </w:rPr>
        <w:t>为科技工作者服务，促进科技工作者成才有新成效。</w:t>
      </w:r>
      <w:r>
        <w:rPr>
          <w:rFonts w:hint="eastAsia" w:ascii="仿宋_GB2312" w:hAnsi="仿宋_GB2312" w:eastAsia="仿宋_GB2312" w:cs="仿宋_GB2312"/>
          <w:sz w:val="32"/>
          <w:szCs w:val="32"/>
        </w:rPr>
        <w:t>搭建“人才五进”平台，开展健康宣教、免费义诊、学术交流、</w:t>
      </w:r>
      <w:r>
        <w:rPr>
          <w:rFonts w:hint="eastAsia" w:ascii="仿宋_GB2312" w:hAnsi="仿宋_GB2312" w:eastAsia="仿宋_GB2312" w:cs="仿宋_GB2312"/>
          <w:sz w:val="32"/>
          <w:szCs w:val="32"/>
          <w:lang w:eastAsia="zh-CN"/>
        </w:rPr>
        <w:t>学会科普</w:t>
      </w:r>
      <w:r>
        <w:rPr>
          <w:rFonts w:hint="eastAsia" w:ascii="仿宋_GB2312" w:hAnsi="仿宋_GB2312" w:eastAsia="仿宋_GB2312" w:cs="仿宋_GB2312"/>
          <w:sz w:val="32"/>
          <w:szCs w:val="32"/>
        </w:rPr>
        <w:t>等活动。以院士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工作站、科技小院为平台，柔性引进高端创新人才进站（院）。以“天府科技云”为桥梁，让科技人才足不出户智能便捷地提供科技服务、转化科技成果、承接科研项目等，实现更大社会价值和经济价值。推荐</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名优秀科技人才参加全国创新争先奖、</w:t>
      </w:r>
      <w:r>
        <w:rPr>
          <w:rFonts w:hint="eastAsia" w:ascii="仿宋_GB2312" w:hAnsi="仿宋_GB2312" w:eastAsia="仿宋_GB2312" w:cs="仿宋_GB2312"/>
          <w:sz w:val="32"/>
          <w:szCs w:val="32"/>
          <w:lang w:eastAsia="zh-CN"/>
        </w:rPr>
        <w:t>省决策咨询专家团队、</w:t>
      </w:r>
      <w:r>
        <w:rPr>
          <w:rFonts w:hint="eastAsia" w:ascii="仿宋_GB2312" w:hAnsi="仿宋_GB2312" w:eastAsia="仿宋_GB2312" w:cs="仿宋_GB2312"/>
          <w:sz w:val="32"/>
          <w:szCs w:val="32"/>
        </w:rPr>
        <w:t>凉山高层次人才等候选人评选，参加全国团代会、“川澳中医药产业发展大会”、州高层次专家人才国情省情研修暨休假疗养班</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。推荐科技人才参加第八届科协改革研讨会论文、川渝科技学术大会优秀论文等评选43篇（项）。在</w:t>
      </w:r>
      <w:r>
        <w:rPr>
          <w:rFonts w:hint="eastAsia" w:ascii="仿宋_GB2312" w:hAnsi="仿宋_GB2312" w:eastAsia="仿宋_GB2312" w:cs="仿宋_GB2312"/>
          <w:sz w:val="32"/>
          <w:szCs w:val="32"/>
          <w:lang w:eastAsia="zh-CN"/>
        </w:rPr>
        <w:t>《四川科技报》、</w:t>
      </w:r>
      <w:r>
        <w:rPr>
          <w:rFonts w:hint="eastAsia" w:ascii="仿宋_GB2312" w:hAnsi="仿宋_GB2312" w:eastAsia="仿宋_GB2312" w:cs="仿宋_GB2312"/>
          <w:sz w:val="32"/>
          <w:szCs w:val="32"/>
        </w:rPr>
        <w:t>《凉山日报》、凉山电视台宣传报道优秀科技工作者风采。</w:t>
      </w:r>
      <w:r>
        <w:rPr>
          <w:rFonts w:hint="eastAsia" w:ascii="仿宋_GB2312" w:hAnsi="仿宋_GB2312" w:eastAsia="仿宋_GB2312" w:cs="仿宋_GB2312"/>
          <w:sz w:val="32"/>
          <w:szCs w:val="32"/>
          <w:lang w:eastAsia="zh-CN"/>
        </w:rPr>
        <w:t>第十一届</w:t>
      </w:r>
      <w:r>
        <w:rPr>
          <w:rFonts w:hint="eastAsia" w:ascii="仿宋_GB2312" w:hAnsi="仿宋_GB2312" w:eastAsia="仿宋_GB2312" w:cs="仿宋_GB2312"/>
          <w:sz w:val="32"/>
          <w:szCs w:val="32"/>
        </w:rPr>
        <w:t>自然科学优秀</w:t>
      </w:r>
      <w:r>
        <w:rPr>
          <w:rFonts w:hint="eastAsia" w:ascii="仿宋_GB2312" w:hAnsi="仿宋_GB2312" w:eastAsia="仿宋_GB2312" w:cs="仿宋_GB2312"/>
          <w:sz w:val="32"/>
          <w:szCs w:val="32"/>
          <w:lang w:eastAsia="zh-CN"/>
        </w:rPr>
        <w:t>学术</w:t>
      </w:r>
      <w:r>
        <w:rPr>
          <w:rFonts w:hint="eastAsia" w:ascii="仿宋_GB2312" w:hAnsi="仿宋_GB2312" w:eastAsia="仿宋_GB2312" w:cs="仿宋_GB2312"/>
          <w:sz w:val="32"/>
          <w:szCs w:val="32"/>
        </w:rPr>
        <w:t>论文评出</w:t>
      </w:r>
      <w:r>
        <w:rPr>
          <w:rFonts w:hint="eastAsia" w:ascii="仿宋_GB2312" w:hAnsi="仿宋_GB2312" w:eastAsia="仿宋_GB2312" w:cs="仿宋_GB2312"/>
          <w:sz w:val="32"/>
          <w:szCs w:val="32"/>
          <w:lang w:eastAsia="zh-CN"/>
        </w:rPr>
        <w:t>一二三等奖</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项。在元旦春节、“5.30”慰问走访科技人才</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名。召开“全国科技工作者日”座谈会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17个县（市）开展首届“最美科技工作者”评选，</w:t>
      </w:r>
      <w:r>
        <w:rPr>
          <w:rFonts w:hint="eastAsia" w:ascii="Times New Roman" w:hAnsi="Times New Roman" w:eastAsia="仿宋_GB2312" w:cs="Times New Roman"/>
          <w:sz w:val="32"/>
          <w:szCs w:val="32"/>
          <w:lang w:eastAsia="zh-CN"/>
        </w:rPr>
        <w:t>评出</w:t>
      </w:r>
      <w:r>
        <w:rPr>
          <w:rFonts w:hint="default" w:ascii="Times New Roman" w:hAnsi="Times New Roman" w:eastAsia="仿宋_GB2312" w:cs="Times New Roman"/>
          <w:sz w:val="32"/>
          <w:szCs w:val="32"/>
        </w:rPr>
        <w:t>“最美科技工作者”86名。</w:t>
      </w:r>
      <w:r>
        <w:rPr>
          <w:rFonts w:hint="eastAsia" w:ascii="仿宋_GB2312" w:hAnsi="仿宋_GB2312" w:eastAsia="仿宋_GB2312" w:cs="仿宋_GB2312"/>
          <w:sz w:val="32"/>
          <w:szCs w:val="32"/>
          <w:lang w:val="en-US" w:eastAsia="zh-CN"/>
        </w:rPr>
        <w:t>并建立“最美科技工作者”人才库。</w:t>
      </w:r>
    </w:p>
    <w:p w14:paraId="48602B88">
      <w:pPr>
        <w:numPr>
          <w:ilvl w:val="0"/>
          <w:numId w:val="0"/>
        </w:numPr>
        <w:adjustRightInd w:val="0"/>
        <w:snapToGrid w:val="0"/>
        <w:spacing w:line="578" w:lineRule="exact"/>
        <w:ind w:firstLine="640" w:firstLineChars="200"/>
        <w:jc w:val="left"/>
        <w:rPr>
          <w:rFonts w:hint="eastAsia" w:ascii="Times New Roman" w:hAnsi="Times New Roman" w:eastAsia="仿宋_GB2312" w:cs="Times New Roman"/>
          <w:sz w:val="32"/>
          <w:szCs w:val="32"/>
          <w:lang w:val="zh-CN" w:eastAsia="zh-CN"/>
        </w:rPr>
      </w:pPr>
      <w:r>
        <w:rPr>
          <w:rFonts w:hint="eastAsia" w:ascii="楷体_GB2312" w:hAnsi="楷体_GB2312" w:eastAsia="楷体_GB2312" w:cs="楷体_GB2312"/>
          <w:color w:val="000000"/>
          <w:kern w:val="0"/>
          <w:sz w:val="32"/>
          <w:szCs w:val="32"/>
          <w:shd w:val="clear" w:color="auto" w:fill="FFFFFF"/>
          <w:lang w:val="en-US" w:eastAsia="zh-CN"/>
        </w:rPr>
        <w:t>2.</w:t>
      </w:r>
      <w:r>
        <w:rPr>
          <w:rFonts w:hint="eastAsia" w:ascii="楷体_GB2312" w:hAnsi="楷体_GB2312" w:eastAsia="楷体_GB2312" w:cs="楷体_GB2312"/>
          <w:color w:val="000000"/>
          <w:kern w:val="0"/>
          <w:sz w:val="32"/>
          <w:szCs w:val="32"/>
          <w:shd w:val="clear" w:color="auto" w:fill="FFFFFF"/>
          <w:lang w:val="zh-CN"/>
        </w:rPr>
        <w:t>预算管理。</w:t>
      </w:r>
      <w:r>
        <w:rPr>
          <w:rFonts w:hint="eastAsia" w:ascii="Times New Roman" w:hAnsi="Times New Roman" w:eastAsia="仿宋_GB2312" w:cs="Times New Roman"/>
          <w:sz w:val="32"/>
          <w:szCs w:val="32"/>
          <w:lang w:val="zh-CN" w:eastAsia="zh-CN"/>
        </w:rPr>
        <w:t>我部门依据《预算法》和国家相关财经制度规定，统一口径应编尽编</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zh-CN" w:eastAsia="zh-CN"/>
        </w:rPr>
        <w:t>年度收入支出</w:t>
      </w:r>
      <w:r>
        <w:rPr>
          <w:rFonts w:hint="eastAsia" w:ascii="Times New Roman" w:hAnsi="Times New Roman" w:eastAsia="仿宋_GB2312" w:cs="Times New Roman"/>
          <w:sz w:val="32"/>
          <w:szCs w:val="32"/>
          <w:lang w:val="en-US" w:eastAsia="zh-CN"/>
        </w:rPr>
        <w:t>614.51万元</w:t>
      </w:r>
      <w:r>
        <w:rPr>
          <w:rFonts w:hint="eastAsia" w:ascii="Times New Roman" w:hAnsi="Times New Roman" w:eastAsia="仿宋_GB2312" w:cs="Times New Roman"/>
          <w:sz w:val="32"/>
          <w:szCs w:val="32"/>
          <w:lang w:val="zh-CN" w:eastAsia="zh-CN"/>
        </w:rPr>
        <w:t>、其中基本支出</w:t>
      </w:r>
      <w:r>
        <w:rPr>
          <w:rFonts w:hint="eastAsia" w:ascii="Times New Roman" w:hAnsi="Times New Roman" w:eastAsia="仿宋_GB2312" w:cs="Times New Roman"/>
          <w:sz w:val="32"/>
          <w:szCs w:val="32"/>
          <w:lang w:val="en-US" w:eastAsia="zh-CN"/>
        </w:rPr>
        <w:t>400.51</w:t>
      </w:r>
      <w:r>
        <w:rPr>
          <w:rFonts w:hint="eastAsia" w:ascii="Times New Roman" w:hAnsi="Times New Roman" w:eastAsia="仿宋_GB2312" w:cs="Times New Roman"/>
          <w:sz w:val="32"/>
          <w:szCs w:val="32"/>
          <w:lang w:val="zh-CN" w:eastAsia="zh-CN"/>
        </w:rPr>
        <w:t>万元、项目支出</w:t>
      </w:r>
      <w:r>
        <w:rPr>
          <w:rFonts w:hint="eastAsia" w:ascii="Times New Roman" w:hAnsi="Times New Roman" w:eastAsia="仿宋_GB2312" w:cs="Times New Roman"/>
          <w:sz w:val="32"/>
          <w:szCs w:val="32"/>
          <w:lang w:val="en-US" w:eastAsia="zh-CN"/>
        </w:rPr>
        <w:t>214</w:t>
      </w:r>
      <w:r>
        <w:rPr>
          <w:rFonts w:hint="eastAsia" w:ascii="Times New Roman" w:hAnsi="Times New Roman" w:eastAsia="仿宋_GB2312" w:cs="Times New Roman"/>
          <w:sz w:val="32"/>
          <w:szCs w:val="32"/>
          <w:lang w:val="zh-CN" w:eastAsia="zh-CN"/>
        </w:rPr>
        <w:t>万元。真实全面完整的进行预算编制。在预算执行时，能够严格区分基本支出和项目支出，坚持专款专用，不互相挤占挪用。支付执行进度上，因疫情余波和森林防灭火等工作的影响，前期支付较缓慢，但经党组重视，能够迅速调整支付进度，在财政资金运行监控、中期评估、绩效考评各阶段能够达到</w:t>
      </w:r>
      <w:r>
        <w:rPr>
          <w:rFonts w:hint="eastAsia" w:eastAsia="仿宋_GB2312" w:cs="Times New Roman"/>
          <w:sz w:val="32"/>
          <w:szCs w:val="32"/>
          <w:lang w:val="zh-CN" w:eastAsia="zh-CN"/>
        </w:rPr>
        <w:t>财政</w:t>
      </w:r>
      <w:r>
        <w:rPr>
          <w:rFonts w:hint="eastAsia" w:ascii="Times New Roman" w:hAnsi="Times New Roman" w:eastAsia="仿宋_GB2312" w:cs="Times New Roman"/>
          <w:sz w:val="32"/>
          <w:szCs w:val="32"/>
          <w:lang w:val="zh-CN" w:eastAsia="zh-CN"/>
        </w:rPr>
        <w:t>要求。年度执行预算支出874.05万元、其中基本支出468.99万元，项目支出405.06万元，无论基本支出还是项目支出，我们严格执行省委省政府八项规定，厉行节约，努力压减会议费、培训费、差旅费等</w:t>
      </w:r>
      <w:r>
        <w:rPr>
          <w:rFonts w:hint="eastAsia" w:ascii="Times New Roman" w:hAnsi="Times New Roman" w:eastAsia="仿宋_GB2312" w:cs="Times New Roman"/>
          <w:sz w:val="32"/>
          <w:szCs w:val="32"/>
          <w:lang w:val="zh-CN"/>
        </w:rPr>
        <w:t>严控一般性支出。执行预算良好，年终无预算结余。</w:t>
      </w:r>
    </w:p>
    <w:p w14:paraId="6A687680">
      <w:pPr>
        <w:pStyle w:val="5"/>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color w:val="000000"/>
          <w:kern w:val="0"/>
          <w:sz w:val="32"/>
          <w:szCs w:val="32"/>
          <w:shd w:val="clear" w:color="auto" w:fill="FFFFFF"/>
          <w:lang w:val="en-US" w:eastAsia="zh-CN"/>
        </w:rPr>
        <w:t>3.</w:t>
      </w:r>
      <w:r>
        <w:rPr>
          <w:rFonts w:hint="eastAsia" w:ascii="楷体_GB2312" w:hAnsi="楷体_GB2312" w:eastAsia="楷体_GB2312" w:cs="楷体_GB2312"/>
          <w:color w:val="000000"/>
          <w:kern w:val="0"/>
          <w:sz w:val="32"/>
          <w:szCs w:val="32"/>
          <w:shd w:val="clear" w:color="auto" w:fill="FFFFFF"/>
          <w:lang w:val="zh-CN"/>
        </w:rPr>
        <w:t>财务管理。</w:t>
      </w:r>
      <w:r>
        <w:rPr>
          <w:rFonts w:hint="eastAsia" w:ascii="Times New Roman" w:hAnsi="Times New Roman" w:eastAsia="仿宋_GB2312" w:cs="Times New Roman"/>
          <w:sz w:val="32"/>
          <w:szCs w:val="32"/>
          <w:lang w:val="zh-CN" w:eastAsia="zh-CN"/>
        </w:rPr>
        <w:t>为了确保单位日常财务运作符合国家《会计法》、《预算法》、《政府采购法》、《政府会计制度》等法律法规和行政规章制度的要求，我部门编制了《内部控制手册》，修订了单位《财务管理制度》、《公务接待管理的规定》、《购买办公设备及日常用品的规定》、《车辆管理使用》等20个制度，并在工作中严格对照执行。对重大经济事项的支用和管理，在党组集体领导决策下，做到公开、公正、公平、透明，并向纪检组报备。我部门单独设置会计机构，配备会计人员，对会计岗、出纳岗、稽核岗等不相容岗位实施分离。按规定建立会计账册、设置会计科目，并以实际发生的经济业务为依据，依法依规进行会计核算，确保会计信息合法性、真实性、完整性。规范会计、出纳</w:t>
      </w:r>
      <w:r>
        <w:rPr>
          <w:rFonts w:hint="eastAsia" w:eastAsia="仿宋_GB2312" w:cs="Times New Roman"/>
          <w:sz w:val="32"/>
          <w:szCs w:val="32"/>
          <w:lang w:val="zh-CN" w:eastAsia="zh-CN"/>
        </w:rPr>
        <w:t>资金使用</w:t>
      </w:r>
      <w:r>
        <w:rPr>
          <w:rFonts w:hint="eastAsia" w:ascii="Times New Roman" w:hAnsi="Times New Roman" w:eastAsia="仿宋_GB2312" w:cs="Times New Roman"/>
          <w:sz w:val="32"/>
          <w:szCs w:val="32"/>
          <w:lang w:val="zh-CN" w:eastAsia="zh-CN"/>
        </w:rPr>
        <w:t>行为，加强对会计人员的继续教育培训，提升会计人员职业道德和专业素养</w:t>
      </w:r>
      <w:r>
        <w:rPr>
          <w:rFonts w:hint="eastAsia" w:eastAsia="仿宋_GB2312" w:cs="Times New Roman"/>
          <w:sz w:val="32"/>
          <w:szCs w:val="32"/>
          <w:lang w:val="zh-CN" w:eastAsia="zh-CN"/>
        </w:rPr>
        <w:t>，树立风清气正良好的工作环境。</w:t>
      </w:r>
      <w:r>
        <w:rPr>
          <w:rFonts w:hint="eastAsia" w:eastAsia="仿宋_GB2312" w:cs="Times New Roman"/>
          <w:sz w:val="32"/>
          <w:szCs w:val="32"/>
          <w:lang w:val="en-US" w:eastAsia="zh-CN"/>
        </w:rPr>
        <w:t>2023年度我部门无违规违纪等事件发生。</w:t>
      </w:r>
    </w:p>
    <w:p w14:paraId="39635FB8">
      <w:pPr>
        <w:numPr>
          <w:ilvl w:val="0"/>
          <w:numId w:val="4"/>
        </w:numPr>
        <w:adjustRightInd w:val="0"/>
        <w:snapToGrid w:val="0"/>
        <w:spacing w:line="578" w:lineRule="exact"/>
        <w:ind w:firstLine="640" w:firstLineChars="200"/>
        <w:jc w:val="left"/>
        <w:rPr>
          <w:rFonts w:hint="eastAsia" w:ascii="Times New Roman" w:hAnsi="Times New Roman" w:eastAsia="仿宋_GB2312" w:cs="Times New Roman"/>
          <w:sz w:val="32"/>
          <w:szCs w:val="32"/>
          <w:lang w:val="zh-CN" w:eastAsia="zh-CN"/>
        </w:rPr>
      </w:pPr>
      <w:r>
        <w:rPr>
          <w:rFonts w:hint="eastAsia" w:ascii="楷体_GB2312" w:hAnsi="楷体_GB2312" w:eastAsia="楷体_GB2312" w:cs="楷体_GB2312"/>
          <w:color w:val="000000"/>
          <w:kern w:val="0"/>
          <w:sz w:val="32"/>
          <w:szCs w:val="32"/>
          <w:shd w:val="clear" w:color="auto" w:fill="FFFFFF"/>
          <w:lang w:val="zh-CN"/>
        </w:rPr>
        <w:t>资产管理。</w:t>
      </w:r>
      <w:r>
        <w:rPr>
          <w:rFonts w:hint="eastAsia" w:ascii="Times New Roman" w:hAnsi="Times New Roman" w:eastAsia="仿宋_GB2312" w:cs="Times New Roman"/>
          <w:sz w:val="32"/>
          <w:szCs w:val="32"/>
          <w:lang w:val="zh-CN" w:eastAsia="zh-CN"/>
        </w:rPr>
        <w:t>我部门截止202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zh-CN" w:eastAsia="zh-CN"/>
        </w:rPr>
        <w:t>年12月31日国有固定资产原值</w:t>
      </w:r>
      <w:r>
        <w:rPr>
          <w:rFonts w:hint="eastAsia" w:ascii="Times New Roman" w:hAnsi="Times New Roman" w:eastAsia="仿宋_GB2312" w:cs="Times New Roman"/>
          <w:sz w:val="32"/>
          <w:szCs w:val="32"/>
          <w:lang w:val="en-US" w:eastAsia="zh-CN"/>
        </w:rPr>
        <w:t>184.34</w:t>
      </w:r>
      <w:r>
        <w:rPr>
          <w:rFonts w:hint="eastAsia" w:ascii="Times New Roman" w:hAnsi="Times New Roman" w:eastAsia="仿宋_GB2312" w:cs="Times New Roman"/>
          <w:sz w:val="32"/>
          <w:szCs w:val="32"/>
          <w:lang w:val="zh-CN" w:eastAsia="zh-CN"/>
        </w:rPr>
        <w:t>万元，财务均全部登记入账，办公室登记备查簿进行实物管理。按照《国有资产管理制度办法》，单位制定了《财务管理制度》、《关于购买办公设备及日常用品的规定》、《车辆管理规定》等进行细化管理，当年新增固定资产家具用具</w:t>
      </w:r>
      <w:r>
        <w:rPr>
          <w:rFonts w:hint="eastAsia" w:ascii="Times New Roman" w:hAnsi="Times New Roman" w:eastAsia="仿宋_GB2312" w:cs="Times New Roman"/>
          <w:sz w:val="32"/>
          <w:szCs w:val="32"/>
          <w:lang w:val="en-US" w:eastAsia="zh-CN"/>
        </w:rPr>
        <w:t>1.82万元，</w:t>
      </w:r>
      <w:r>
        <w:rPr>
          <w:rFonts w:hint="eastAsia" w:ascii="Times New Roman" w:hAnsi="Times New Roman" w:eastAsia="仿宋_GB2312" w:cs="Times New Roman"/>
          <w:sz w:val="32"/>
          <w:szCs w:val="32"/>
          <w:lang w:val="zh-CN" w:eastAsia="zh-CN"/>
        </w:rPr>
        <w:t>人均资产变化率</w:t>
      </w:r>
      <w:r>
        <w:rPr>
          <w:rFonts w:hint="eastAsia" w:ascii="Times New Roman" w:hAnsi="Times New Roman" w:eastAsia="仿宋_GB2312" w:cs="Times New Roman"/>
          <w:sz w:val="32"/>
          <w:szCs w:val="32"/>
          <w:lang w:val="en-US" w:eastAsia="zh-CN"/>
        </w:rPr>
        <w:t>1%；除部分房屋资产因</w:t>
      </w:r>
      <w:r>
        <w:rPr>
          <w:rFonts w:hint="eastAsia" w:ascii="Times New Roman" w:hAnsi="Times New Roman" w:eastAsia="仿宋_GB2312" w:cs="Times New Roman"/>
          <w:sz w:val="32"/>
          <w:szCs w:val="32"/>
          <w:lang w:val="zh-CN" w:eastAsia="zh-CN"/>
        </w:rPr>
        <w:t>办公室按照政府统一规划搬迁，其余资产均在用，资产利用率达</w:t>
      </w:r>
      <w:r>
        <w:rPr>
          <w:rFonts w:hint="eastAsia" w:ascii="Times New Roman" w:hAnsi="Times New Roman" w:eastAsia="仿宋_GB2312" w:cs="Times New Roman"/>
          <w:sz w:val="32"/>
          <w:szCs w:val="32"/>
          <w:lang w:val="en-US" w:eastAsia="zh-CN"/>
        </w:rPr>
        <w:t>90%</w:t>
      </w:r>
      <w:r>
        <w:rPr>
          <w:rFonts w:hint="eastAsia" w:eastAsia="仿宋_GB2312" w:cs="Times New Roman"/>
          <w:sz w:val="32"/>
          <w:szCs w:val="32"/>
          <w:lang w:val="en-US" w:eastAsia="zh-CN"/>
        </w:rPr>
        <w:t>以上</w:t>
      </w:r>
      <w:r>
        <w:rPr>
          <w:rFonts w:hint="eastAsia" w:ascii="Times New Roman" w:hAnsi="Times New Roman" w:eastAsia="仿宋_GB2312" w:cs="Times New Roman"/>
          <w:sz w:val="32"/>
          <w:szCs w:val="32"/>
          <w:lang w:val="en-US" w:eastAsia="zh-CN"/>
        </w:rPr>
        <w:t>；我部门当年无资产处置，故不存在</w:t>
      </w:r>
      <w:r>
        <w:rPr>
          <w:rFonts w:hint="eastAsia" w:ascii="Times New Roman" w:hAnsi="Times New Roman" w:eastAsia="仿宋_GB2312" w:cs="Times New Roman"/>
          <w:sz w:val="32"/>
          <w:szCs w:val="32"/>
          <w:lang w:val="zh-CN" w:eastAsia="zh-CN"/>
        </w:rPr>
        <w:t>资产盘活率。以后我部门利用四川省行政事业单位资产管理信息系统进行科学的动态管理，配合办公室管好用好国有实物资产，努力提高资产的使用效率，确保国有资产的安全和保值增值。</w:t>
      </w:r>
    </w:p>
    <w:p w14:paraId="6670304C">
      <w:pPr>
        <w:numPr>
          <w:ilvl w:val="0"/>
          <w:numId w:val="5"/>
        </w:numPr>
        <w:adjustRightInd w:val="0"/>
        <w:snapToGrid w:val="0"/>
        <w:spacing w:line="578" w:lineRule="exact"/>
        <w:ind w:firstLine="640" w:firstLineChars="200"/>
        <w:jc w:val="left"/>
        <w:rPr>
          <w:rFonts w:hint="eastAsia" w:ascii="Times New Roman" w:hAnsi="Times New Roman" w:eastAsia="仿宋_GB2312" w:cs="Times New Roman"/>
          <w:sz w:val="32"/>
          <w:szCs w:val="32"/>
          <w:lang w:val="zh-CN" w:eastAsia="zh-CN"/>
        </w:rPr>
      </w:pPr>
      <w:r>
        <w:rPr>
          <w:rFonts w:hint="eastAsia" w:ascii="楷体_GB2312" w:hAnsi="楷体_GB2312" w:eastAsia="楷体_GB2312" w:cs="楷体_GB2312"/>
          <w:color w:val="000000"/>
          <w:kern w:val="0"/>
          <w:sz w:val="32"/>
          <w:szCs w:val="32"/>
          <w:shd w:val="clear" w:color="auto" w:fill="FFFFFF"/>
          <w:lang w:val="zh-CN"/>
        </w:rPr>
        <w:t>采购管理。</w:t>
      </w:r>
      <w:r>
        <w:rPr>
          <w:rFonts w:hint="eastAsia" w:ascii="Times New Roman" w:hAnsi="Times New Roman" w:eastAsia="仿宋_GB2312" w:cs="Times New Roman"/>
          <w:sz w:val="32"/>
          <w:szCs w:val="32"/>
          <w:lang w:val="zh-CN" w:eastAsia="zh-CN"/>
        </w:rPr>
        <w:t>我部门政府采购预算编制应编尽编，严格执行《政府采购法》的采购方式和程序实施采购，对采购事项，尽可能支持中小企业。合同签订后要严格政府采购项目执行进度，按照合同约定及时支付资金，确保政府采购系统中的政府采购信息的真实性、准确性、合法性。</w:t>
      </w:r>
    </w:p>
    <w:p w14:paraId="53D450B9">
      <w:pPr>
        <w:ind w:firstLine="643" w:firstLineChars="200"/>
        <w:rPr>
          <w:rFonts w:eastAsia="仿宋_GB2312"/>
          <w:color w:val="FF0000"/>
          <w:sz w:val="32"/>
          <w:szCs w:val="32"/>
          <w:lang w:val="zh-CN"/>
        </w:rPr>
      </w:pPr>
      <w:r>
        <w:rPr>
          <w:rFonts w:hint="eastAsia" w:ascii="楷体_GB2312" w:eastAsia="楷体_GB2312"/>
          <w:b/>
          <w:sz w:val="32"/>
          <w:szCs w:val="32"/>
        </w:rPr>
        <w:t>（二）部门预算项目绩效分析。</w:t>
      </w:r>
    </w:p>
    <w:p w14:paraId="5866D45F">
      <w:pPr>
        <w:ind w:firstLine="640" w:firstLineChars="200"/>
        <w:rPr>
          <w:rFonts w:hint="eastAsia" w:eastAsia="仿宋_GB2312"/>
          <w:sz w:val="32"/>
          <w:szCs w:val="32"/>
          <w:lang w:val="zh-CN"/>
        </w:rPr>
      </w:pPr>
      <w:r>
        <w:rPr>
          <w:rFonts w:hint="eastAsia" w:eastAsia="仿宋_GB2312"/>
          <w:sz w:val="32"/>
          <w:szCs w:val="32"/>
          <w:lang w:val="zh-CN"/>
        </w:rPr>
        <w:t>常年项目绩效分析。该类项目总数</w:t>
      </w:r>
      <w:r>
        <w:rPr>
          <w:rFonts w:hint="eastAsia" w:eastAsia="仿宋_GB2312"/>
          <w:sz w:val="32"/>
          <w:szCs w:val="32"/>
          <w:lang w:val="en-US" w:eastAsia="zh-CN"/>
        </w:rPr>
        <w:t>8</w:t>
      </w:r>
      <w:r>
        <w:rPr>
          <w:rFonts w:hint="eastAsia" w:eastAsia="仿宋_GB2312"/>
          <w:sz w:val="32"/>
          <w:szCs w:val="32"/>
          <w:lang w:val="zh-CN"/>
        </w:rPr>
        <w:t>个，涉及预算总金额</w:t>
      </w:r>
      <w:r>
        <w:rPr>
          <w:rFonts w:hint="eastAsia" w:eastAsia="仿宋_GB2312"/>
          <w:sz w:val="32"/>
          <w:szCs w:val="32"/>
          <w:lang w:val="en-US" w:eastAsia="zh-CN"/>
        </w:rPr>
        <w:t>309.27</w:t>
      </w:r>
      <w:r>
        <w:rPr>
          <w:rFonts w:hint="eastAsia" w:eastAsia="仿宋_GB2312"/>
          <w:sz w:val="32"/>
          <w:szCs w:val="32"/>
          <w:lang w:val="zh-CN"/>
        </w:rPr>
        <w:t>万元，1—12月预算执行总体进度为</w:t>
      </w:r>
      <w:r>
        <w:rPr>
          <w:rFonts w:hint="eastAsia" w:eastAsia="仿宋_GB2312"/>
          <w:sz w:val="32"/>
          <w:szCs w:val="32"/>
          <w:lang w:val="en-US" w:eastAsia="zh-CN"/>
        </w:rPr>
        <w:t>100</w:t>
      </w:r>
      <w:r>
        <w:rPr>
          <w:rFonts w:hint="eastAsia" w:eastAsia="仿宋_GB2312"/>
          <w:sz w:val="32"/>
          <w:szCs w:val="32"/>
          <w:lang w:val="zh-CN"/>
        </w:rPr>
        <w:t>%，预算结余率大于10%的项目共计</w:t>
      </w:r>
      <w:r>
        <w:rPr>
          <w:rFonts w:hint="eastAsia" w:eastAsia="仿宋_GB2312"/>
          <w:sz w:val="32"/>
          <w:szCs w:val="32"/>
          <w:lang w:val="en-US" w:eastAsia="zh-CN"/>
        </w:rPr>
        <w:t>0</w:t>
      </w:r>
      <w:r>
        <w:rPr>
          <w:rFonts w:hint="eastAsia" w:eastAsia="仿宋_GB2312"/>
          <w:sz w:val="32"/>
          <w:szCs w:val="32"/>
          <w:lang w:val="zh-CN"/>
        </w:rPr>
        <w:t>个。其中：</w:t>
      </w:r>
    </w:p>
    <w:p w14:paraId="793D2F68">
      <w:pPr>
        <w:pStyle w:val="10"/>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⑴科普宣传</w:t>
      </w:r>
      <w:bookmarkStart w:id="90" w:name="OLE_LINK17"/>
      <w:r>
        <w:rPr>
          <w:rFonts w:hint="eastAsia" w:ascii="Times New Roman" w:hAnsi="Times New Roman" w:eastAsia="仿宋_GB2312" w:cs="Times New Roman"/>
          <w:kern w:val="2"/>
          <w:sz w:val="32"/>
          <w:szCs w:val="32"/>
          <w:lang w:val="en-US" w:eastAsia="zh-CN" w:bidi="ar-SA"/>
        </w:rPr>
        <w:t>活动业务经费</w:t>
      </w:r>
      <w:bookmarkEnd w:id="90"/>
      <w:r>
        <w:rPr>
          <w:rFonts w:hint="eastAsia" w:ascii="Times New Roman" w:hAnsi="Times New Roman" w:eastAsia="仿宋_GB2312" w:cs="Times New Roman"/>
          <w:kern w:val="2"/>
          <w:sz w:val="32"/>
          <w:szCs w:val="32"/>
          <w:lang w:val="en-US" w:eastAsia="zh-CN" w:bidi="ar-SA"/>
        </w:rPr>
        <w:t>：</w:t>
      </w:r>
      <w:bookmarkStart w:id="91" w:name="OLE_LINK11"/>
      <w:r>
        <w:rPr>
          <w:rFonts w:hint="eastAsia" w:ascii="Times New Roman" w:hAnsi="Times New Roman" w:eastAsia="仿宋_GB2312" w:cs="Times New Roman"/>
          <w:kern w:val="2"/>
          <w:sz w:val="32"/>
          <w:szCs w:val="32"/>
          <w:lang w:val="en-US" w:eastAsia="zh-CN" w:bidi="ar-SA"/>
        </w:rPr>
        <w:t>年初预算12万元，主要计划用于</w:t>
      </w:r>
      <w:bookmarkEnd w:id="91"/>
      <w:r>
        <w:rPr>
          <w:rFonts w:hint="eastAsia" w:ascii="Times New Roman" w:hAnsi="Times New Roman" w:eastAsia="仿宋_GB2312" w:cs="Times New Roman"/>
          <w:kern w:val="2"/>
          <w:sz w:val="32"/>
          <w:szCs w:val="32"/>
          <w:lang w:val="en-US" w:eastAsia="zh-CN" w:bidi="ar-SA"/>
        </w:rPr>
        <w:t>组织100名以上科技辅导员参加能力提升学习，开阔视野，提升科技辅导员队伍素质，推动凉山中小学校科技教育事业的健康发展。6月5日-7日，在凉山农业学校多功能厅举办了第38届凉山州青少年科技创新大赛暨科技骨干教师培训班，对全州17县（市）的220余名科技骨干教师及青少年科技创新大赛的组织工作者进行专题培训。培训会邀请到四川大学、成都、重庆和凉山州本土的5名专家和科技教育名师到会作专题讲座。通过专家们的专题讲座和经验分享，科技教师们对青少年科技创新教育有了全新的认识，开阔了广大科技辅导员科技视野，提高了科技教师的专业素质和辅导能力。项目开展共支出12万元，</w:t>
      </w:r>
      <w:bookmarkStart w:id="92" w:name="OLE_LINK12"/>
      <w:r>
        <w:rPr>
          <w:rFonts w:hint="eastAsia" w:ascii="Times New Roman" w:hAnsi="Times New Roman" w:eastAsia="仿宋_GB2312" w:cs="Times New Roman"/>
          <w:kern w:val="2"/>
          <w:sz w:val="32"/>
          <w:szCs w:val="32"/>
          <w:lang w:val="en-US" w:eastAsia="zh-CN" w:bidi="ar-SA"/>
        </w:rPr>
        <w:t>预算执行率100%，执行情况良好，自评得分99分。</w:t>
      </w:r>
    </w:p>
    <w:bookmarkEnd w:id="92"/>
    <w:p w14:paraId="11AFEC32">
      <w:pPr>
        <w:pStyle w:val="10"/>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⑵青少年科技活动经费：年初预算2.8万元，主要计划用于开展各类青少年科普活动，，提升青少年科学素养，推动凉山中小学校科技教育事业的健康发展的工作补助经费。年中主要用于开展了</w:t>
      </w:r>
      <w:r>
        <w:rPr>
          <w:rFonts w:hint="default" w:ascii="Times New Roman" w:hAnsi="Times New Roman" w:eastAsia="仿宋_GB2312" w:cs="Times New Roman"/>
          <w:kern w:val="2"/>
          <w:sz w:val="32"/>
          <w:szCs w:val="32"/>
          <w:lang w:val="en-US" w:eastAsia="zh-CN" w:bidi="ar-SA"/>
        </w:rPr>
        <w:t>2023</w:t>
      </w:r>
      <w:r>
        <w:rPr>
          <w:rFonts w:hint="eastAsia" w:ascii="Times New Roman" w:hAnsi="Times New Roman" w:eastAsia="仿宋_GB2312" w:cs="Times New Roman"/>
          <w:kern w:val="2"/>
          <w:sz w:val="32"/>
          <w:szCs w:val="32"/>
          <w:lang w:val="en-US" w:eastAsia="zh-CN" w:bidi="ar-SA"/>
        </w:rPr>
        <w:t>年凉山州青少年科学调查体验活动、第</w:t>
      </w:r>
      <w:r>
        <w:rPr>
          <w:rFonts w:hint="default" w:ascii="Times New Roman" w:hAnsi="Times New Roman" w:eastAsia="仿宋_GB2312" w:cs="Times New Roman"/>
          <w:kern w:val="2"/>
          <w:sz w:val="32"/>
          <w:szCs w:val="32"/>
          <w:lang w:val="en-US" w:eastAsia="zh-CN" w:bidi="ar-SA"/>
        </w:rPr>
        <w:t>15</w:t>
      </w:r>
      <w:r>
        <w:rPr>
          <w:rFonts w:hint="eastAsia" w:ascii="Times New Roman" w:hAnsi="Times New Roman" w:eastAsia="仿宋_GB2312" w:cs="Times New Roman"/>
          <w:kern w:val="2"/>
          <w:sz w:val="32"/>
          <w:szCs w:val="32"/>
          <w:lang w:val="en-US" w:eastAsia="zh-CN" w:bidi="ar-SA"/>
        </w:rPr>
        <w:t>届凉山州青少年科学影像节活动、科普大篷车进校园活动的补助经费，共计支出2.8万元。</w:t>
      </w:r>
      <w:bookmarkStart w:id="93" w:name="OLE_LINK28"/>
      <w:r>
        <w:rPr>
          <w:rFonts w:hint="eastAsia" w:ascii="Times New Roman" w:hAnsi="Times New Roman" w:eastAsia="仿宋_GB2312" w:cs="Times New Roman"/>
          <w:kern w:val="2"/>
          <w:sz w:val="32"/>
          <w:szCs w:val="32"/>
          <w:lang w:val="en-US" w:eastAsia="zh-CN" w:bidi="ar-SA"/>
        </w:rPr>
        <w:t>预算执行率100%，执行情况良好，自评得分100分。</w:t>
      </w:r>
    </w:p>
    <w:bookmarkEnd w:id="93"/>
    <w:p w14:paraId="06C233BD">
      <w:pPr>
        <w:pStyle w:val="10"/>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⑶学术交流活动业务经费：</w:t>
      </w:r>
      <w:bookmarkStart w:id="94" w:name="OLE_LINK50"/>
      <w:r>
        <w:rPr>
          <w:rFonts w:hint="eastAsia" w:ascii="Times New Roman" w:hAnsi="Times New Roman" w:eastAsia="仿宋_GB2312" w:cs="Times New Roman"/>
          <w:kern w:val="2"/>
          <w:sz w:val="32"/>
          <w:szCs w:val="32"/>
          <w:lang w:val="en-US" w:eastAsia="zh-CN" w:bidi="ar-SA"/>
        </w:rPr>
        <w:t>年初预算12万元，主要计划用于</w:t>
      </w:r>
      <w:bookmarkEnd w:id="94"/>
      <w:r>
        <w:rPr>
          <w:rFonts w:hint="eastAsia" w:ascii="Times New Roman" w:hAnsi="Times New Roman" w:eastAsia="仿宋_GB2312" w:cs="Times New Roman"/>
          <w:kern w:val="2"/>
          <w:sz w:val="32"/>
          <w:szCs w:val="32"/>
          <w:lang w:val="en-US" w:eastAsia="zh-CN" w:bidi="ar-SA"/>
        </w:rPr>
        <w:t>开展凉山州第十一届自然科学优秀学术论文评选活动，营造“尊重劳动、尊重知识、尊重人才”的良好社会氛围 。年中完成了凉山州第十一届自然科学优秀学术论文评选活动，经过自行申报、初审、小组评审、专家复审及审议等程序，从收到论文共182篇中评出一、二、三等奖58篇。项目的完成促进了科学技术的繁荣和发展，推动了全州的科技创新和科技进步。项目用于评优奖优、公示、印刷等支出12万元，预算执行率100%，执行情况良好，自评得分98分。</w:t>
      </w:r>
    </w:p>
    <w:p w14:paraId="4BA2CF42">
      <w:pPr>
        <w:pStyle w:val="10"/>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⑷凉山州级科普专项资金：</w:t>
      </w:r>
      <w:bookmarkStart w:id="95" w:name="OLE_LINK51"/>
      <w:r>
        <w:rPr>
          <w:rFonts w:hint="eastAsia" w:ascii="Times New Roman" w:hAnsi="Times New Roman" w:eastAsia="仿宋_GB2312" w:cs="Times New Roman"/>
          <w:kern w:val="2"/>
          <w:sz w:val="32"/>
          <w:szCs w:val="32"/>
          <w:lang w:val="en-US" w:eastAsia="zh-CN" w:bidi="ar-SA"/>
        </w:rPr>
        <w:t>年初预算148万元，主要用于</w:t>
      </w:r>
      <w:bookmarkEnd w:id="95"/>
      <w:r>
        <w:rPr>
          <w:rFonts w:hint="eastAsia" w:ascii="Times New Roman" w:hAnsi="Times New Roman" w:eastAsia="仿宋_GB2312" w:cs="Times New Roman"/>
          <w:kern w:val="2"/>
          <w:sz w:val="32"/>
          <w:szCs w:val="32"/>
          <w:lang w:val="en-US" w:eastAsia="zh-CN" w:bidi="ar-SA"/>
        </w:rPr>
        <w:t>计划</w:t>
      </w:r>
      <w:r>
        <w:rPr>
          <w:rFonts w:hint="eastAsia" w:ascii="Times New Roman" w:hAnsi="Times New Roman" w:eastAsia="仿宋_GB2312" w:cs="Times New Roman"/>
          <w:kern w:val="2"/>
          <w:sz w:val="32"/>
          <w:szCs w:val="32"/>
          <w:lang w:val="zh-CN" w:eastAsia="zh-CN" w:bidi="ar-SA"/>
        </w:rPr>
        <w:t>依据州委州政府和省科协下达的年度重点工作任务，围绕省科协“天府科技云”重点项目，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社区等开展科普活动，开展农技协科普、巩固脱贫成果有效衔接乡村振兴各项工作，更好为凉山经济社会发展服务。年度内完成了设定的表彰奖励优秀科技工作者，维护视讯中心、互联网+科普平台建设网络运行，实施学会能力提升计划；开发科普资源；组织开展青少年科技创新教育活动；院士专家工作站及企事业科协建设；参加中国科协省科协及相关部门业务党务培训；开展科普进乡村大篷车进校园等科普活动、完成了乡村振兴等任务。项目的实施助推了凉山经济社会发展。项目支付委托业务费、会议费、办公费、邮电费、印刷费、劳务费、租车费、差旅费等共计</w:t>
      </w:r>
      <w:r>
        <w:rPr>
          <w:rFonts w:hint="eastAsia" w:ascii="Times New Roman" w:hAnsi="Times New Roman" w:eastAsia="仿宋_GB2312" w:cs="Times New Roman"/>
          <w:kern w:val="2"/>
          <w:sz w:val="32"/>
          <w:szCs w:val="32"/>
          <w:lang w:val="en-US" w:eastAsia="zh-CN" w:bidi="ar-SA"/>
        </w:rPr>
        <w:t>148万元。</w:t>
      </w:r>
      <w:bookmarkStart w:id="96" w:name="OLE_LINK52"/>
      <w:r>
        <w:rPr>
          <w:rFonts w:hint="eastAsia" w:ascii="Times New Roman" w:hAnsi="Times New Roman" w:eastAsia="仿宋_GB2312" w:cs="Times New Roman"/>
          <w:kern w:val="2"/>
          <w:sz w:val="32"/>
          <w:szCs w:val="32"/>
          <w:lang w:val="zh-CN" w:eastAsia="zh-CN" w:bidi="ar-SA"/>
        </w:rPr>
        <w:t>预算执行率100%，执行情况良好，自评得分98分。</w:t>
      </w:r>
    </w:p>
    <w:bookmarkEnd w:id="96"/>
    <w:p w14:paraId="00B994F3">
      <w:pPr>
        <w:pStyle w:val="10"/>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⑸省级科普专项资金：</w:t>
      </w:r>
      <w:bookmarkStart w:id="97" w:name="OLE_LINK53"/>
      <w:r>
        <w:rPr>
          <w:rFonts w:hint="eastAsia" w:ascii="Times New Roman" w:hAnsi="Times New Roman" w:eastAsia="仿宋_GB2312" w:cs="Times New Roman"/>
          <w:kern w:val="2"/>
          <w:sz w:val="32"/>
          <w:szCs w:val="32"/>
          <w:lang w:val="en-US" w:eastAsia="zh-CN" w:bidi="ar-SA"/>
        </w:rPr>
        <w:t>年初结转上年省级专项资金82.9万元，主要</w:t>
      </w:r>
      <w:r>
        <w:rPr>
          <w:rFonts w:hint="eastAsia" w:ascii="Times New Roman" w:hAnsi="Times New Roman" w:eastAsia="仿宋_GB2312" w:cs="Times New Roman"/>
          <w:kern w:val="2"/>
          <w:sz w:val="32"/>
          <w:szCs w:val="32"/>
          <w:lang w:val="zh-CN" w:eastAsia="zh-CN" w:bidi="ar-SA"/>
        </w:rPr>
        <w:t>计划</w:t>
      </w:r>
      <w:r>
        <w:rPr>
          <w:rFonts w:hint="eastAsia" w:ascii="Times New Roman" w:hAnsi="Times New Roman" w:eastAsia="仿宋_GB2312" w:cs="Times New Roman"/>
          <w:kern w:val="2"/>
          <w:sz w:val="32"/>
          <w:szCs w:val="32"/>
          <w:lang w:val="en-US" w:eastAsia="zh-CN" w:bidi="ar-SA"/>
        </w:rPr>
        <w:t>用于</w:t>
      </w:r>
      <w:bookmarkEnd w:id="97"/>
      <w:r>
        <w:rPr>
          <w:rFonts w:hint="eastAsia" w:ascii="Times New Roman" w:hAnsi="Times New Roman" w:eastAsia="仿宋_GB2312" w:cs="Times New Roman"/>
          <w:kern w:val="2"/>
          <w:sz w:val="32"/>
          <w:szCs w:val="32"/>
          <w:lang w:val="zh-CN" w:eastAsia="zh-CN" w:bidi="ar-SA"/>
        </w:rPr>
        <w:t>开展天府科技云首届乡土人才大赛；继续办好《科学发展期刊》建设；维护天府科技云运维平台；向院士专家工作站、社区、农技协补助各项目经费。年度内按照计划完成了天府科技云首届乡土人才大赛委托第三方会场布赛、宣传片剪辑、主持播音劳务、获奖人员费用、以及培训、会议、印刷等计38.9万元；完成了</w:t>
      </w:r>
      <w:r>
        <w:rPr>
          <w:rFonts w:hint="eastAsia" w:ascii="Times New Roman" w:hAnsi="Times New Roman" w:eastAsia="仿宋_GB2312" w:cs="Times New Roman"/>
          <w:kern w:val="2"/>
          <w:sz w:val="32"/>
          <w:szCs w:val="32"/>
          <w:lang w:val="en-US" w:eastAsia="zh-CN" w:bidi="ar-SA"/>
        </w:rPr>
        <w:t>4期</w:t>
      </w:r>
      <w:r>
        <w:rPr>
          <w:rFonts w:hint="eastAsia" w:ascii="Times New Roman" w:hAnsi="Times New Roman" w:eastAsia="仿宋_GB2312" w:cs="Times New Roman"/>
          <w:kern w:val="2"/>
          <w:sz w:val="32"/>
          <w:szCs w:val="32"/>
          <w:lang w:val="zh-CN" w:eastAsia="zh-CN" w:bidi="ar-SA"/>
        </w:rPr>
        <w:t>《科学发展期刊》编辑印制出版等建设费计25万元；委托第三方专业团队维护天府科技云运维平台10万元；向院士专家工作站、社区、农技协补助各项目经费计9万元。共计支出</w:t>
      </w:r>
      <w:r>
        <w:rPr>
          <w:rFonts w:hint="eastAsia" w:ascii="Times New Roman" w:hAnsi="Times New Roman" w:eastAsia="仿宋_GB2312" w:cs="Times New Roman"/>
          <w:kern w:val="2"/>
          <w:sz w:val="32"/>
          <w:szCs w:val="32"/>
          <w:lang w:val="en-US" w:eastAsia="zh-CN" w:bidi="ar-SA"/>
        </w:rPr>
        <w:t>82.9万元。</w:t>
      </w:r>
      <w:bookmarkStart w:id="98" w:name="OLE_LINK54"/>
      <w:r>
        <w:rPr>
          <w:rFonts w:hint="eastAsia" w:ascii="Times New Roman" w:hAnsi="Times New Roman" w:eastAsia="仿宋_GB2312" w:cs="Times New Roman"/>
          <w:kern w:val="2"/>
          <w:sz w:val="32"/>
          <w:szCs w:val="32"/>
          <w:lang w:val="zh-CN" w:eastAsia="zh-CN" w:bidi="ar-SA"/>
        </w:rPr>
        <w:t>预算执行率100%，执行情况良好，自评得分9</w:t>
      </w:r>
      <w:r>
        <w:rPr>
          <w:rFonts w:hint="eastAsia" w:ascii="Times New Roman" w:hAnsi="Times New Roman"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zh-CN" w:eastAsia="zh-CN" w:bidi="ar-SA"/>
        </w:rPr>
        <w:t>分。</w:t>
      </w:r>
      <w:bookmarkEnd w:id="98"/>
    </w:p>
    <w:p w14:paraId="68838688">
      <w:pPr>
        <w:keepNext w:val="0"/>
        <w:keepLines w:val="0"/>
        <w:widowControl/>
        <w:suppressLineNumbers w:val="0"/>
        <w:spacing w:before="0" w:beforeAutospacing="0" w:after="0" w:afterAutospacing="0" w:line="240" w:lineRule="auto"/>
        <w:ind w:right="0" w:firstLine="640" w:firstLineChars="200"/>
        <w:jc w:val="left"/>
        <w:rPr>
          <w:rFonts w:hint="default" w:ascii="Times New Roman" w:hAnsi="Times New Roman" w:eastAsia="仿宋_GB2312" w:cs="Times New Roman"/>
          <w:kern w:val="2"/>
          <w:sz w:val="32"/>
          <w:szCs w:val="32"/>
          <w:lang w:val="en-US" w:eastAsia="zh-CN" w:bidi="ar-SA"/>
        </w:rPr>
      </w:pPr>
      <w:bookmarkStart w:id="99" w:name="OLE_LINK29"/>
      <w:r>
        <w:rPr>
          <w:rFonts w:hint="eastAsia" w:ascii="Times New Roman" w:hAnsi="Times New Roman" w:eastAsia="仿宋_GB2312" w:cs="Times New Roman"/>
          <w:kern w:val="2"/>
          <w:sz w:val="32"/>
          <w:szCs w:val="32"/>
          <w:lang w:val="en-US" w:eastAsia="zh-CN" w:bidi="ar-SA"/>
        </w:rPr>
        <w:t>⑹天府科技云服务项目：</w:t>
      </w:r>
      <w:bookmarkEnd w:id="99"/>
      <w:bookmarkStart w:id="100" w:name="OLE_LINK55"/>
      <w:r>
        <w:rPr>
          <w:rFonts w:hint="eastAsia" w:ascii="Times New Roman" w:hAnsi="Times New Roman" w:eastAsia="仿宋_GB2312" w:cs="Times New Roman"/>
          <w:kern w:val="2"/>
          <w:sz w:val="32"/>
          <w:szCs w:val="32"/>
          <w:lang w:val="en-US" w:eastAsia="zh-CN" w:bidi="ar-SA"/>
        </w:rPr>
        <w:t>年初预算25万元，主要</w:t>
      </w:r>
      <w:r>
        <w:rPr>
          <w:rFonts w:hint="eastAsia" w:ascii="Times New Roman" w:hAnsi="Times New Roman" w:eastAsia="仿宋_GB2312" w:cs="Times New Roman"/>
          <w:kern w:val="2"/>
          <w:sz w:val="32"/>
          <w:szCs w:val="32"/>
          <w:lang w:val="zh-CN" w:eastAsia="zh-CN" w:bidi="ar-SA"/>
        </w:rPr>
        <w:t>计划</w:t>
      </w:r>
      <w:r>
        <w:rPr>
          <w:rFonts w:hint="eastAsia" w:ascii="Times New Roman" w:hAnsi="Times New Roman" w:eastAsia="仿宋_GB2312" w:cs="Times New Roman"/>
          <w:kern w:val="2"/>
          <w:sz w:val="32"/>
          <w:szCs w:val="32"/>
          <w:lang w:val="en-US" w:eastAsia="zh-CN" w:bidi="ar-SA"/>
        </w:rPr>
        <w:t>用于</w:t>
      </w:r>
      <w:bookmarkEnd w:id="100"/>
      <w:r>
        <w:rPr>
          <w:rFonts w:hint="eastAsia" w:ascii="Times New Roman" w:hAnsi="Times New Roman" w:eastAsia="仿宋_GB2312" w:cs="Times New Roman"/>
          <w:kern w:val="2"/>
          <w:sz w:val="32"/>
          <w:szCs w:val="32"/>
          <w:lang w:val="en-US" w:eastAsia="zh-CN" w:bidi="ar-SA"/>
        </w:rPr>
        <w:t>保障州云服务中心基础设施设备，保证工作人员入驻平台开展工作，开展体制内保姆及专职保姆业务能力培训。年度内委托第三方专业团队，用于天府云专职保姆劳务费、培训费、县市指导调研费等支出25万元。</w:t>
      </w:r>
      <w:bookmarkStart w:id="101" w:name="OLE_LINK56"/>
      <w:r>
        <w:rPr>
          <w:rFonts w:hint="eastAsia" w:ascii="Times New Roman" w:hAnsi="Times New Roman" w:eastAsia="仿宋_GB2312" w:cs="Times New Roman"/>
          <w:kern w:val="2"/>
          <w:sz w:val="32"/>
          <w:szCs w:val="32"/>
          <w:lang w:val="zh-CN" w:eastAsia="zh-CN" w:bidi="ar-SA"/>
        </w:rPr>
        <w:t>预算执行率100%，执行情况良好，自评得分9</w:t>
      </w:r>
      <w:r>
        <w:rPr>
          <w:rFonts w:hint="eastAsia"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zh-CN" w:eastAsia="zh-CN" w:bidi="ar-SA"/>
        </w:rPr>
        <w:t>分。</w:t>
      </w:r>
    </w:p>
    <w:bookmarkEnd w:id="101"/>
    <w:p w14:paraId="71878AC5">
      <w:pPr>
        <w:keepNext w:val="0"/>
        <w:keepLines w:val="0"/>
        <w:widowControl/>
        <w:suppressLineNumbers w:val="0"/>
        <w:spacing w:before="0" w:beforeAutospacing="0" w:after="0" w:afterAutospacing="0" w:line="240" w:lineRule="auto"/>
        <w:ind w:left="0" w:right="0" w:firstLine="640" w:firstLineChars="200"/>
        <w:jc w:val="left"/>
        <w:rPr>
          <w:rFonts w:hint="default" w:ascii="Times New Roman" w:hAnsi="Times New Roman" w:eastAsia="仿宋_GB2312" w:cs="Times New Roman"/>
          <w:kern w:val="2"/>
          <w:sz w:val="32"/>
          <w:szCs w:val="32"/>
          <w:lang w:val="en-US" w:eastAsia="zh-CN" w:bidi="ar-SA"/>
        </w:rPr>
      </w:pPr>
      <w:bookmarkStart w:id="102" w:name="OLE_LINK49"/>
      <w:r>
        <w:rPr>
          <w:rFonts w:hint="eastAsia" w:ascii="Times New Roman" w:hAnsi="Times New Roman" w:eastAsia="仿宋_GB2312" w:cs="Times New Roman"/>
          <w:kern w:val="2"/>
          <w:sz w:val="32"/>
          <w:szCs w:val="32"/>
          <w:lang w:val="en-US" w:eastAsia="zh-CN" w:bidi="ar-SA"/>
        </w:rPr>
        <w:t>⑺凉山州全民科学素质提升专项：</w:t>
      </w:r>
      <w:bookmarkEnd w:id="102"/>
      <w:r>
        <w:rPr>
          <w:rFonts w:hint="eastAsia" w:ascii="Times New Roman" w:hAnsi="Times New Roman" w:eastAsia="仿宋_GB2312" w:cs="Times New Roman"/>
          <w:kern w:val="2"/>
          <w:sz w:val="32"/>
          <w:szCs w:val="32"/>
          <w:lang w:val="en-US" w:eastAsia="zh-CN" w:bidi="ar-SA"/>
        </w:rPr>
        <w:t>年初预算14.57万元，主要</w:t>
      </w:r>
      <w:r>
        <w:rPr>
          <w:rFonts w:hint="eastAsia" w:ascii="Times New Roman" w:hAnsi="Times New Roman" w:eastAsia="仿宋_GB2312" w:cs="Times New Roman"/>
          <w:kern w:val="2"/>
          <w:sz w:val="32"/>
          <w:szCs w:val="32"/>
          <w:lang w:val="zh-CN" w:eastAsia="zh-CN" w:bidi="ar-SA"/>
        </w:rPr>
        <w:t>计划</w:t>
      </w:r>
      <w:r>
        <w:rPr>
          <w:rFonts w:hint="eastAsia" w:ascii="Times New Roman" w:hAnsi="Times New Roman" w:eastAsia="仿宋_GB2312" w:cs="Times New Roman"/>
          <w:kern w:val="2"/>
          <w:sz w:val="32"/>
          <w:szCs w:val="32"/>
          <w:lang w:val="en-US" w:eastAsia="zh-CN" w:bidi="ar-SA"/>
        </w:rPr>
        <w:t>用于年度开展科学普及、素质调查等相关工作；开展科普“五进”活动：进机关、进乡村、进学校、进企事业、进社区；召开相关会议：布置开展科普、全民科学素质提升相关工作、总结调研事宜。年度开展了全国科普日和大篷车进藏区、进校园、科学素质能力提升培训、科技小院调研、学术交流等活动，印制了科普宣传品、购买了科普资源包等共计支出14.57万元。</w:t>
      </w:r>
      <w:bookmarkStart w:id="103" w:name="OLE_LINK57"/>
      <w:r>
        <w:rPr>
          <w:rFonts w:hint="eastAsia" w:ascii="Times New Roman" w:hAnsi="Times New Roman" w:eastAsia="仿宋_GB2312" w:cs="Times New Roman"/>
          <w:kern w:val="2"/>
          <w:sz w:val="32"/>
          <w:szCs w:val="32"/>
          <w:lang w:val="zh-CN" w:eastAsia="zh-CN" w:bidi="ar-SA"/>
        </w:rPr>
        <w:t>预算执行率100%，执行情况良好，自评得分9</w:t>
      </w:r>
      <w:r>
        <w:rPr>
          <w:rFonts w:hint="eastAsia"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zh-CN" w:eastAsia="zh-CN" w:bidi="ar-SA"/>
        </w:rPr>
        <w:t>分。</w:t>
      </w:r>
    </w:p>
    <w:bookmarkEnd w:id="103"/>
    <w:p w14:paraId="3A8FF02B">
      <w:pPr>
        <w:keepNext w:val="0"/>
        <w:keepLines w:val="0"/>
        <w:widowControl/>
        <w:suppressLineNumbers w:val="0"/>
        <w:spacing w:before="0" w:beforeAutospacing="0" w:after="0" w:afterAutospacing="0" w:line="240" w:lineRule="auto"/>
        <w:ind w:right="0" w:firstLine="640" w:firstLineChars="200"/>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⑻老科技工作者科普活动保障经费：年初预算12万元，用于支持老科技工作者年度开展各项科普工作经费。2023年老科协完成了农村科普和城市科普活动，青少年科技教育活动，对离退休老专家开展敬老月各项活动，进行党总支和党支部建设的各项活动，结合乡村振兴工作开展世界首创彩色花油菜示范种植20-30 亩；联手省老科协实施ESS（美国科技教育协会）资助贫困高中生35人，发放助学金7万元；开展了养殖培训；完成了越西、会东建立老科协组织事宜，参与完成省老科协布置的调研座谈并看望老科技工作者；参与邛海湿地“科普教育基地”揭牌仪式；调研越西县现代农业园“冷链储藏”、“苹果加工”、“油菜籽加工”、“无土栽培技术”、“花卉智慧大棚”等亮点项目，参加第三届“金沙江论坛”会议，森林防灭火等等工作。项目共计支出12万元。</w:t>
      </w:r>
      <w:bookmarkStart w:id="104" w:name="OLE_LINK58"/>
      <w:r>
        <w:rPr>
          <w:rFonts w:hint="eastAsia" w:ascii="Times New Roman" w:hAnsi="Times New Roman" w:eastAsia="仿宋_GB2312" w:cs="Times New Roman"/>
          <w:kern w:val="2"/>
          <w:sz w:val="32"/>
          <w:szCs w:val="32"/>
          <w:lang w:val="zh-CN" w:eastAsia="zh-CN" w:bidi="ar-SA"/>
        </w:rPr>
        <w:t>预算执行率100%，执行情况良好，自评得分9</w:t>
      </w:r>
      <w:r>
        <w:rPr>
          <w:rFonts w:hint="eastAsia"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zh-CN" w:eastAsia="zh-CN" w:bidi="ar-SA"/>
        </w:rPr>
        <w:t>分。</w:t>
      </w:r>
    </w:p>
    <w:bookmarkEnd w:id="104"/>
    <w:p w14:paraId="700AC963">
      <w:pPr>
        <w:ind w:firstLine="640" w:firstLineChars="200"/>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阶段（一次性）项目绩效分析。该类项目总数</w:t>
      </w: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zh-CN" w:eastAsia="zh-CN" w:bidi="ar-SA"/>
        </w:rPr>
        <w:t>个，涉及预算总金额</w:t>
      </w:r>
      <w:r>
        <w:rPr>
          <w:rFonts w:hint="eastAsia" w:ascii="Times New Roman" w:hAnsi="Times New Roman" w:eastAsia="仿宋_GB2312" w:cs="Times New Roman"/>
          <w:kern w:val="2"/>
          <w:sz w:val="32"/>
          <w:szCs w:val="32"/>
          <w:lang w:val="en-US" w:eastAsia="zh-CN" w:bidi="ar-SA"/>
        </w:rPr>
        <w:t>95.79</w:t>
      </w:r>
      <w:r>
        <w:rPr>
          <w:rFonts w:hint="eastAsia" w:ascii="Times New Roman" w:hAnsi="Times New Roman" w:eastAsia="仿宋_GB2312" w:cs="Times New Roman"/>
          <w:kern w:val="2"/>
          <w:sz w:val="32"/>
          <w:szCs w:val="32"/>
          <w:lang w:val="zh-CN" w:eastAsia="zh-CN" w:bidi="ar-SA"/>
        </w:rPr>
        <w:t>万元，1—12月预算执行总体进度为</w:t>
      </w:r>
      <w:r>
        <w:rPr>
          <w:rFonts w:hint="eastAsia" w:ascii="Times New Roman" w:hAnsi="Times New Roman" w:eastAsia="仿宋_GB2312" w:cs="Times New Roman"/>
          <w:kern w:val="2"/>
          <w:sz w:val="32"/>
          <w:szCs w:val="32"/>
          <w:lang w:val="en-US" w:eastAsia="zh-CN" w:bidi="ar-SA"/>
        </w:rPr>
        <w:t>100</w:t>
      </w:r>
      <w:r>
        <w:rPr>
          <w:rFonts w:hint="eastAsia" w:ascii="Times New Roman" w:hAnsi="Times New Roman" w:eastAsia="仿宋_GB2312" w:cs="Times New Roman"/>
          <w:kern w:val="2"/>
          <w:sz w:val="32"/>
          <w:szCs w:val="32"/>
          <w:lang w:val="zh-CN" w:eastAsia="zh-CN" w:bidi="ar-SA"/>
        </w:rPr>
        <w:t>%，预算结余率大于10%的项目共计</w:t>
      </w:r>
      <w:r>
        <w:rPr>
          <w:rFonts w:hint="eastAsia" w:ascii="Times New Roman" w:hAnsi="Times New Roman" w:eastAsia="仿宋_GB2312" w:cs="Times New Roman"/>
          <w:kern w:val="2"/>
          <w:sz w:val="32"/>
          <w:szCs w:val="32"/>
          <w:lang w:val="en-US" w:eastAsia="zh-CN" w:bidi="ar-SA"/>
        </w:rPr>
        <w:t>0</w:t>
      </w:r>
      <w:r>
        <w:rPr>
          <w:rFonts w:hint="eastAsia" w:ascii="Times New Roman" w:hAnsi="Times New Roman" w:eastAsia="仿宋_GB2312" w:cs="Times New Roman"/>
          <w:kern w:val="2"/>
          <w:sz w:val="32"/>
          <w:szCs w:val="32"/>
          <w:lang w:val="zh-CN" w:eastAsia="zh-CN" w:bidi="ar-SA"/>
        </w:rPr>
        <w:t>个。其中：</w:t>
      </w:r>
    </w:p>
    <w:p w14:paraId="1FB0B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⑴凉山州科学技术协会</w:t>
      </w:r>
      <w:bookmarkStart w:id="105" w:name="OLE_LINK44"/>
      <w:r>
        <w:rPr>
          <w:rFonts w:hint="eastAsia" w:ascii="Times New Roman" w:hAnsi="Times New Roman" w:eastAsia="仿宋_GB2312" w:cs="Times New Roman"/>
          <w:kern w:val="2"/>
          <w:sz w:val="32"/>
          <w:szCs w:val="32"/>
          <w:lang w:val="en-US" w:eastAsia="zh-CN" w:bidi="ar-SA"/>
        </w:rPr>
        <w:t>换届选举</w:t>
      </w:r>
      <w:bookmarkEnd w:id="105"/>
      <w:r>
        <w:rPr>
          <w:rFonts w:hint="eastAsia" w:ascii="Times New Roman" w:hAnsi="Times New Roman" w:eastAsia="仿宋_GB2312" w:cs="Times New Roman"/>
          <w:kern w:val="2"/>
          <w:sz w:val="32"/>
          <w:szCs w:val="32"/>
          <w:lang w:val="en-US" w:eastAsia="zh-CN" w:bidi="ar-SA"/>
        </w:rPr>
        <w:t>项目：2022年预算财政资金44.84万元，准备召开州科协换届选举</w:t>
      </w:r>
      <w:r>
        <w:rPr>
          <w:rFonts w:hint="eastAsia" w:eastAsia="仿宋_GB2312" w:cs="Times New Roman"/>
          <w:kern w:val="2"/>
          <w:sz w:val="32"/>
          <w:szCs w:val="32"/>
          <w:lang w:val="en-US" w:eastAsia="zh-CN" w:bidi="ar-SA"/>
        </w:rPr>
        <w:t>（即</w:t>
      </w:r>
      <w:r>
        <w:rPr>
          <w:rFonts w:hint="eastAsia" w:ascii="Times New Roman" w:hAnsi="Times New Roman" w:eastAsia="仿宋_GB2312" w:cs="Times New Roman"/>
          <w:kern w:val="2"/>
          <w:sz w:val="32"/>
          <w:szCs w:val="32"/>
          <w:lang w:val="en-US" w:eastAsia="zh-CN" w:bidi="ar-SA"/>
        </w:rPr>
        <w:t>第五次代表</w:t>
      </w:r>
      <w:r>
        <w:rPr>
          <w:rFonts w:hint="eastAsia" w:eastAsia="仿宋_GB2312" w:cs="Times New Roman"/>
          <w:kern w:val="2"/>
          <w:sz w:val="32"/>
          <w:szCs w:val="32"/>
          <w:lang w:val="en-US" w:eastAsia="zh-CN" w:bidi="ar-SA"/>
        </w:rPr>
        <w:t>大会。下同）</w:t>
      </w:r>
      <w:r>
        <w:rPr>
          <w:rFonts w:hint="eastAsia" w:ascii="Times New Roman" w:hAnsi="Times New Roman" w:eastAsia="仿宋_GB2312" w:cs="Times New Roman"/>
          <w:kern w:val="2"/>
          <w:sz w:val="32"/>
          <w:szCs w:val="32"/>
          <w:lang w:val="en-US" w:eastAsia="zh-CN" w:bidi="ar-SA"/>
        </w:rPr>
        <w:t>大会，由于疫情形势严峻，</w:t>
      </w:r>
      <w:bookmarkStart w:id="106" w:name="OLE_LINK60"/>
      <w:r>
        <w:rPr>
          <w:rFonts w:hint="eastAsia" w:ascii="Times New Roman" w:hAnsi="Times New Roman" w:eastAsia="仿宋_GB2312" w:cs="Times New Roman"/>
          <w:kern w:val="2"/>
          <w:sz w:val="32"/>
          <w:szCs w:val="32"/>
          <w:lang w:val="en-US" w:eastAsia="zh-CN" w:bidi="ar-SA"/>
        </w:rPr>
        <w:t>第五次代表</w:t>
      </w:r>
      <w:bookmarkEnd w:id="106"/>
      <w:r>
        <w:rPr>
          <w:rFonts w:hint="eastAsia" w:ascii="Times New Roman" w:hAnsi="Times New Roman" w:eastAsia="仿宋_GB2312" w:cs="Times New Roman"/>
          <w:kern w:val="2"/>
          <w:sz w:val="32"/>
          <w:szCs w:val="32"/>
          <w:lang w:val="en-US" w:eastAsia="zh-CN" w:bidi="ar-SA"/>
        </w:rPr>
        <w:t>大会被迫延迟召开。2023年3月，第五次代表大会安排部署工作正式启动，并成立会议筹备小组，历时8个多月，经多部门沟通、协调、请示、审批等程序，最终完成会议筹备工作。会议于2024年11月15日至11月17日如期召开。本次代表大会参会代表及工作人员近230人次，选举产生了第五届委员会委员53名、常委委员25名、主席1名、副主席（含兼职）9名、秘书长1名。顺利的完成了此次换届选举各项工作</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本次换届</w:t>
      </w:r>
      <w:r>
        <w:rPr>
          <w:rFonts w:hint="eastAsia" w:eastAsia="仿宋_GB2312" w:cs="Times New Roman"/>
          <w:kern w:val="2"/>
          <w:sz w:val="32"/>
          <w:szCs w:val="32"/>
          <w:lang w:val="en-US" w:eastAsia="zh-CN" w:bidi="ar-SA"/>
        </w:rPr>
        <w:t>选举</w:t>
      </w:r>
      <w:r>
        <w:rPr>
          <w:rFonts w:hint="eastAsia" w:ascii="Times New Roman" w:hAnsi="Times New Roman" w:eastAsia="仿宋_GB2312" w:cs="Times New Roman"/>
          <w:kern w:val="2"/>
          <w:sz w:val="32"/>
          <w:szCs w:val="32"/>
          <w:lang w:val="en-US" w:eastAsia="zh-CN" w:bidi="ar-SA"/>
        </w:rPr>
        <w:t>项目使用资金44.29万元，节约会议费开支0.55万元，如数上交财政。选举产生的新一届科协领导班子具备较强的领导能力和专业水平，确保州科协工作的连续性，为科协未来的发展奠定了坚实的基础。预算执行率100%，执行情况良好，自评得分9</w:t>
      </w:r>
      <w:r>
        <w:rPr>
          <w:rFonts w:hint="eastAsia"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eastAsia="zh-CN" w:bidi="ar-SA"/>
        </w:rPr>
        <w:t>分。</w:t>
      </w:r>
    </w:p>
    <w:p w14:paraId="20B59606">
      <w:pPr>
        <w:keepNext w:val="0"/>
        <w:keepLines w:val="0"/>
        <w:widowControl/>
        <w:numPr>
          <w:ilvl w:val="0"/>
          <w:numId w:val="0"/>
        </w:numPr>
        <w:suppressLineNumbers w:val="0"/>
        <w:spacing w:before="0" w:beforeAutospacing="0" w:after="0" w:afterAutospacing="0" w:line="240" w:lineRule="auto"/>
        <w:ind w:right="0" w:rightChars="0" w:firstLine="640" w:firstLineChars="200"/>
        <w:jc w:val="left"/>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⑵关爱儿童示范岗补助经费：该项目系2022年12月因拨入太晚结转到2023年度的专项资金1.5万元。项目主要用于2023年“六一”儿童节前后分别三次到昭觉县地膜镇巴尔村中心校购买学习用具、体育用品、饮水机等对学生进行慰问。送去党的关怀和关爱、促进儿童健康成长、全面发展。</w:t>
      </w:r>
      <w:bookmarkStart w:id="107" w:name="OLE_LINK59"/>
      <w:r>
        <w:rPr>
          <w:rFonts w:hint="eastAsia" w:ascii="Times New Roman" w:hAnsi="Times New Roman" w:eastAsia="仿宋_GB2312" w:cs="Times New Roman"/>
          <w:kern w:val="2"/>
          <w:sz w:val="32"/>
          <w:szCs w:val="32"/>
          <w:lang w:val="zh-CN" w:eastAsia="zh-CN" w:bidi="ar-SA"/>
        </w:rPr>
        <w:t>预算执行率100%，执行情况良好，自评得分9</w:t>
      </w:r>
      <w:r>
        <w:rPr>
          <w:rFonts w:hint="eastAsia"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zh-CN" w:eastAsia="zh-CN" w:bidi="ar-SA"/>
        </w:rPr>
        <w:t>分。</w:t>
      </w:r>
    </w:p>
    <w:bookmarkEnd w:id="107"/>
    <w:p w14:paraId="7EDE4B56">
      <w:pPr>
        <w:keepNext w:val="0"/>
        <w:keepLines w:val="0"/>
        <w:widowControl/>
        <w:numPr>
          <w:ilvl w:val="0"/>
          <w:numId w:val="0"/>
        </w:numPr>
        <w:suppressLineNumbers w:val="0"/>
        <w:spacing w:before="0" w:beforeAutospacing="0" w:after="0" w:afterAutospacing="0" w:line="240" w:lineRule="auto"/>
        <w:ind w:right="0" w:rightChars="0" w:firstLine="640" w:firstLineChars="200"/>
        <w:jc w:val="left"/>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⑶人才发展专项：年初预算50万元，计划用于支持5名研究方向瞄准科技前沿、在科学技术或工程技术领域作出系统的或重大的、创造性的成绩或贡献的高层次人才。2023年州科协根据州委组织部文件下发《开展“菁英计划”申报工作的通知》，各推荐人选采取适当方式公示后，按要求报送到州科协。学会部对申报人选进行资格审查，组织专家评审委员会开展初评，按计划评选数20%以上的差额提出6名建议名单报州委组织部（州委人才办），州委组织部终评后，5名科技工作者入选。入选名单经公示无异议后，支持经费每名10万元，共计50万元。并会同有关部门颁发《凉山州“菁英计划”入选证书》，州层面遴选凉山杰出科技工作者，支持培养一批各类高层次人才，加快培育一支“凉山牌”高层次人才队伍。</w:t>
      </w:r>
      <w:r>
        <w:rPr>
          <w:rFonts w:hint="eastAsia" w:ascii="Times New Roman" w:hAnsi="Times New Roman" w:eastAsia="仿宋_GB2312" w:cs="Times New Roman"/>
          <w:kern w:val="2"/>
          <w:sz w:val="32"/>
          <w:szCs w:val="32"/>
          <w:lang w:val="zh-CN" w:eastAsia="zh-CN" w:bidi="ar-SA"/>
        </w:rPr>
        <w:t>预算执行率100%，执行情况良好，自评得分9</w:t>
      </w:r>
      <w:r>
        <w:rPr>
          <w:rFonts w:hint="eastAsia"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zh-CN" w:eastAsia="zh-CN" w:bidi="ar-SA"/>
        </w:rPr>
        <w:t>分。</w:t>
      </w:r>
    </w:p>
    <w:p w14:paraId="4397D9C9">
      <w:pPr>
        <w:numPr>
          <w:ilvl w:val="0"/>
          <w:numId w:val="0"/>
        </w:numPr>
        <w:ind w:firstLine="640" w:firstLineChars="200"/>
        <w:rPr>
          <w:rFonts w:hint="eastAsia" w:ascii="仿宋_GB2312" w:hAnsi="仿宋_GB2312" w:eastAsia="仿宋_GB2312" w:cs="仿宋_GB2312"/>
          <w:color w:val="auto"/>
          <w:spacing w:val="6"/>
          <w:sz w:val="32"/>
          <w:szCs w:val="32"/>
          <w:shd w:val="clear" w:color="auto" w:fill="FFFFFF"/>
          <w:lang w:eastAsia="zh-CN"/>
        </w:rPr>
      </w:pPr>
      <w:r>
        <w:rPr>
          <w:rFonts w:hint="eastAsia" w:ascii="楷体_GB2312" w:hAnsi="楷体_GB2312" w:eastAsia="楷体_GB2312" w:cs="楷体_GB2312"/>
          <w:color w:val="000000"/>
          <w:kern w:val="0"/>
          <w:sz w:val="32"/>
          <w:szCs w:val="32"/>
          <w:shd w:val="clear" w:color="auto" w:fill="FFFFFF"/>
          <w:lang w:val="en-US" w:eastAsia="zh-CN"/>
        </w:rPr>
        <w:t>1.</w:t>
      </w:r>
      <w:r>
        <w:rPr>
          <w:rFonts w:hint="eastAsia" w:ascii="楷体_GB2312" w:hAnsi="楷体_GB2312" w:eastAsia="楷体_GB2312" w:cs="楷体_GB2312"/>
          <w:color w:val="000000"/>
          <w:kern w:val="0"/>
          <w:sz w:val="32"/>
          <w:szCs w:val="32"/>
          <w:shd w:val="clear" w:color="auto" w:fill="FFFFFF"/>
        </w:rPr>
        <w:t>项目决策。</w:t>
      </w:r>
      <w:r>
        <w:rPr>
          <w:rFonts w:hint="eastAsia" w:ascii="仿宋_GB2312" w:hAnsi="仿宋_GB2312" w:eastAsia="仿宋_GB2312" w:cs="仿宋_GB2312"/>
          <w:color w:val="auto"/>
          <w:sz w:val="32"/>
          <w:szCs w:val="32"/>
          <w:lang w:eastAsia="zh-CN"/>
        </w:rPr>
        <w:t>州科协是项目组织、实施和监管的主管单位，</w:t>
      </w:r>
      <w:r>
        <w:rPr>
          <w:rFonts w:hint="eastAsia" w:ascii="仿宋_GB2312" w:hAnsi="仿宋_GB2312" w:eastAsia="仿宋_GB2312" w:cs="仿宋_GB2312"/>
          <w:color w:val="auto"/>
          <w:spacing w:val="6"/>
          <w:sz w:val="32"/>
          <w:szCs w:val="32"/>
          <w:shd w:val="clear" w:color="auto" w:fill="FFFFFF"/>
          <w:lang w:val="zh-CN" w:eastAsia="zh-CN"/>
        </w:rPr>
        <w:t>在项目决策和实施方面坚持“资金跟着项目走、项目跟着决策走”的理念，</w:t>
      </w:r>
      <w:r>
        <w:rPr>
          <w:rFonts w:hint="eastAsia" w:ascii="仿宋_GB2312" w:hAnsi="仿宋_GB2312" w:eastAsia="仿宋_GB2312" w:cs="仿宋_GB2312"/>
          <w:color w:val="auto"/>
          <w:spacing w:val="6"/>
          <w:sz w:val="32"/>
          <w:szCs w:val="32"/>
          <w:shd w:val="clear" w:color="auto" w:fill="FFFFFF"/>
          <w:lang w:eastAsia="zh-CN"/>
        </w:rPr>
        <w:t>项目决策程序严密、项目规划论证符合中省州要求，项目绩效目标设置科学合理、项目资金使用、项目总体规划与行业事业发展相匹配，项目所涉及内容与省、州重大任务、重点领域、重点环节和重点项目紧密相关。州科协党组项目资金分配上能够依法依规、深入调研指导、区域发展需求兼顾，全盘统筹考虑进行分配。分配方案报送州委分管领导审签，再报同级财政局会审、并向州委派驻纪检组进行报备。项目最终会审确定后，涉及新增专项均进行事前绩效评估，按照规定的程序进行项目入库，编入当年预算。</w:t>
      </w:r>
    </w:p>
    <w:p w14:paraId="1282BB8C">
      <w:pPr>
        <w:numPr>
          <w:ilvl w:val="0"/>
          <w:numId w:val="0"/>
        </w:numPr>
        <w:ind w:firstLine="640" w:firstLineChars="200"/>
        <w:rPr>
          <w:rFonts w:hint="eastAsia" w:ascii="仿宋_GB2312" w:hAnsi="仿宋_GB2312" w:eastAsia="仿宋_GB2312" w:cs="仿宋_GB2312"/>
          <w:color w:val="auto"/>
          <w:spacing w:val="6"/>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2.</w:t>
      </w:r>
      <w:r>
        <w:rPr>
          <w:rFonts w:hint="eastAsia" w:ascii="楷体_GB2312" w:hAnsi="楷体_GB2312" w:eastAsia="楷体_GB2312" w:cs="楷体_GB2312"/>
          <w:color w:val="000000"/>
          <w:kern w:val="0"/>
          <w:sz w:val="32"/>
          <w:szCs w:val="32"/>
          <w:shd w:val="clear" w:color="auto" w:fill="FFFFFF"/>
        </w:rPr>
        <w:t>项目执行。</w:t>
      </w:r>
      <w:r>
        <w:rPr>
          <w:rFonts w:hint="eastAsia" w:ascii="仿宋_GB2312" w:hAnsi="仿宋_GB2312" w:eastAsia="仿宋_GB2312" w:cs="仿宋_GB2312"/>
          <w:color w:val="auto"/>
          <w:spacing w:val="6"/>
          <w:sz w:val="32"/>
          <w:szCs w:val="32"/>
          <w:shd w:val="clear" w:color="auto" w:fill="FFFFFF"/>
          <w:lang w:eastAsia="zh-CN"/>
        </w:rPr>
        <w:t>州科协认真贯彻落实“用钱必问效、无效必问责”的财政资金使用原则，做到紧扣年初党组审定的项目任务组织实施完成年度项目工作。个别项目因年初疫情余波，项目预算资金与实际执行有偏差，经党组研究给予内部调整，其余项目均按照年初预算稳步实施完成。</w:t>
      </w:r>
      <w:r>
        <w:rPr>
          <w:rFonts w:hint="eastAsia" w:ascii="仿宋_GB2312" w:hAnsi="仿宋_GB2312" w:eastAsia="仿宋_GB2312" w:cs="仿宋_GB2312"/>
          <w:color w:val="auto"/>
          <w:spacing w:val="6"/>
          <w:sz w:val="32"/>
          <w:szCs w:val="32"/>
          <w:shd w:val="clear" w:color="auto" w:fill="FFFFFF"/>
          <w:lang w:val="en-US" w:eastAsia="zh-CN"/>
        </w:rPr>
        <w:t>2024年度项目资金支出405.06万元，执行预算100%。分别完成了</w:t>
      </w:r>
      <w:r>
        <w:rPr>
          <w:rFonts w:hint="eastAsia" w:ascii="仿宋_GB2312" w:hAnsi="仿宋_GB2312" w:eastAsia="仿宋_GB2312" w:cs="仿宋_GB2312"/>
          <w:color w:val="auto"/>
          <w:spacing w:val="6"/>
          <w:sz w:val="32"/>
          <w:szCs w:val="32"/>
          <w:shd w:val="clear" w:color="auto" w:fill="FFFFFF"/>
          <w:lang w:eastAsia="zh-CN"/>
        </w:rPr>
        <w:t>省科协重点项目天府科技云服务工作，开展完成了科学技术普及、传播、科普阵地建设、学术交流、青少年科技创新活动、全民科学素质调查，并向凉山17个县市和学（协）会等转移支付天府科技云、科普创建、科普进乡村大篷车进校园、科普阵地建设、学会能力提升、乡村振兴、老科协工作保障等科普专项工作经费；我们积极协调对接多方部门，在时间紧任务重的情况下，于年度</w:t>
      </w:r>
      <w:r>
        <w:rPr>
          <w:rFonts w:hint="eastAsia" w:ascii="仿宋_GB2312" w:hAnsi="仿宋_GB2312" w:eastAsia="仿宋_GB2312" w:cs="仿宋_GB2312"/>
          <w:color w:val="auto"/>
          <w:spacing w:val="6"/>
          <w:sz w:val="32"/>
          <w:szCs w:val="32"/>
          <w:shd w:val="clear" w:color="auto" w:fill="FFFFFF"/>
          <w:lang w:val="en-US" w:eastAsia="zh-CN"/>
        </w:rPr>
        <w:t>11-12月</w:t>
      </w:r>
      <w:r>
        <w:rPr>
          <w:rFonts w:hint="eastAsia" w:ascii="仿宋_GB2312" w:hAnsi="仿宋_GB2312" w:eastAsia="仿宋_GB2312" w:cs="仿宋_GB2312"/>
          <w:color w:val="auto"/>
          <w:spacing w:val="6"/>
          <w:sz w:val="32"/>
          <w:szCs w:val="32"/>
          <w:shd w:val="clear" w:color="auto" w:fill="FFFFFF"/>
          <w:lang w:eastAsia="zh-CN"/>
        </w:rPr>
        <w:t>分别完成了省州领导及17县市与会代表和工作人员多达</w:t>
      </w:r>
      <w:r>
        <w:rPr>
          <w:rFonts w:hint="eastAsia" w:ascii="仿宋_GB2312" w:hAnsi="仿宋_GB2312" w:eastAsia="仿宋_GB2312" w:cs="仿宋_GB2312"/>
          <w:color w:val="auto"/>
          <w:spacing w:val="6"/>
          <w:sz w:val="32"/>
          <w:szCs w:val="32"/>
          <w:shd w:val="clear" w:color="auto" w:fill="FFFFFF"/>
          <w:lang w:val="en-US" w:eastAsia="zh-CN"/>
        </w:rPr>
        <w:t>230</w:t>
      </w:r>
      <w:r>
        <w:rPr>
          <w:rFonts w:hint="eastAsia" w:ascii="仿宋_GB2312" w:hAnsi="仿宋_GB2312" w:eastAsia="仿宋_GB2312" w:cs="仿宋_GB2312"/>
          <w:color w:val="auto"/>
          <w:spacing w:val="6"/>
          <w:sz w:val="32"/>
          <w:szCs w:val="32"/>
          <w:shd w:val="clear" w:color="auto" w:fill="FFFFFF"/>
          <w:lang w:eastAsia="zh-CN"/>
        </w:rPr>
        <w:t>人次参加的州科协系统换届选举会议和乡土人才大赛，</w:t>
      </w:r>
      <w:r>
        <w:rPr>
          <w:rFonts w:hint="eastAsia" w:ascii="仿宋_GB2312" w:hAnsi="仿宋_GB2312" w:eastAsia="仿宋_GB2312" w:cs="仿宋_GB2312"/>
          <w:color w:val="auto"/>
          <w:spacing w:val="6"/>
          <w:sz w:val="32"/>
          <w:szCs w:val="32"/>
          <w:shd w:val="clear" w:color="auto" w:fill="FFFFFF"/>
          <w:lang w:val="en-US" w:eastAsia="zh-CN"/>
        </w:rPr>
        <w:t>38届</w:t>
      </w:r>
      <w:r>
        <w:rPr>
          <w:rFonts w:hint="eastAsia" w:ascii="仿宋_GB2312" w:hAnsi="仿宋_GB2312" w:eastAsia="仿宋_GB2312" w:cs="仿宋_GB2312"/>
          <w:color w:val="auto"/>
          <w:spacing w:val="6"/>
          <w:sz w:val="32"/>
          <w:szCs w:val="32"/>
          <w:shd w:val="clear" w:color="auto" w:fill="FFFFFF"/>
          <w:lang w:eastAsia="zh-CN"/>
        </w:rPr>
        <w:t>青少年科创赛、第十一届自然科学优秀论文评选、州院士（专家）工作站建设、“菁英计划”人才评选、开展畜牧培训等等专项项目任务，并获得省州领导的肯定和群众的赞誉。</w:t>
      </w:r>
    </w:p>
    <w:p w14:paraId="3214F2F1">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color w:val="000000"/>
          <w:kern w:val="0"/>
          <w:sz w:val="32"/>
          <w:szCs w:val="32"/>
          <w:shd w:val="clear" w:color="auto" w:fill="FFFFFF"/>
          <w:lang w:val="en-US" w:eastAsia="zh-CN"/>
        </w:rPr>
        <w:t>3.</w:t>
      </w:r>
      <w:r>
        <w:rPr>
          <w:rFonts w:hint="eastAsia" w:ascii="楷体_GB2312" w:hAnsi="楷体_GB2312" w:eastAsia="楷体_GB2312" w:cs="楷体_GB2312"/>
          <w:color w:val="000000"/>
          <w:kern w:val="0"/>
          <w:sz w:val="32"/>
          <w:szCs w:val="32"/>
          <w:shd w:val="clear" w:color="auto" w:fill="FFFFFF"/>
        </w:rPr>
        <w:t>目标实现。</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2023年围绕省重点项目“天府科技云”，我们完成了邀请用户注册28637人、邀请1117家企事业单位入驻、帮助创建科创工作室1701家、</w:t>
      </w:r>
      <w:r>
        <w:rPr>
          <w:rFonts w:hint="eastAsia" w:ascii="仿宋_GB2312" w:hAnsi="仿宋_GB2312" w:eastAsia="仿宋_GB2312" w:cs="仿宋_GB2312"/>
          <w:color w:val="000000"/>
          <w:sz w:val="32"/>
          <w:szCs w:val="32"/>
          <w:lang w:eastAsia="zh-CN"/>
        </w:rPr>
        <w:t>“保姆式”服务</w:t>
      </w:r>
      <w:r>
        <w:rPr>
          <w:rFonts w:hint="eastAsia" w:ascii="仿宋_GB2312" w:hAnsi="仿宋_GB2312" w:eastAsia="仿宋_GB2312" w:cs="仿宋_GB2312"/>
          <w:sz w:val="32"/>
          <w:szCs w:val="32"/>
          <w:lang w:val="en-US" w:eastAsia="zh-CN"/>
        </w:rPr>
        <w:t>已超额完成5338单。</w:t>
      </w:r>
      <w:r>
        <w:rPr>
          <w:rFonts w:hint="eastAsia" w:ascii="仿宋_GB2312" w:hAnsi="仿宋_GB2312" w:eastAsia="仿宋_GB2312" w:cs="仿宋_GB2312"/>
          <w:color w:val="000000"/>
          <w:sz w:val="32"/>
          <w:szCs w:val="32"/>
          <w:lang w:val="en-US" w:eastAsia="zh-CN"/>
        </w:rPr>
        <w:t>第二届“科创会”上，</w:t>
      </w:r>
      <w:r>
        <w:rPr>
          <w:rFonts w:hint="eastAsia" w:ascii="仿宋_GB2312" w:hAnsi="仿宋_GB2312" w:eastAsia="仿宋_GB2312" w:cs="仿宋_GB2312"/>
          <w:sz w:val="32"/>
          <w:szCs w:val="32"/>
          <w:lang w:val="en-US" w:eastAsia="zh-CN"/>
        </w:rPr>
        <w:t>共征集139个项目在“天府科技云”平台及凉山“云展厅”发布，14项入选省级开幕式、省级重大专场、州级专场现场发布。2项在省级平台签约，签约金额1600余万元。1项</w:t>
      </w:r>
      <w:r>
        <w:rPr>
          <w:rFonts w:hint="eastAsia" w:ascii="仿宋_GB2312" w:hAnsi="仿宋_GB2312" w:eastAsia="仿宋_GB2312" w:cs="仿宋_GB2312"/>
          <w:color w:val="000000"/>
          <w:sz w:val="32"/>
          <w:szCs w:val="32"/>
          <w:lang w:val="en-US" w:eastAsia="zh-CN"/>
        </w:rPr>
        <w:t>入选“科创沙龙”典型案例并获奖。</w:t>
      </w:r>
      <w:r>
        <w:rPr>
          <w:rFonts w:hint="eastAsia" w:ascii="仿宋_GB2312" w:hAnsi="仿宋_GB2312" w:eastAsia="仿宋_GB2312" w:cs="仿宋_GB2312"/>
          <w:sz w:val="32"/>
          <w:szCs w:val="32"/>
        </w:rPr>
        <w:t>凉山</w:t>
      </w:r>
      <w:r>
        <w:rPr>
          <w:rFonts w:hint="eastAsia" w:ascii="仿宋_GB2312" w:hAnsi="仿宋_GB2312" w:eastAsia="仿宋_GB2312" w:cs="仿宋_GB2312"/>
          <w:sz w:val="32"/>
          <w:szCs w:val="32"/>
          <w:lang w:eastAsia="zh-CN"/>
        </w:rPr>
        <w:t>智慧科普传播员覆盖率达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实现“一村（社区）一名智慧科普传播员”</w:t>
      </w:r>
      <w:r>
        <w:rPr>
          <w:rFonts w:hint="eastAsia" w:ascii="仿宋_GB2312" w:hAnsi="仿宋_GB2312" w:eastAsia="仿宋_GB2312" w:cs="仿宋_GB2312"/>
          <w:sz w:val="32"/>
          <w:szCs w:val="32"/>
        </w:rPr>
        <w:t>全覆盖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“天府科技云”精准科普覆盖率7526.52‱、精准科普服务群众数3747260人、精准科普服务量56964926次。</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构建大联合、大协作的工作新</w:t>
      </w:r>
      <w:r>
        <w:rPr>
          <w:rFonts w:hint="eastAsia" w:ascii="仿宋_GB2312" w:hAnsi="仿宋_GB2312" w:eastAsia="仿宋_GB2312" w:cs="仿宋_GB2312"/>
          <w:sz w:val="32"/>
          <w:szCs w:val="32"/>
          <w:lang w:eastAsia="zh-CN"/>
        </w:rPr>
        <w:t>格局，</w:t>
      </w:r>
      <w:r>
        <w:rPr>
          <w:rFonts w:hint="eastAsia" w:ascii="仿宋_GB2312" w:hAnsi="仿宋_GB2312" w:eastAsia="仿宋_GB2312" w:cs="仿宋_GB2312"/>
          <w:sz w:val="32"/>
          <w:szCs w:val="32"/>
        </w:rPr>
        <w:t>创新开展全国科普日、全国科技周、“科普进彝家、大蓬车进校园”、</w:t>
      </w:r>
      <w:r>
        <w:rPr>
          <w:rFonts w:hint="eastAsia" w:ascii="仿宋_GB2312" w:hAnsi="仿宋_GB2312" w:eastAsia="仿宋_GB2312" w:cs="仿宋_GB2312"/>
          <w:sz w:val="32"/>
          <w:szCs w:val="32"/>
          <w:lang w:eastAsia="zh-CN"/>
        </w:rPr>
        <w:t>科技“三下乡”、科普“七进”、</w:t>
      </w:r>
      <w:r>
        <w:rPr>
          <w:rFonts w:hint="eastAsia" w:ascii="仿宋_GB2312" w:hAnsi="仿宋_GB2312" w:eastAsia="仿宋_GB2312" w:cs="仿宋_GB2312"/>
          <w:sz w:val="32"/>
          <w:szCs w:val="32"/>
        </w:rPr>
        <w:t>科普集市等活动，发放宣传手册、宣传品共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万余份，</w:t>
      </w:r>
      <w:r>
        <w:rPr>
          <w:rFonts w:hint="eastAsia" w:ascii="仿宋_GB2312" w:hAnsi="仿宋_GB2312" w:eastAsia="仿宋_GB2312" w:cs="仿宋_GB2312"/>
          <w:sz w:val="32"/>
          <w:szCs w:val="32"/>
          <w:lang w:eastAsia="zh-CN"/>
        </w:rPr>
        <w:t>惠及</w:t>
      </w:r>
      <w:r>
        <w:rPr>
          <w:rFonts w:hint="eastAsia" w:ascii="仿宋_GB2312" w:hAnsi="仿宋_GB2312" w:eastAsia="仿宋_GB2312" w:cs="仿宋_GB2312"/>
          <w:sz w:val="32"/>
          <w:szCs w:val="32"/>
        </w:rPr>
        <w:t>群众</w:t>
      </w:r>
      <w:r>
        <w:rPr>
          <w:rFonts w:hint="eastAsia" w:ascii="仿宋_GB2312" w:hAnsi="仿宋_GB2312" w:eastAsia="仿宋_GB2312" w:cs="仿宋_GB2312"/>
          <w:sz w:val="32"/>
          <w:szCs w:val="32"/>
          <w:lang w:eastAsia="zh-CN"/>
        </w:rPr>
        <w:t>、师生</w:t>
      </w:r>
      <w:r>
        <w:rPr>
          <w:rFonts w:hint="eastAsia" w:ascii="仿宋_GB2312" w:hAnsi="仿宋_GB2312" w:eastAsia="仿宋_GB2312" w:cs="仿宋_GB2312"/>
          <w:sz w:val="32"/>
          <w:szCs w:val="32"/>
        </w:rPr>
        <w:t>达</w:t>
      </w:r>
      <w:r>
        <w:rPr>
          <w:rFonts w:hint="eastAsia" w:ascii="仿宋_GB2312" w:hAnsi="仿宋_GB2312" w:eastAsia="仿宋_GB2312" w:cs="仿宋_GB2312"/>
          <w:sz w:val="32"/>
          <w:szCs w:val="32"/>
          <w:lang w:val="en-US" w:eastAsia="zh-CN"/>
        </w:rPr>
        <w:t>50余</w:t>
      </w:r>
      <w:r>
        <w:rPr>
          <w:rFonts w:hint="eastAsia" w:ascii="仿宋_GB2312" w:hAnsi="仿宋_GB2312" w:eastAsia="仿宋_GB2312" w:cs="仿宋_GB2312"/>
          <w:sz w:val="32"/>
          <w:szCs w:val="32"/>
        </w:rPr>
        <w:t>万人。全面加强科普阵地建设，</w:t>
      </w:r>
      <w:r>
        <w:rPr>
          <w:rFonts w:hint="eastAsia" w:ascii="仿宋_GB2312" w:hAnsi="仿宋_GB2312" w:eastAsia="仿宋_GB2312" w:cs="仿宋_GB2312"/>
          <w:sz w:val="32"/>
          <w:szCs w:val="32"/>
          <w:lang w:eastAsia="zh-CN"/>
        </w:rPr>
        <w:t>新增冕宁县科普大篷车</w:t>
      </w:r>
      <w:r>
        <w:rPr>
          <w:rFonts w:hint="eastAsia" w:ascii="仿宋_GB2312" w:hAnsi="仿宋_GB2312" w:eastAsia="仿宋_GB2312" w:cs="仿宋_GB2312"/>
          <w:sz w:val="32"/>
          <w:szCs w:val="32"/>
          <w:lang w:val="en-US" w:eastAsia="zh-CN"/>
        </w:rPr>
        <w:t>1台</w:t>
      </w:r>
      <w:r>
        <w:rPr>
          <w:rFonts w:hint="eastAsia" w:ascii="仿宋_GB2312" w:hAnsi="仿宋_GB2312" w:eastAsia="仿宋_GB2312" w:cs="仿宋_GB2312"/>
          <w:sz w:val="32"/>
          <w:szCs w:val="32"/>
          <w:lang w:eastAsia="zh-CN"/>
        </w:rPr>
        <w:t>。争取会理科普资源包升级更换一套</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争取资金</w:t>
      </w:r>
      <w:r>
        <w:rPr>
          <w:rFonts w:hint="eastAsia" w:ascii="仿宋_GB2312" w:hAnsi="仿宋_GB2312" w:eastAsia="仿宋_GB2312" w:cs="仿宋_GB2312"/>
          <w:kern w:val="0"/>
          <w:sz w:val="32"/>
          <w:szCs w:val="32"/>
        </w:rPr>
        <w:t>开展科普示范</w:t>
      </w:r>
      <w:r>
        <w:rPr>
          <w:rFonts w:hint="eastAsia" w:ascii="仿宋_GB2312" w:hAnsi="仿宋_GB2312" w:eastAsia="仿宋_GB2312" w:cs="仿宋_GB2312"/>
          <w:kern w:val="0"/>
          <w:sz w:val="32"/>
          <w:szCs w:val="32"/>
          <w:lang w:eastAsia="zh-CN"/>
        </w:rPr>
        <w:t>基地、</w:t>
      </w:r>
      <w:r>
        <w:rPr>
          <w:rFonts w:hint="eastAsia" w:ascii="仿宋_GB2312" w:hAnsi="仿宋_GB2312" w:eastAsia="仿宋_GB2312" w:cs="仿宋_GB2312"/>
          <w:b w:val="0"/>
          <w:bCs w:val="0"/>
          <w:sz w:val="32"/>
          <w:szCs w:val="32"/>
          <w:lang w:val="en" w:eastAsia="zh-CN"/>
        </w:rPr>
        <w:t>开放式科技馆</w:t>
      </w:r>
      <w:r>
        <w:rPr>
          <w:rFonts w:hint="eastAsia" w:ascii="仿宋_GB2312" w:hAnsi="仿宋_GB2312" w:eastAsia="仿宋_GB2312" w:cs="仿宋_GB2312"/>
          <w:b w:val="0"/>
          <w:bCs w:val="0"/>
          <w:sz w:val="32"/>
          <w:szCs w:val="32"/>
          <w:lang w:val="en-US" w:eastAsia="zh-CN"/>
        </w:rPr>
        <w:t>、科普阵地等</w:t>
      </w:r>
      <w:r>
        <w:rPr>
          <w:rFonts w:hint="eastAsia" w:ascii="仿宋_GB2312" w:hAnsi="仿宋_GB2312" w:eastAsia="仿宋_GB2312" w:cs="仿宋_GB2312"/>
          <w:kern w:val="0"/>
          <w:sz w:val="32"/>
          <w:szCs w:val="32"/>
        </w:rPr>
        <w:t>创建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制作</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eastAsia="zh-CN"/>
        </w:rPr>
        <w:t>电视栏目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科普凉山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，采编科技致富带头、乡村振兴栏目40余期</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荣获“四川省2023年最具影响力的科普平台”荣誉称号。</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38届</w:t>
      </w:r>
      <w:r>
        <w:rPr>
          <w:rFonts w:hint="eastAsia" w:ascii="仿宋_GB2312" w:hAnsi="仿宋_GB2312" w:eastAsia="仿宋_GB2312" w:cs="仿宋_GB2312"/>
          <w:sz w:val="32"/>
          <w:szCs w:val="32"/>
        </w:rPr>
        <w:t>青少年科技创新大赛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征集各类作品</w:t>
      </w:r>
      <w:r>
        <w:rPr>
          <w:rFonts w:hint="eastAsia" w:ascii="仿宋_GB2312" w:hAnsi="仿宋_GB2312" w:eastAsia="仿宋_GB2312" w:cs="仿宋_GB2312"/>
          <w:color w:val="000000"/>
          <w:sz w:val="32"/>
          <w:szCs w:val="32"/>
          <w:lang w:val="en-US" w:eastAsia="zh-CN"/>
        </w:rPr>
        <w:t>995</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i w:val="0"/>
          <w:caps w:val="0"/>
          <w:color w:val="000000"/>
          <w:spacing w:val="0"/>
          <w:sz w:val="32"/>
          <w:szCs w:val="32"/>
          <w:u w:val="none"/>
          <w:shd w:val="clear" w:color="auto" w:fill="FFFFFF"/>
          <w:lang w:eastAsia="zh-CN"/>
        </w:rPr>
        <w:t>入围</w:t>
      </w:r>
      <w:r>
        <w:rPr>
          <w:rFonts w:hint="eastAsia" w:ascii="仿宋_GB2312" w:hAnsi="仿宋_GB2312" w:eastAsia="仿宋_GB2312" w:cs="仿宋_GB2312"/>
          <w:i w:val="0"/>
          <w:caps w:val="0"/>
          <w:color w:val="000000"/>
          <w:spacing w:val="0"/>
          <w:sz w:val="32"/>
          <w:szCs w:val="32"/>
          <w:u w:val="none"/>
          <w:shd w:val="clear" w:color="auto" w:fill="FFFFFF"/>
        </w:rPr>
        <w:t>终评</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710</w:t>
      </w:r>
      <w:r>
        <w:rPr>
          <w:rFonts w:hint="eastAsia" w:ascii="仿宋_GB2312" w:hAnsi="仿宋_GB2312" w:eastAsia="仿宋_GB2312" w:cs="仿宋_GB2312"/>
          <w:i w:val="0"/>
          <w:caps w:val="0"/>
          <w:color w:val="000000"/>
          <w:spacing w:val="0"/>
          <w:sz w:val="32"/>
          <w:szCs w:val="32"/>
          <w:u w:val="none"/>
          <w:shd w:val="clear" w:color="auto" w:fill="FFFFFF"/>
        </w:rPr>
        <w:t>项</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,来自全州200余名青少年和80余名科技辅导员教师</w:t>
      </w:r>
      <w:r>
        <w:rPr>
          <w:rFonts w:hint="eastAsia" w:ascii="仿宋_GB2312" w:hAnsi="仿宋_GB2312" w:eastAsia="仿宋_GB2312" w:cs="仿宋_GB2312"/>
          <w:sz w:val="32"/>
          <w:szCs w:val="32"/>
          <w:lang w:val="en-US" w:eastAsia="zh-CN"/>
        </w:rPr>
        <w:t>在凉山州航天科普基地参加终评决赛暨优秀成果展示会。</w:t>
      </w:r>
      <w:r>
        <w:rPr>
          <w:rFonts w:hint="eastAsia" w:ascii="仿宋_GB2312" w:hAnsi="仿宋_GB2312" w:eastAsia="仿宋_GB2312" w:cs="仿宋_GB2312"/>
          <w:b w:val="0"/>
          <w:bCs w:val="0"/>
          <w:color w:val="000000"/>
          <w:sz w:val="32"/>
          <w:szCs w:val="32"/>
          <w:lang w:eastAsia="zh-CN"/>
        </w:rPr>
        <w:t>第</w:t>
      </w:r>
      <w:r>
        <w:rPr>
          <w:rFonts w:hint="eastAsia" w:ascii="仿宋_GB2312" w:hAnsi="仿宋_GB2312" w:eastAsia="仿宋_GB2312" w:cs="仿宋_GB2312"/>
          <w:b w:val="0"/>
          <w:bCs w:val="0"/>
          <w:color w:val="000000"/>
          <w:sz w:val="32"/>
          <w:szCs w:val="32"/>
          <w:lang w:val="en-US" w:eastAsia="zh-CN"/>
        </w:rPr>
        <w:t>37届四川省青科赛凉山</w:t>
      </w:r>
      <w:r>
        <w:rPr>
          <w:rStyle w:val="39"/>
          <w:rFonts w:hint="eastAsia" w:ascii="仿宋_GB2312" w:hAnsi="仿宋_GB2312" w:eastAsia="仿宋_GB2312" w:cs="仿宋_GB2312"/>
          <w:b w:val="0"/>
          <w:bCs w:val="0"/>
          <w:i w:val="0"/>
          <w:color w:val="000000"/>
          <w:sz w:val="32"/>
          <w:szCs w:val="32"/>
        </w:rPr>
        <w:t>获</w:t>
      </w:r>
      <w:r>
        <w:rPr>
          <w:rStyle w:val="39"/>
          <w:rFonts w:hint="eastAsia" w:ascii="仿宋_GB2312" w:hAnsi="仿宋_GB2312" w:eastAsia="仿宋_GB2312" w:cs="仿宋_GB2312"/>
          <w:b w:val="0"/>
          <w:bCs w:val="0"/>
          <w:i w:val="0"/>
          <w:color w:val="000000"/>
          <w:sz w:val="32"/>
          <w:szCs w:val="32"/>
          <w:lang w:eastAsia="zh-CN"/>
        </w:rPr>
        <w:t>得</w:t>
      </w:r>
      <w:r>
        <w:rPr>
          <w:rFonts w:hint="eastAsia" w:ascii="仿宋_GB2312" w:hAnsi="仿宋_GB2312" w:eastAsia="仿宋_GB2312" w:cs="仿宋_GB2312"/>
          <w:sz w:val="32"/>
          <w:szCs w:val="32"/>
          <w:lang w:val="en-US" w:eastAsia="zh-CN"/>
        </w:rPr>
        <w:t>23个</w:t>
      </w:r>
      <w:r>
        <w:rPr>
          <w:rStyle w:val="39"/>
          <w:rFonts w:hint="eastAsia" w:ascii="仿宋_GB2312" w:hAnsi="仿宋_GB2312" w:eastAsia="仿宋_GB2312" w:cs="仿宋_GB2312"/>
          <w:i w:val="0"/>
          <w:color w:val="000000"/>
          <w:sz w:val="32"/>
          <w:szCs w:val="32"/>
          <w:lang w:eastAsia="zh-CN"/>
        </w:rPr>
        <w:t>奖</w:t>
      </w:r>
      <w:r>
        <w:rPr>
          <w:rFonts w:hint="eastAsia" w:ascii="仿宋_GB2312" w:hAnsi="仿宋_GB2312" w:eastAsia="仿宋_GB2312" w:cs="仿宋_GB2312"/>
          <w:sz w:val="32"/>
          <w:szCs w:val="32"/>
          <w:lang w:val="en-US" w:eastAsia="zh-CN"/>
        </w:rPr>
        <w:t>项，3名学生</w:t>
      </w:r>
      <w:r>
        <w:rPr>
          <w:rStyle w:val="39"/>
          <w:rFonts w:hint="eastAsia" w:ascii="仿宋_GB2312" w:hAnsi="仿宋_GB2312" w:eastAsia="仿宋_GB2312" w:cs="仿宋_GB2312"/>
          <w:i w:val="0"/>
          <w:color w:val="000000"/>
          <w:sz w:val="32"/>
          <w:szCs w:val="32"/>
          <w:lang w:eastAsia="zh-CN"/>
        </w:rPr>
        <w:t>获得专项奖</w:t>
      </w:r>
      <w:r>
        <w:rPr>
          <w:rStyle w:val="39"/>
          <w:rFonts w:hint="eastAsia" w:ascii="仿宋_GB2312" w:hAnsi="仿宋_GB2312" w:eastAsia="仿宋_GB2312" w:cs="仿宋_GB2312"/>
          <w:i w:val="0"/>
          <w:color w:val="000000"/>
          <w:sz w:val="32"/>
          <w:szCs w:val="32"/>
          <w:lang w:val="en-US" w:eastAsia="zh-CN"/>
        </w:rPr>
        <w:t>----</w:t>
      </w:r>
      <w:r>
        <w:rPr>
          <w:rStyle w:val="39"/>
          <w:rFonts w:hint="eastAsia" w:ascii="仿宋_GB2312" w:hAnsi="仿宋_GB2312" w:eastAsia="仿宋_GB2312" w:cs="仿宋_GB2312"/>
          <w:i w:val="0"/>
          <w:color w:val="000000"/>
          <w:sz w:val="32"/>
          <w:szCs w:val="32"/>
          <w:lang w:eastAsia="zh-CN"/>
        </w:rPr>
        <w:t>“盛通教育科学奖”。</w:t>
      </w:r>
      <w:r>
        <w:rPr>
          <w:rFonts w:hint="eastAsia" w:ascii="仿宋_GB2312" w:hAnsi="仿宋_GB2312" w:eastAsia="仿宋_GB2312" w:cs="仿宋_GB2312"/>
          <w:b w:val="0"/>
          <w:bCs w:val="0"/>
          <w:color w:val="000000"/>
          <w:sz w:val="32"/>
          <w:szCs w:val="32"/>
          <w:lang w:eastAsia="zh-CN"/>
        </w:rPr>
        <w:t>对青少年开展</w:t>
      </w:r>
      <w:r>
        <w:rPr>
          <w:rFonts w:hint="eastAsia" w:ascii="仿宋_GB2312" w:hAnsi="仿宋_GB2312" w:eastAsia="仿宋_GB2312" w:cs="仿宋_GB2312"/>
          <w:color w:val="000000"/>
          <w:sz w:val="32"/>
          <w:szCs w:val="32"/>
        </w:rPr>
        <w:t>“科学调查体验”</w:t>
      </w:r>
      <w:r>
        <w:rPr>
          <w:rFonts w:hint="eastAsia" w:ascii="仿宋_GB2312" w:hAnsi="仿宋_GB2312" w:eastAsia="仿宋_GB2312" w:cs="仿宋_GB2312"/>
          <w:color w:val="000000"/>
          <w:sz w:val="32"/>
          <w:szCs w:val="32"/>
          <w:lang w:eastAsia="zh-CN"/>
        </w:rPr>
        <w:t>、“科学影像节”、“高校科学营”、</w:t>
      </w:r>
      <w:r>
        <w:rPr>
          <w:rFonts w:hint="eastAsia" w:ascii="仿宋_GB2312" w:hAnsi="仿宋_GB2312" w:eastAsia="仿宋_GB2312" w:cs="仿宋_GB2312"/>
          <w:b w:val="0"/>
          <w:bCs w:val="0"/>
          <w:i w:val="0"/>
          <w:caps w:val="0"/>
          <w:color w:val="000000"/>
          <w:spacing w:val="0"/>
          <w:sz w:val="32"/>
          <w:szCs w:val="32"/>
          <w:shd w:val="clear" w:color="auto" w:fill="FFFFFF"/>
        </w:rPr>
        <w:t>主题</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科普展览（报告宣讲）等活动。</w:t>
      </w:r>
      <w:r>
        <w:rPr>
          <w:rFonts w:hint="eastAsia" w:ascii="仿宋_GB2312" w:hAnsi="仿宋_GB2312" w:eastAsia="仿宋_GB2312" w:cs="仿宋_GB2312"/>
          <w:sz w:val="32"/>
          <w:szCs w:val="32"/>
        </w:rPr>
        <w:t>开展畜牧养殖、林果种植等技能技术培训</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余期</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培训</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000余人</w:t>
      </w:r>
      <w:r>
        <w:rPr>
          <w:rFonts w:hint="eastAsia" w:ascii="仿宋_GB2312" w:hAnsi="仿宋_GB2312" w:eastAsia="仿宋_GB2312" w:cs="仿宋_GB2312"/>
          <w:sz w:val="32"/>
          <w:szCs w:val="32"/>
        </w:rPr>
        <w:t>。</w:t>
      </w:r>
      <w:r>
        <w:rPr>
          <w:rFonts w:hint="eastAsia" w:ascii="楷体_GB2312" w:hAnsi="楷体_GB2312" w:eastAsia="楷体_GB2312" w:cs="楷体_GB2312"/>
          <w:b w:val="0"/>
          <w:bCs w:val="0"/>
          <w:sz w:val="32"/>
          <w:szCs w:val="32"/>
          <w:lang w:eastAsia="zh-CN"/>
        </w:rPr>
        <w:t>三是</w:t>
      </w:r>
      <w:r>
        <w:rPr>
          <w:rFonts w:hint="eastAsia" w:ascii="仿宋_GB2312" w:hAnsi="仿宋_GB2312" w:eastAsia="仿宋_GB2312" w:cs="仿宋_GB2312"/>
          <w:sz w:val="32"/>
          <w:szCs w:val="32"/>
        </w:rPr>
        <w:t>以院士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工作站、科技小院为平台，柔性引进高端创新人才进站（院）。推荐</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名优秀科技人才参加全国创新争先奖、</w:t>
      </w:r>
      <w:r>
        <w:rPr>
          <w:rFonts w:hint="eastAsia" w:ascii="仿宋_GB2312" w:hAnsi="仿宋_GB2312" w:eastAsia="仿宋_GB2312" w:cs="仿宋_GB2312"/>
          <w:sz w:val="32"/>
          <w:szCs w:val="32"/>
          <w:lang w:eastAsia="zh-CN"/>
        </w:rPr>
        <w:t>省决策咨询专家团队、</w:t>
      </w:r>
      <w:r>
        <w:rPr>
          <w:rFonts w:hint="eastAsia" w:ascii="仿宋_GB2312" w:hAnsi="仿宋_GB2312" w:eastAsia="仿宋_GB2312" w:cs="仿宋_GB2312"/>
          <w:sz w:val="32"/>
          <w:szCs w:val="32"/>
        </w:rPr>
        <w:t>凉山高层次人才等候选人评选</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。推荐科技人才参加第八届科协改革研讨会论文、川渝科技学术大会优秀论文等评选43篇（项）。在</w:t>
      </w:r>
      <w:r>
        <w:rPr>
          <w:rFonts w:hint="eastAsia" w:ascii="仿宋_GB2312" w:hAnsi="仿宋_GB2312" w:eastAsia="仿宋_GB2312" w:cs="仿宋_GB2312"/>
          <w:sz w:val="32"/>
          <w:szCs w:val="32"/>
          <w:lang w:eastAsia="zh-CN"/>
        </w:rPr>
        <w:t>《四川科技报》、</w:t>
      </w:r>
      <w:r>
        <w:rPr>
          <w:rFonts w:hint="eastAsia" w:ascii="仿宋_GB2312" w:hAnsi="仿宋_GB2312" w:eastAsia="仿宋_GB2312" w:cs="仿宋_GB2312"/>
          <w:sz w:val="32"/>
          <w:szCs w:val="32"/>
        </w:rPr>
        <w:t>《凉山日报》、凉山电视台宣传报道优秀科技工作者风采。</w:t>
      </w:r>
      <w:r>
        <w:rPr>
          <w:rFonts w:hint="eastAsia" w:ascii="仿宋_GB2312" w:hAnsi="仿宋_GB2312" w:eastAsia="仿宋_GB2312" w:cs="仿宋_GB2312"/>
          <w:sz w:val="32"/>
          <w:szCs w:val="32"/>
          <w:lang w:eastAsia="zh-CN"/>
        </w:rPr>
        <w:t>第十一届</w:t>
      </w:r>
      <w:r>
        <w:rPr>
          <w:rFonts w:hint="eastAsia" w:ascii="仿宋_GB2312" w:hAnsi="仿宋_GB2312" w:eastAsia="仿宋_GB2312" w:cs="仿宋_GB2312"/>
          <w:sz w:val="32"/>
          <w:szCs w:val="32"/>
        </w:rPr>
        <w:t>自然科学优秀</w:t>
      </w:r>
      <w:r>
        <w:rPr>
          <w:rFonts w:hint="eastAsia" w:ascii="仿宋_GB2312" w:hAnsi="仿宋_GB2312" w:eastAsia="仿宋_GB2312" w:cs="仿宋_GB2312"/>
          <w:sz w:val="32"/>
          <w:szCs w:val="32"/>
          <w:lang w:eastAsia="zh-CN"/>
        </w:rPr>
        <w:t>学术</w:t>
      </w:r>
      <w:r>
        <w:rPr>
          <w:rFonts w:hint="eastAsia" w:ascii="仿宋_GB2312" w:hAnsi="仿宋_GB2312" w:eastAsia="仿宋_GB2312" w:cs="仿宋_GB2312"/>
          <w:sz w:val="32"/>
          <w:szCs w:val="32"/>
        </w:rPr>
        <w:t>论文评出</w:t>
      </w:r>
      <w:r>
        <w:rPr>
          <w:rFonts w:hint="eastAsia" w:ascii="仿宋_GB2312" w:hAnsi="仿宋_GB2312" w:eastAsia="仿宋_GB2312" w:cs="仿宋_GB2312"/>
          <w:sz w:val="32"/>
          <w:szCs w:val="32"/>
          <w:lang w:eastAsia="zh-CN"/>
        </w:rPr>
        <w:t>一二三等奖</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项。在元旦春节、“5.30”慰问走访科技人才</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名。召开“全国科技工作者日”座谈会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17个县（市）开展首届“最美科技工作者”评选，</w:t>
      </w:r>
      <w:r>
        <w:rPr>
          <w:rFonts w:hint="eastAsia" w:ascii="Times New Roman" w:hAnsi="Times New Roman" w:eastAsia="仿宋_GB2312" w:cs="Times New Roman"/>
          <w:sz w:val="32"/>
          <w:szCs w:val="32"/>
          <w:lang w:eastAsia="zh-CN"/>
        </w:rPr>
        <w:t>评出</w:t>
      </w:r>
      <w:r>
        <w:rPr>
          <w:rFonts w:hint="default" w:ascii="Times New Roman" w:hAnsi="Times New Roman" w:eastAsia="仿宋_GB2312" w:cs="Times New Roman"/>
          <w:sz w:val="32"/>
          <w:szCs w:val="32"/>
        </w:rPr>
        <w:t>“最美科技工作者”86名。</w:t>
      </w:r>
      <w:r>
        <w:rPr>
          <w:rFonts w:hint="eastAsia" w:ascii="仿宋_GB2312" w:hAnsi="仿宋_GB2312" w:eastAsia="仿宋_GB2312" w:cs="仿宋_GB2312"/>
          <w:sz w:val="32"/>
          <w:szCs w:val="32"/>
          <w:lang w:val="en-US" w:eastAsia="zh-CN"/>
        </w:rPr>
        <w:t>并建立“最美科技工作者”人才库。</w:t>
      </w:r>
      <w:r>
        <w:rPr>
          <w:rFonts w:hint="eastAsia" w:ascii="楷体_GB2312" w:hAnsi="楷体_GB2312" w:eastAsia="楷体_GB2312" w:cs="楷体_GB2312"/>
          <w:b/>
          <w:bCs/>
          <w:sz w:val="32"/>
          <w:szCs w:val="32"/>
          <w:lang w:eastAsia="zh-CN"/>
        </w:rPr>
        <w:t>四是</w:t>
      </w:r>
      <w:r>
        <w:rPr>
          <w:rFonts w:hint="eastAsia" w:ascii="楷体_GB2312" w:hAnsi="楷体_GB2312" w:eastAsia="楷体_GB2312" w:cs="楷体_GB2312"/>
          <w:b w:val="0"/>
          <w:bCs w:val="0"/>
          <w:sz w:val="32"/>
          <w:szCs w:val="32"/>
          <w:lang w:val="en-US" w:eastAsia="zh-CN"/>
        </w:rPr>
        <w:t>2023年</w:t>
      </w:r>
      <w:r>
        <w:rPr>
          <w:rFonts w:hint="eastAsia" w:ascii="仿宋_GB2312" w:hAnsi="仿宋_GB2312" w:eastAsia="仿宋_GB2312" w:cs="仿宋_GB2312"/>
          <w:b w:val="0"/>
          <w:bCs w:val="0"/>
          <w:sz w:val="32"/>
          <w:szCs w:val="32"/>
          <w:lang w:eastAsia="zh-CN"/>
        </w:rPr>
        <w:t>与州</w:t>
      </w:r>
      <w:r>
        <w:rPr>
          <w:rFonts w:hint="eastAsia" w:ascii="仿宋_GB2312" w:hAnsi="仿宋_GB2312" w:eastAsia="仿宋_GB2312" w:cs="仿宋_GB2312"/>
          <w:sz w:val="32"/>
          <w:szCs w:val="32"/>
          <w:lang w:eastAsia="zh-CN"/>
        </w:rPr>
        <w:t>委组织部等八家单位共同开展第七批州级院士（专家） 工作站评审出3家</w:t>
      </w:r>
      <w:r>
        <w:rPr>
          <w:rFonts w:hint="eastAsia" w:ascii="仿宋_GB2312" w:hAnsi="仿宋_GB2312" w:eastAsia="仿宋_GB2312" w:cs="仿宋_GB2312"/>
          <w:sz w:val="32"/>
          <w:szCs w:val="32"/>
        </w:rPr>
        <w:t>州级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命名</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个州级科技小院。</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9个</w:t>
      </w:r>
      <w:r>
        <w:rPr>
          <w:rFonts w:hint="eastAsia" w:ascii="仿宋_GB2312" w:hAnsi="仿宋_GB2312" w:eastAsia="仿宋_GB2312" w:cs="仿宋_GB2312"/>
          <w:sz w:val="32"/>
          <w:szCs w:val="32"/>
        </w:rPr>
        <w:t>学会协会</w:t>
      </w:r>
      <w:r>
        <w:rPr>
          <w:rFonts w:hint="eastAsia" w:ascii="仿宋_GB2312" w:hAnsi="仿宋_GB2312" w:eastAsia="仿宋_GB2312" w:cs="仿宋_GB2312"/>
          <w:sz w:val="32"/>
          <w:szCs w:val="32"/>
          <w:lang w:val="en-US" w:eastAsia="zh-CN"/>
        </w:rPr>
        <w:t>实施学会能力提升计划。继续</w:t>
      </w:r>
      <w:r>
        <w:rPr>
          <w:rFonts w:hint="eastAsia" w:ascii="仿宋_GB2312" w:hAnsi="仿宋_GB2312" w:eastAsia="仿宋_GB2312" w:cs="仿宋_GB2312"/>
          <w:sz w:val="32"/>
          <w:szCs w:val="32"/>
        </w:rPr>
        <w:t>办好《凉山科学发展》专刊，及时反映科技界情况。依托“天府科技云”汇聚海量科技人才、科技成果、科技需求等方面的“大数据”，建立专家库、资料库和成果库，建设具有科协特色高水平的科技智库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持续为我州经济社会发展提供智力支持。</w:t>
      </w:r>
    </w:p>
    <w:p w14:paraId="74E84DD2">
      <w:pPr>
        <w:numPr>
          <w:ilvl w:val="0"/>
          <w:numId w:val="0"/>
        </w:numPr>
        <w:ind w:firstLine="643" w:firstLineChars="200"/>
        <w:rPr>
          <w:rFonts w:hint="eastAsia" w:eastAsia="仿宋_GB2312"/>
          <w:color w:val="FF0000"/>
          <w:sz w:val="32"/>
          <w:szCs w:val="32"/>
          <w:lang w:val="zh-CN"/>
        </w:rPr>
      </w:pPr>
      <w:bookmarkStart w:id="108" w:name="OLE_LINK37"/>
      <w:r>
        <w:rPr>
          <w:rFonts w:hint="eastAsia" w:ascii="楷体_GB2312" w:eastAsia="楷体_GB2312"/>
          <w:b/>
          <w:sz w:val="32"/>
          <w:szCs w:val="32"/>
          <w:lang w:eastAsia="zh-CN"/>
        </w:rPr>
        <w:t>（三）</w:t>
      </w:r>
      <w:r>
        <w:rPr>
          <w:rFonts w:hint="eastAsia" w:ascii="楷体_GB2312" w:eastAsia="楷体_GB2312"/>
          <w:b/>
          <w:sz w:val="32"/>
          <w:szCs w:val="32"/>
        </w:rPr>
        <w:t>重点领域绩效分析。</w:t>
      </w:r>
      <w:bookmarkEnd w:id="108"/>
    </w:p>
    <w:p w14:paraId="156D6BDA">
      <w:pPr>
        <w:pStyle w:val="5"/>
        <w:numPr>
          <w:ilvl w:val="0"/>
          <w:numId w:val="0"/>
        </w:numPr>
        <w:ind w:leftChars="200" w:firstLine="320" w:firstLineChars="1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2023年</w:t>
      </w:r>
      <w:r>
        <w:rPr>
          <w:rFonts w:hint="eastAsia" w:ascii="仿宋_GB2312" w:hAnsi="仿宋_GB2312" w:eastAsia="仿宋_GB2312" w:cs="仿宋_GB2312"/>
          <w:kern w:val="2"/>
          <w:sz w:val="32"/>
          <w:szCs w:val="32"/>
          <w:lang w:val="zh-CN" w:eastAsia="zh-CN" w:bidi="ar-SA"/>
        </w:rPr>
        <w:t>我部门无</w:t>
      </w:r>
      <w:r>
        <w:rPr>
          <w:rFonts w:hint="eastAsia" w:ascii="仿宋_GB2312" w:hAnsi="仿宋_GB2312" w:eastAsia="仿宋_GB2312" w:cs="仿宋_GB2312"/>
          <w:kern w:val="2"/>
          <w:sz w:val="32"/>
          <w:szCs w:val="32"/>
          <w:lang w:val="en-US" w:eastAsia="zh-CN" w:bidi="ar-SA"/>
        </w:rPr>
        <w:t>重点领域绩效情况分析。</w:t>
      </w:r>
    </w:p>
    <w:p w14:paraId="037D3FC9">
      <w:pPr>
        <w:ind w:firstLine="643" w:firstLineChars="200"/>
        <w:rPr>
          <w:rFonts w:hint="eastAsia" w:eastAsia="仿宋_GB2312"/>
          <w:color w:val="FF0000"/>
          <w:sz w:val="32"/>
          <w:szCs w:val="32"/>
          <w:lang w:val="zh-CN"/>
        </w:rPr>
      </w:pPr>
      <w:r>
        <w:rPr>
          <w:rFonts w:hint="eastAsia" w:ascii="楷体_GB2312" w:eastAsia="楷体_GB2312"/>
          <w:b/>
          <w:sz w:val="32"/>
          <w:szCs w:val="32"/>
        </w:rPr>
        <w:t>（四）绩效结果应用情况。</w:t>
      </w:r>
    </w:p>
    <w:p w14:paraId="08BB9889">
      <w:pPr>
        <w:snapToGrid w:val="0"/>
        <w:spacing w:line="560" w:lineRule="exact"/>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我们结合财政指标，按照州财政局工作要求，</w:t>
      </w:r>
      <w:r>
        <w:rPr>
          <w:rFonts w:hint="eastAsia" w:ascii="仿宋_GB2312" w:hAnsi="仿宋_GB2312" w:eastAsia="仿宋_GB2312" w:cs="仿宋_GB2312"/>
          <w:b/>
          <w:bCs/>
          <w:kern w:val="2"/>
          <w:sz w:val="32"/>
          <w:szCs w:val="32"/>
          <w:lang w:val="zh-CN" w:eastAsia="zh-CN" w:bidi="ar-SA"/>
        </w:rPr>
        <w:t>一是</w:t>
      </w:r>
      <w:r>
        <w:rPr>
          <w:rFonts w:hint="eastAsia" w:ascii="仿宋_GB2312" w:hAnsi="仿宋_GB2312" w:eastAsia="仿宋_GB2312" w:cs="仿宋_GB2312"/>
          <w:kern w:val="2"/>
          <w:sz w:val="32"/>
          <w:szCs w:val="32"/>
          <w:lang w:val="zh-CN" w:eastAsia="zh-CN" w:bidi="ar-SA"/>
        </w:rPr>
        <w:t>内部应用方面：我单位将部门绩效结果与预算挂钩，如在支持协会学会能力提升补助经费时，对资金使用效率高合规合法、账务核算规范的协会学会作为重要考核依据之一，并在州科协网站上公示后方可给予补助。</w:t>
      </w:r>
      <w:r>
        <w:rPr>
          <w:rFonts w:hint="eastAsia" w:ascii="仿宋_GB2312" w:hAnsi="仿宋_GB2312" w:eastAsia="仿宋_GB2312" w:cs="仿宋_GB2312"/>
          <w:b/>
          <w:bCs/>
          <w:kern w:val="2"/>
          <w:sz w:val="32"/>
          <w:szCs w:val="32"/>
          <w:lang w:val="zh-CN" w:eastAsia="zh-CN" w:bidi="ar-SA"/>
        </w:rPr>
        <w:t>二是</w:t>
      </w:r>
      <w:r>
        <w:rPr>
          <w:rFonts w:hint="eastAsia" w:ascii="仿宋_GB2312" w:hAnsi="仿宋_GB2312" w:eastAsia="仿宋_GB2312" w:cs="仿宋_GB2312"/>
          <w:kern w:val="2"/>
          <w:sz w:val="32"/>
          <w:szCs w:val="32"/>
          <w:lang w:val="zh-CN" w:eastAsia="zh-CN" w:bidi="ar-SA"/>
        </w:rPr>
        <w:t>信息公开方面：2023年度本级部门预算、2022年决算批复、整体支出和项目支出绩效评价报告以及转移支付绩效目标表等相关表格在规定的时间内，在凉山州政府网站和州科学技术协会网站进行公开公示。</w:t>
      </w:r>
      <w:r>
        <w:rPr>
          <w:rFonts w:hint="eastAsia" w:ascii="仿宋_GB2312" w:hAnsi="仿宋_GB2312" w:eastAsia="仿宋_GB2312" w:cs="仿宋_GB2312"/>
          <w:b/>
          <w:bCs/>
          <w:kern w:val="2"/>
          <w:sz w:val="32"/>
          <w:szCs w:val="32"/>
          <w:lang w:val="zh-CN" w:eastAsia="zh-CN" w:bidi="ar-SA"/>
        </w:rPr>
        <w:t>三是</w:t>
      </w:r>
      <w:r>
        <w:rPr>
          <w:rFonts w:hint="eastAsia" w:ascii="仿宋_GB2312" w:hAnsi="仿宋_GB2312" w:eastAsia="仿宋_GB2312" w:cs="仿宋_GB2312"/>
          <w:kern w:val="2"/>
          <w:sz w:val="32"/>
          <w:szCs w:val="32"/>
          <w:lang w:val="zh-CN" w:eastAsia="zh-CN" w:bidi="ar-SA"/>
        </w:rPr>
        <w:t>整改反馈方面：州科协党组针对审计、财政指出的问题，进行认真思考整改，进一步强化绩效考核意识，提高绩效考核工作质量并纳入全单位工作考核目标；优化细化预算编制，重视对经济科目的编制；能够对财政委派的检查组在规范会计基础工作专项行动现场抽查提出的问题写出报告说明及时进行整改，并归档妥善保管专卷备查。我们在单位开展部门整体支出绩效管理工作自查自评中，内容完整、观点客观、建议举措具有一定价值，工作中能够对照财政要求、审计问题按照规章制度严格执行立即整改。</w:t>
      </w:r>
    </w:p>
    <w:p w14:paraId="7D4318DA">
      <w:pPr>
        <w:ind w:firstLine="640" w:firstLineChars="200"/>
        <w:rPr>
          <w:rFonts w:ascii="黑体" w:hAnsi="黑体" w:eastAsia="黑体"/>
          <w:sz w:val="32"/>
          <w:szCs w:val="32"/>
        </w:rPr>
      </w:pPr>
      <w:r>
        <w:rPr>
          <w:rFonts w:hint="eastAsia" w:ascii="黑体" w:hAnsi="黑体" w:eastAsia="黑体"/>
          <w:sz w:val="32"/>
          <w:szCs w:val="32"/>
        </w:rPr>
        <w:t>四、评价结论及建议</w:t>
      </w:r>
    </w:p>
    <w:p w14:paraId="112EF11E">
      <w:pPr>
        <w:ind w:firstLine="643" w:firstLineChars="200"/>
        <w:rPr>
          <w:rFonts w:hint="eastAsia" w:eastAsia="仿宋_GB2312"/>
          <w:color w:val="FF0000"/>
          <w:sz w:val="32"/>
          <w:szCs w:val="32"/>
          <w:lang w:val="zh-CN"/>
        </w:rPr>
      </w:pPr>
      <w:r>
        <w:rPr>
          <w:rFonts w:hint="eastAsia" w:ascii="楷体_GB2312" w:eastAsia="楷体_GB2312"/>
          <w:b/>
          <w:sz w:val="32"/>
          <w:szCs w:val="32"/>
        </w:rPr>
        <w:t>（一）评价结论</w:t>
      </w:r>
    </w:p>
    <w:p w14:paraId="2880D3EB">
      <w:pPr>
        <w:pStyle w:val="5"/>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我单位对照“2023年凉山州部门预算绩效评价指标体系”内容，对部门预算总体绩效，部门预算项目绩效、专项预算绩效、结果应用、自评质量情况五个方面中的各细项进行自评打分，总体扣分3分，得分97分。</w:t>
      </w:r>
    </w:p>
    <w:p w14:paraId="1EDDEDBF">
      <w:pPr>
        <w:numPr>
          <w:ilvl w:val="0"/>
          <w:numId w:val="6"/>
        </w:numPr>
        <w:ind w:firstLine="643" w:firstLineChars="200"/>
        <w:rPr>
          <w:rFonts w:hint="eastAsia" w:eastAsia="仿宋_GB2312"/>
          <w:color w:val="FF0000"/>
          <w:sz w:val="32"/>
          <w:szCs w:val="32"/>
          <w:lang w:val="zh-CN"/>
        </w:rPr>
      </w:pPr>
      <w:r>
        <w:rPr>
          <w:rFonts w:hint="eastAsia" w:ascii="楷体_GB2312" w:eastAsia="楷体_GB2312"/>
          <w:b/>
          <w:sz w:val="32"/>
          <w:szCs w:val="32"/>
        </w:rPr>
        <w:t>存在问题</w:t>
      </w:r>
    </w:p>
    <w:p w14:paraId="20139766">
      <w:pPr>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预算编制有待优化，预算编制与实际支出项目有的存在差异。预算拨付滞后。部分专项资金财政下拨晚，预算资金使用的管理上有待加强，应按预算进度及时支付，完成工作，避免资金滞留账上。</w:t>
      </w:r>
    </w:p>
    <w:p w14:paraId="75FE188F">
      <w:pPr>
        <w:numPr>
          <w:ilvl w:val="0"/>
          <w:numId w:val="6"/>
        </w:numPr>
        <w:ind w:left="0" w:leftChars="0" w:firstLine="643" w:firstLineChars="200"/>
        <w:rPr>
          <w:rFonts w:hint="eastAsia" w:ascii="楷体_GB2312" w:eastAsia="楷体_GB2312"/>
          <w:b/>
          <w:sz w:val="32"/>
          <w:szCs w:val="32"/>
        </w:rPr>
      </w:pPr>
      <w:r>
        <w:rPr>
          <w:rFonts w:hint="eastAsia" w:ascii="楷体_GB2312" w:eastAsia="楷体_GB2312"/>
          <w:b/>
          <w:sz w:val="32"/>
          <w:szCs w:val="32"/>
        </w:rPr>
        <w:t>改进建议</w:t>
      </w:r>
    </w:p>
    <w:p w14:paraId="46DA296A">
      <w:pPr>
        <w:numPr>
          <w:numId w:val="0"/>
        </w:numPr>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一是进一步强化绩效考核意识，加强绩效中期评估工作，将绩效考核工作纳入部门工作目标；二是优化预算编制，尽可能的编制与实际支出相符的经济科目；三是強调项目跟踪监测，提高财政资金使用效率。</w:t>
      </w:r>
    </w:p>
    <w:p w14:paraId="0B46AD51">
      <w:pPr>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建议:绩效管理工作是一项政策性综合业务性极强的工作，不是财务部门写算能够落实完成的。希望财政部门能够协调具体措施落实单位各部门共同完成此项工作，使此项工作能够达到设计高层预期的目标。</w:t>
      </w:r>
    </w:p>
    <w:p w14:paraId="58E8D53C">
      <w:pPr>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特此报告。</w:t>
      </w:r>
    </w:p>
    <w:p w14:paraId="7D4E79F6">
      <w:pPr>
        <w:pStyle w:val="5"/>
        <w:numPr>
          <w:ilvl w:val="0"/>
          <w:numId w:val="0"/>
        </w:numPr>
        <w:ind w:leftChars="200"/>
        <w:rPr>
          <w:lang w:val="zh-CN"/>
        </w:rPr>
      </w:pPr>
    </w:p>
    <w:p w14:paraId="4B491A53">
      <w:pPr>
        <w:rPr>
          <w:lang w:val="zh-CN"/>
        </w:rPr>
      </w:pPr>
    </w:p>
    <w:p w14:paraId="30B7F9AA">
      <w:pPr>
        <w:pStyle w:val="10"/>
        <w:rPr>
          <w:rFonts w:hint="default"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2024年10月6日</w:t>
      </w:r>
    </w:p>
    <w:p w14:paraId="53C41A9E">
      <w:pPr>
        <w:ind w:firstLine="640" w:firstLineChars="200"/>
        <w:rPr>
          <w:rFonts w:hint="eastAsia" w:asciiTheme="minorEastAsia" w:hAnsiTheme="minorEastAsia" w:eastAsiaTheme="minorEastAsia"/>
          <w:color w:val="FF0000"/>
          <w:sz w:val="32"/>
          <w:szCs w:val="32"/>
          <w:lang w:val="zh-CN"/>
        </w:rPr>
      </w:pPr>
    </w:p>
    <w:p w14:paraId="72DB2C99">
      <w:pPr>
        <w:ind w:firstLine="640" w:firstLineChars="200"/>
        <w:rPr>
          <w:rFonts w:hint="eastAsia" w:asciiTheme="minorEastAsia" w:hAnsiTheme="minorEastAsia" w:eastAsiaTheme="minorEastAsia"/>
          <w:color w:val="FF0000"/>
          <w:sz w:val="32"/>
          <w:szCs w:val="32"/>
          <w:lang w:val="zh-CN"/>
        </w:rPr>
      </w:pPr>
    </w:p>
    <w:p w14:paraId="10C1B6D4">
      <w:pPr>
        <w:ind w:firstLine="640" w:firstLineChars="200"/>
        <w:rPr>
          <w:rFonts w:hint="eastAsia" w:asciiTheme="minorEastAsia" w:hAnsiTheme="minorEastAsia" w:eastAsiaTheme="minorEastAsia"/>
          <w:color w:val="FF0000"/>
          <w:sz w:val="32"/>
          <w:szCs w:val="32"/>
          <w:lang w:val="zh-CN"/>
        </w:rPr>
      </w:pPr>
    </w:p>
    <w:p w14:paraId="0689FA73">
      <w:pPr>
        <w:ind w:firstLine="640" w:firstLineChars="200"/>
        <w:rPr>
          <w:rFonts w:hint="eastAsia" w:asciiTheme="minorEastAsia" w:hAnsiTheme="minorEastAsia" w:eastAsiaTheme="minorEastAsia"/>
          <w:color w:val="FF0000"/>
          <w:sz w:val="32"/>
          <w:szCs w:val="32"/>
          <w:lang w:val="zh-CN"/>
        </w:rPr>
      </w:pPr>
    </w:p>
    <w:p w14:paraId="66D18B8E">
      <w:pPr>
        <w:ind w:firstLine="640" w:firstLineChars="200"/>
        <w:rPr>
          <w:rFonts w:hint="eastAsia" w:asciiTheme="minorEastAsia" w:hAnsiTheme="minorEastAsia" w:eastAsiaTheme="minorEastAsia"/>
          <w:color w:val="FF0000"/>
          <w:sz w:val="32"/>
          <w:szCs w:val="32"/>
          <w:lang w:val="zh-CN"/>
        </w:rPr>
      </w:pPr>
    </w:p>
    <w:p w14:paraId="73312102">
      <w:pPr>
        <w:ind w:firstLine="640" w:firstLineChars="200"/>
        <w:rPr>
          <w:rFonts w:hint="eastAsia" w:asciiTheme="minorEastAsia" w:hAnsiTheme="minorEastAsia" w:eastAsiaTheme="minorEastAsia"/>
          <w:color w:val="FF0000"/>
          <w:sz w:val="32"/>
          <w:szCs w:val="32"/>
          <w:lang w:val="zh-CN"/>
        </w:rPr>
      </w:pPr>
    </w:p>
    <w:p w14:paraId="1FB52E3D">
      <w:pPr>
        <w:ind w:firstLine="640" w:firstLineChars="200"/>
        <w:rPr>
          <w:rFonts w:hint="eastAsia" w:asciiTheme="minorEastAsia" w:hAnsiTheme="minorEastAsia" w:eastAsiaTheme="minorEastAsia"/>
          <w:color w:val="FF0000"/>
          <w:sz w:val="32"/>
          <w:szCs w:val="32"/>
          <w:lang w:val="zh-CN"/>
        </w:rPr>
      </w:pPr>
    </w:p>
    <w:p w14:paraId="37EDB08F">
      <w:pPr>
        <w:snapToGrid w:val="0"/>
        <w:spacing w:line="560" w:lineRule="exact"/>
        <w:jc w:val="both"/>
        <w:rPr>
          <w:rFonts w:hint="default" w:ascii="方正小标宋_GBK" w:hAnsi="宋体" w:eastAsia="方正小标宋_GBK" w:cs="宋体"/>
          <w:bCs/>
          <w:color w:val="000000"/>
          <w:kern w:val="0"/>
          <w:sz w:val="30"/>
          <w:szCs w:val="30"/>
          <w:shd w:val="clear" w:color="auto" w:fill="FFFFFF"/>
          <w:lang w:val="en-US" w:eastAsia="zh-CN"/>
        </w:rPr>
      </w:pPr>
      <w:r>
        <w:rPr>
          <w:rFonts w:hint="eastAsia" w:ascii="方正小标宋_GBK" w:hAnsi="宋体" w:eastAsia="方正小标宋_GBK" w:cs="宋体"/>
          <w:bCs/>
          <w:color w:val="000000"/>
          <w:kern w:val="0"/>
          <w:sz w:val="30"/>
          <w:szCs w:val="30"/>
          <w:shd w:val="clear" w:color="auto" w:fill="FFFFFF"/>
          <w:lang w:val="zh-CN" w:eastAsia="zh-CN"/>
        </w:rPr>
        <w:t>附件</w:t>
      </w:r>
      <w:r>
        <w:rPr>
          <w:rFonts w:hint="eastAsia" w:ascii="方正小标宋_GBK" w:hAnsi="宋体" w:eastAsia="方正小标宋_GBK" w:cs="宋体"/>
          <w:bCs/>
          <w:color w:val="000000"/>
          <w:kern w:val="0"/>
          <w:sz w:val="30"/>
          <w:szCs w:val="30"/>
          <w:shd w:val="clear" w:color="auto" w:fill="FFFFFF"/>
          <w:lang w:val="en-US" w:eastAsia="zh-CN"/>
        </w:rPr>
        <w:t>2-1：</w:t>
      </w:r>
    </w:p>
    <w:p w14:paraId="4CA02E5D">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凉山州科学技术协会</w:t>
      </w:r>
    </w:p>
    <w:p w14:paraId="19C3E9C9">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2023年“凉山州科学技术协会换届选举项目”绩效自评报告</w:t>
      </w:r>
    </w:p>
    <w:p w14:paraId="72F7FF6A">
      <w:pPr>
        <w:pStyle w:val="5"/>
      </w:pPr>
    </w:p>
    <w:p w14:paraId="3E2D362F">
      <w:pPr>
        <w:rPr>
          <w:rFonts w:eastAsia="仿宋_GB2312"/>
          <w:sz w:val="32"/>
          <w:szCs w:val="32"/>
          <w:lang w:val="zh-CN"/>
        </w:rPr>
      </w:pPr>
    </w:p>
    <w:p w14:paraId="1BA7458C">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14:paraId="3A182A8D">
      <w:pPr>
        <w:ind w:firstLine="643" w:firstLineChars="200"/>
        <w:rPr>
          <w:rFonts w:hint="eastAsia" w:eastAsia="仿宋_GB2312"/>
          <w:color w:val="FF0000"/>
          <w:sz w:val="32"/>
          <w:szCs w:val="32"/>
          <w:lang w:val="zh-CN"/>
        </w:rPr>
      </w:pPr>
      <w:r>
        <w:rPr>
          <w:rFonts w:hint="eastAsia" w:ascii="楷体_GB2312" w:eastAsia="楷体_GB2312"/>
          <w:b/>
          <w:sz w:val="32"/>
          <w:szCs w:val="32"/>
          <w:lang w:val="zh-CN"/>
        </w:rPr>
        <w:t>（一）设立背景及基本情况</w:t>
      </w:r>
    </w:p>
    <w:p w14:paraId="61553FD9">
      <w:pPr>
        <w:pStyle w:val="38"/>
        <w:spacing w:line="560" w:lineRule="exact"/>
        <w:ind w:firstLine="664" w:firstLineChars="200"/>
        <w:rPr>
          <w:rFonts w:hint="eastAsia" w:ascii="仿宋_GB2312" w:hAnsi="仿宋_GB2312" w:eastAsia="仿宋_GB2312" w:cs="仿宋_GB2312"/>
          <w:sz w:val="32"/>
          <w:szCs w:val="32"/>
        </w:rPr>
      </w:pPr>
      <w:r>
        <w:rPr>
          <w:rFonts w:hint="eastAsia" w:hAnsi="仿宋_GB2312" w:cs="仿宋_GB2312"/>
          <w:color w:val="auto"/>
          <w:spacing w:val="6"/>
          <w:szCs w:val="32"/>
          <w:shd w:val="clear" w:color="auto" w:fill="FFFFFF"/>
          <w:lang w:eastAsia="zh-CN"/>
        </w:rPr>
        <w:t>凉山州科协承担着全州科普宣传、学术交流、青少年科技教育实践、提高全民科学素质、全力推进科普建设、科技创新，为全州各级政府决策和科研工作者服好务。</w:t>
      </w:r>
      <w:r>
        <w:rPr>
          <w:rFonts w:hint="eastAsia" w:ascii="仿宋_GB2312" w:hAnsi="仿宋_GB2312" w:eastAsia="仿宋_GB2312" w:cs="仿宋_GB2312"/>
          <w:sz w:val="32"/>
          <w:szCs w:val="32"/>
        </w:rPr>
        <w:t>项目立项基于为</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州科协注入新的活力，更好地服务全州科技工作者和推动凉山科技事业发展</w:t>
      </w:r>
      <w:r>
        <w:rPr>
          <w:rFonts w:hint="eastAsia" w:hAnsi="仿宋_GB2312" w:cs="仿宋_GB2312"/>
          <w:sz w:val="32"/>
          <w:szCs w:val="32"/>
          <w:lang w:eastAsia="zh-CN"/>
        </w:rPr>
        <w:t>，按照</w:t>
      </w:r>
      <w:r>
        <w:rPr>
          <w:rFonts w:hint="eastAsia" w:ascii="仿宋_GB2312" w:hAnsi="仿宋_GB2312" w:eastAsia="仿宋_GB2312" w:cs="仿宋_GB2312"/>
          <w:sz w:val="32"/>
          <w:szCs w:val="32"/>
        </w:rPr>
        <w:t>《中国科学技术协会章程》及相关选举法规</w:t>
      </w:r>
      <w:r>
        <w:rPr>
          <w:rFonts w:hint="eastAsia" w:hAnsi="仿宋_GB2312" w:cs="仿宋_GB2312"/>
          <w:sz w:val="32"/>
          <w:szCs w:val="32"/>
          <w:lang w:eastAsia="zh-CN"/>
        </w:rPr>
        <w:t>进行。</w:t>
      </w:r>
      <w:r>
        <w:rPr>
          <w:rFonts w:hint="eastAsia" w:ascii="仿宋_GB2312" w:hAnsi="仿宋_GB2312" w:eastAsia="仿宋_GB2312" w:cs="仿宋_GB2312"/>
          <w:sz w:val="32"/>
          <w:szCs w:val="32"/>
        </w:rPr>
        <w:t>资金申报得到了州委、州政府的批准和财政局的支持。本项目的主要内容包括组织州科协换届选举的筹备工作、实施选举过程以及选举后的总结与交接。公开、公平、公正选举产生的新一届州科协领导班子具备较高的领导能力和专业水平</w:t>
      </w:r>
      <w:r>
        <w:rPr>
          <w:rFonts w:hint="eastAsia" w:hAnsi="仿宋_GB2312" w:cs="仿宋_GB2312"/>
          <w:sz w:val="32"/>
          <w:szCs w:val="32"/>
          <w:lang w:eastAsia="zh-CN"/>
        </w:rPr>
        <w:t>，</w:t>
      </w:r>
      <w:r>
        <w:rPr>
          <w:rFonts w:hint="eastAsia" w:ascii="仿宋_GB2312" w:hAnsi="仿宋_GB2312" w:eastAsia="仿宋_GB2312" w:cs="仿宋_GB2312"/>
          <w:sz w:val="32"/>
          <w:szCs w:val="32"/>
        </w:rPr>
        <w:t>确保州科协工作的连续性。</w:t>
      </w:r>
    </w:p>
    <w:p w14:paraId="0D0BF07C">
      <w:pPr>
        <w:numPr>
          <w:ilvl w:val="0"/>
          <w:numId w:val="0"/>
        </w:numPr>
        <w:ind w:firstLine="643" w:firstLineChars="200"/>
        <w:rPr>
          <w:rFonts w:hint="eastAsia" w:eastAsia="仿宋_GB2312"/>
          <w:sz w:val="32"/>
          <w:szCs w:val="32"/>
          <w:lang w:val="zh-CN"/>
        </w:rPr>
      </w:pPr>
      <w:r>
        <w:rPr>
          <w:rFonts w:hint="eastAsia" w:ascii="楷体_GB2312" w:eastAsia="楷体_GB2312"/>
          <w:b/>
          <w:sz w:val="32"/>
          <w:szCs w:val="32"/>
          <w:lang w:val="zh-CN"/>
        </w:rPr>
        <w:t>（二）实施目的及支持方向</w:t>
      </w:r>
    </w:p>
    <w:p w14:paraId="1CDC759E">
      <w:pPr>
        <w:pStyle w:val="3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项目资金管理严格按照</w:t>
      </w:r>
      <w:r>
        <w:rPr>
          <w:rFonts w:hint="eastAsia" w:ascii="仿宋_GB2312" w:hAnsi="仿宋_GB2312" w:eastAsia="仿宋_GB2312" w:cs="仿宋_GB2312"/>
          <w:sz w:val="32"/>
          <w:szCs w:val="32"/>
        </w:rPr>
        <w:t>财务管理制度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凉山州州直机关会议费管理办法》（凉委办</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73号</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eastAsia="zh-CN"/>
        </w:rPr>
        <w:t>《凉山州财政局关于厉行节约相关制度办法有关问题解答的通知》</w:t>
      </w:r>
      <w:r>
        <w:rPr>
          <w:rFonts w:hint="eastAsia" w:ascii="仿宋_GB2312" w:hAnsi="仿宋_GB2312" w:eastAsia="仿宋_GB2312" w:cs="仿宋_GB2312"/>
          <w:sz w:val="32"/>
          <w:szCs w:val="32"/>
          <w:lang w:val="zh-CN"/>
        </w:rPr>
        <w:t>（凉财行</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28号</w:t>
      </w:r>
      <w:r>
        <w:rPr>
          <w:rFonts w:hint="eastAsia" w:ascii="仿宋_GB2312" w:hAnsi="仿宋_GB2312" w:eastAsia="仿宋_GB2312" w:cs="仿宋_GB2312"/>
          <w:sz w:val="32"/>
          <w:szCs w:val="32"/>
          <w:lang w:val="zh-CN"/>
        </w:rPr>
        <w:t>）等</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建立了专账进行核算，账务处理及时、准确，会计核算规范</w:t>
      </w:r>
      <w:r>
        <w:rPr>
          <w:rFonts w:hint="eastAsia" w:hAnsi="仿宋_GB2312" w:cs="仿宋_GB2312"/>
          <w:sz w:val="32"/>
          <w:szCs w:val="32"/>
          <w:lang w:eastAsia="zh-CN"/>
        </w:rPr>
        <w:t>。项目实施</w:t>
      </w:r>
      <w:r>
        <w:rPr>
          <w:rFonts w:hint="eastAsia" w:ascii="仿宋_GB2312" w:hAnsi="仿宋_GB2312" w:eastAsia="仿宋_GB2312" w:cs="仿宋_GB2312"/>
          <w:sz w:val="32"/>
          <w:szCs w:val="32"/>
        </w:rPr>
        <w:t>的</w:t>
      </w:r>
      <w:r>
        <w:rPr>
          <w:rFonts w:hint="eastAsia" w:hAnsi="仿宋_GB2312" w:cs="仿宋_GB2312"/>
          <w:sz w:val="32"/>
          <w:szCs w:val="32"/>
          <w:lang w:eastAsia="zh-CN"/>
        </w:rPr>
        <w:t>目的和</w:t>
      </w:r>
      <w:r>
        <w:rPr>
          <w:rFonts w:hint="eastAsia" w:ascii="仿宋_GB2312" w:hAnsi="仿宋_GB2312" w:eastAsia="仿宋_GB2312" w:cs="仿宋_GB2312"/>
          <w:sz w:val="32"/>
          <w:szCs w:val="32"/>
        </w:rPr>
        <w:t>主要内容包括组织州科协换届选举的筹备工作、实施选举过程以及选举后的总结与交接。</w:t>
      </w:r>
      <w:r>
        <w:rPr>
          <w:rFonts w:hint="eastAsia" w:eastAsia="仿宋_GB2312"/>
          <w:sz w:val="32"/>
          <w:szCs w:val="32"/>
          <w:lang w:val="zh-CN"/>
        </w:rPr>
        <w:t>项目支持方向</w:t>
      </w:r>
      <w:r>
        <w:rPr>
          <w:rFonts w:hint="eastAsia"/>
          <w:sz w:val="32"/>
          <w:szCs w:val="32"/>
          <w:lang w:val="zh-CN"/>
        </w:rPr>
        <w:t>为</w:t>
      </w:r>
      <w:r>
        <w:rPr>
          <w:rFonts w:hint="eastAsia" w:ascii="仿宋_GB2312" w:hAnsi="仿宋_GB2312" w:eastAsia="仿宋_GB2312" w:cs="仿宋_GB2312"/>
          <w:sz w:val="32"/>
          <w:szCs w:val="32"/>
        </w:rPr>
        <w:t>公开、公平、公正选举产生的新一届州科协领导班子具备较高的领导能力和专业水平</w:t>
      </w:r>
      <w:r>
        <w:rPr>
          <w:rFonts w:hint="eastAsia" w:hAnsi="仿宋_GB2312" w:cs="仿宋_GB2312"/>
          <w:sz w:val="32"/>
          <w:szCs w:val="32"/>
          <w:lang w:eastAsia="zh-CN"/>
        </w:rPr>
        <w:t>，</w:t>
      </w:r>
      <w:r>
        <w:rPr>
          <w:rFonts w:hint="eastAsia" w:ascii="仿宋_GB2312" w:hAnsi="仿宋_GB2312" w:eastAsia="仿宋_GB2312" w:cs="仿宋_GB2312"/>
          <w:sz w:val="32"/>
          <w:szCs w:val="32"/>
        </w:rPr>
        <w:t>确保州科协工作的连续性。</w:t>
      </w:r>
    </w:p>
    <w:p w14:paraId="42D3F55A">
      <w:pPr>
        <w:numPr>
          <w:ilvl w:val="0"/>
          <w:numId w:val="0"/>
        </w:numPr>
        <w:ind w:firstLine="643" w:firstLineChars="200"/>
        <w:rPr>
          <w:rFonts w:hint="eastAsia" w:eastAsia="仿宋_GB2312"/>
          <w:color w:val="FF0000"/>
          <w:sz w:val="32"/>
          <w:szCs w:val="32"/>
          <w:lang w:val="zh-CN"/>
        </w:rPr>
      </w:pPr>
      <w:r>
        <w:rPr>
          <w:rFonts w:hint="eastAsia" w:ascii="楷体_GB2312" w:eastAsia="楷体_GB2312"/>
          <w:b/>
          <w:sz w:val="32"/>
          <w:szCs w:val="32"/>
          <w:lang w:val="zh-CN"/>
        </w:rPr>
        <w:t>（三）预算安排及分配管理</w:t>
      </w:r>
    </w:p>
    <w:p w14:paraId="7977EC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本项目资金申报经过</w:t>
      </w:r>
      <w:r>
        <w:rPr>
          <w:rFonts w:hint="eastAsia" w:ascii="仿宋_GB2312" w:hAnsi="仿宋_GB2312" w:eastAsia="仿宋_GB2312" w:cs="仿宋_GB2312"/>
          <w:sz w:val="32"/>
          <w:szCs w:val="32"/>
          <w:lang w:eastAsia="zh-CN"/>
        </w:rPr>
        <w:t>州委州政府</w:t>
      </w:r>
      <w:r>
        <w:rPr>
          <w:rFonts w:hint="eastAsia" w:ascii="仿宋_GB2312" w:hAnsi="仿宋_GB2312" w:eastAsia="仿宋_GB2312" w:cs="仿宋_GB2312"/>
          <w:sz w:val="32"/>
          <w:szCs w:val="32"/>
        </w:rPr>
        <w:t>严格的审查程序，最终编入2022年部门预算，并以《凉山州财政局关于批复州级2022年部门预算的通知》凉财预（2022）1号给予批复。预算编制严格按照相关</w:t>
      </w:r>
      <w:r>
        <w:rPr>
          <w:rFonts w:hint="eastAsia" w:ascii="仿宋_GB2312" w:hAnsi="仿宋_GB2312" w:eastAsia="仿宋_GB2312" w:cs="仿宋_GB2312"/>
          <w:sz w:val="32"/>
          <w:szCs w:val="32"/>
          <w:lang w:eastAsia="zh-CN"/>
        </w:rPr>
        <w:t>规定以二类会议费标准</w:t>
      </w:r>
      <w:r>
        <w:rPr>
          <w:rFonts w:hint="eastAsia" w:ascii="仿宋_GB2312" w:hAnsi="仿宋_GB2312" w:eastAsia="仿宋_GB2312" w:cs="仿宋_GB2312"/>
          <w:sz w:val="32"/>
          <w:szCs w:val="32"/>
        </w:rPr>
        <w:t>进行，资金主要用于换届会议所需材料印制、委托第三方专业人员宣传片拍摄制作费、会场设计安装布置费、摄像劳务费、会场租用费、参会代表食宿费等</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44.84万元</w:t>
      </w:r>
      <w:r>
        <w:rPr>
          <w:rFonts w:hint="eastAsia" w:ascii="仿宋_GB2312" w:hAnsi="仿宋_GB2312" w:eastAsia="仿宋_GB2312" w:cs="仿宋_GB2312"/>
          <w:sz w:val="32"/>
          <w:szCs w:val="32"/>
        </w:rPr>
        <w:t>。但由于新冠疫情严峻，无法在当年如期举行，年终由州财政将指标如数收回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2023年凉山州财政局以凉财教（2023）2号文如数结转返还“凉山州科学技术协会换届选举项目”专项资金44.84万元。项目所需资金即全部到位，资金到位率达到了100%。</w:t>
      </w:r>
    </w:p>
    <w:p w14:paraId="7F94FDC5">
      <w:pPr>
        <w:numPr>
          <w:numId w:val="0"/>
        </w:numPr>
        <w:ind w:leftChars="200"/>
        <w:rPr>
          <w:rFonts w:hint="eastAsia" w:eastAsia="仿宋_GB2312"/>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zh-CN" w:eastAsia="zh-CN"/>
        </w:rPr>
        <w:t>四</w:t>
      </w:r>
      <w:r>
        <w:rPr>
          <w:rFonts w:hint="eastAsia" w:ascii="楷体_GB2312" w:eastAsia="楷体_GB2312"/>
          <w:b/>
          <w:sz w:val="32"/>
          <w:szCs w:val="32"/>
          <w:lang w:val="zh-CN"/>
        </w:rPr>
        <w:t>）项目绩效目标设置</w:t>
      </w:r>
    </w:p>
    <w:p w14:paraId="2E7505B0">
      <w:pPr>
        <w:spacing w:line="560" w:lineRule="exact"/>
        <w:ind w:firstLine="640" w:firstLineChars="200"/>
        <w:rPr>
          <w:rFonts w:hint="eastAsia" w:ascii="仿宋_GB2312" w:hAnsi="仿宋_GB2312" w:eastAsia="仿宋_GB2312" w:cs="仿宋_GB2312"/>
          <w:color w:val="auto"/>
          <w:spacing w:val="6"/>
          <w:sz w:val="32"/>
          <w:szCs w:val="32"/>
          <w:shd w:val="clear" w:color="auto" w:fill="FFFFFF"/>
          <w:lang w:eastAsia="zh-CN"/>
        </w:rPr>
      </w:pPr>
      <w:r>
        <w:rPr>
          <w:rFonts w:hint="eastAsia" w:ascii="仿宋_GB2312" w:hAnsi="仿宋_GB2312" w:eastAsia="仿宋_GB2312" w:cs="仿宋_GB2312"/>
          <w:sz w:val="32"/>
          <w:szCs w:val="32"/>
          <w:lang w:eastAsia="zh-CN"/>
        </w:rPr>
        <w:t>项目绩效目标设置为</w:t>
      </w:r>
      <w:r>
        <w:rPr>
          <w:rFonts w:hint="eastAsia" w:ascii="仿宋_GB2312" w:hAnsi="仿宋_GB2312" w:eastAsia="仿宋_GB2312" w:cs="仿宋_GB2312"/>
          <w:sz w:val="32"/>
          <w:szCs w:val="32"/>
        </w:rPr>
        <w:t>选举产生具备较强的领导能力和专业水平的新一届科协领导班子，为科协未来的发展奠定坚实的基础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确保州科协工作的连续性。</w:t>
      </w:r>
      <w:r>
        <w:rPr>
          <w:rFonts w:hint="eastAsia" w:ascii="仿宋_GB2312" w:hAnsi="仿宋_GB2312" w:eastAsia="仿宋_GB2312" w:cs="仿宋_GB2312"/>
          <w:sz w:val="32"/>
          <w:szCs w:val="32"/>
          <w:lang w:eastAsia="zh-CN"/>
        </w:rPr>
        <w:t>选举结束后</w:t>
      </w:r>
      <w:r>
        <w:rPr>
          <w:rFonts w:hint="eastAsia" w:ascii="仿宋_GB2312" w:hAnsi="仿宋_GB2312" w:eastAsia="仿宋_GB2312" w:cs="仿宋_GB2312"/>
          <w:color w:val="auto"/>
          <w:spacing w:val="6"/>
          <w:sz w:val="32"/>
          <w:szCs w:val="32"/>
          <w:shd w:val="clear" w:color="auto" w:fill="FFFFFF"/>
          <w:lang w:eastAsia="zh-CN"/>
        </w:rPr>
        <w:t>，</w:t>
      </w:r>
      <w:r>
        <w:rPr>
          <w:rFonts w:hint="eastAsia" w:ascii="仿宋_GB2312" w:hAnsi="仿宋_GB2312" w:eastAsia="仿宋_GB2312" w:cs="仿宋_GB2312"/>
          <w:sz w:val="32"/>
          <w:szCs w:val="32"/>
          <w:lang w:eastAsia="zh-CN"/>
        </w:rPr>
        <w:t>即组织了自评总结，对</w:t>
      </w:r>
      <w:r>
        <w:rPr>
          <w:rFonts w:hint="eastAsia" w:ascii="仿宋_GB2312" w:hAnsi="仿宋_GB2312" w:eastAsia="仿宋_GB2312" w:cs="仿宋_GB2312"/>
          <w:color w:val="auto"/>
          <w:spacing w:val="6"/>
          <w:sz w:val="32"/>
          <w:szCs w:val="32"/>
          <w:shd w:val="clear" w:color="auto" w:fill="FFFFFF"/>
          <w:lang w:eastAsia="zh-CN"/>
        </w:rPr>
        <w:t>实施情况、完成结果等内容进行梳理，形成专题报告在川京瞭望、四川经济网、凉山日报、掌上凉山等多媒体进行报道。接受社会监督，确保选举工作的透明度和公信力。</w:t>
      </w:r>
    </w:p>
    <w:p w14:paraId="7AFAAC03">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35A8C463">
      <w:pPr>
        <w:ind w:firstLine="643" w:firstLineChars="200"/>
        <w:rPr>
          <w:rFonts w:hint="eastAsia" w:eastAsia="仿宋_GB2312"/>
          <w:color w:val="FF0000"/>
          <w:sz w:val="32"/>
          <w:szCs w:val="32"/>
          <w:lang w:val="zh-CN"/>
        </w:rPr>
      </w:pPr>
      <w:r>
        <w:rPr>
          <w:rFonts w:hint="eastAsia" w:ascii="楷体_GB2312" w:eastAsia="楷体_GB2312"/>
          <w:b/>
          <w:sz w:val="32"/>
          <w:szCs w:val="32"/>
          <w:lang w:val="zh-CN"/>
        </w:rPr>
        <w:t>（一）评价目的</w:t>
      </w:r>
    </w:p>
    <w:p w14:paraId="796DEF7E">
      <w:pPr>
        <w:widowControl w:val="0"/>
        <w:kinsoku/>
        <w:autoSpaceDE/>
        <w:autoSpaceDN/>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项目绩效自评，切实体现“用钱必问效、无效必问责”的财政项目资金绩效目标原则。监督项目资金是否遵守相关法律法规专款专用、有无偏离度、是否超范围超标准等使用情况，以及取得的社会效益，了解项目实施过程中与会代表获得感和满意度等情况，为后期确保科普专项资金使用安全高效提供决策依据，不断推进财政资金科学化、精细化管理。</w:t>
      </w:r>
    </w:p>
    <w:p w14:paraId="026C8AC4">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（二）预设问题及评价重点</w:t>
      </w:r>
    </w:p>
    <w:p w14:paraId="7E492AC4">
      <w:pPr>
        <w:widowControl w:val="0"/>
        <w:kinsoku/>
        <w:autoSpaceDE/>
        <w:autoSpaceDN/>
        <w:spacing w:line="560" w:lineRule="exact"/>
        <w:ind w:firstLine="643" w:firstLineChars="200"/>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1.预设问题：</w:t>
      </w:r>
    </w:p>
    <w:p w14:paraId="320760B5">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（1）项目目标是否明确、具体、可衡量？</w:t>
      </w:r>
    </w:p>
    <w:p w14:paraId="62535A52">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（2）项目是否按照预定的计划和时间表执行？</w:t>
      </w:r>
    </w:p>
    <w:p w14:paraId="7E0B4446">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（3）预算的使用是否合理、合规，有无超支或结余情况？</w:t>
      </w:r>
    </w:p>
    <w:p w14:paraId="1F1AF5BA">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（4）项目所产生的成果是否达到预期的质量标准？</w:t>
      </w:r>
    </w:p>
    <w:p w14:paraId="306D5064">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（5）项目的实施是否对社会公众产生了积极的影响？</w:t>
      </w:r>
    </w:p>
    <w:p w14:paraId="1AC8EEEC">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（6）项目是否有可持续性，即项目成果能否在未来持续发挥作用？</w:t>
      </w:r>
    </w:p>
    <w:p w14:paraId="52C37E01">
      <w:pPr>
        <w:widowControl w:val="0"/>
        <w:kinsoku/>
        <w:autoSpaceDE/>
        <w:autoSpaceDN/>
        <w:spacing w:line="560" w:lineRule="exact"/>
        <w:ind w:firstLine="643" w:firstLineChars="200"/>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2.评价重点</w:t>
      </w:r>
    </w:p>
    <w:p w14:paraId="6E07D822">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（1）对比项目设定的目标和实际完成的情况，评估目标实现程度。</w:t>
      </w:r>
    </w:p>
    <w:p w14:paraId="2351BC37">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（2）考评项目按照预定的计划和时间表执行、资金支付一致性情况。</w:t>
      </w:r>
    </w:p>
    <w:p w14:paraId="30C1BE81">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（3）考核预算资金的使用合法、合规、合理，专款专用情况。</w:t>
      </w:r>
    </w:p>
    <w:p w14:paraId="6A8815F3">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（4）考核项目产生的社会效益、可持续影响等绩效目标实现情况。</w:t>
      </w:r>
    </w:p>
    <w:p w14:paraId="2E0699B9">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（5）评价服务对象获得感和幸福感及满意度情况。</w:t>
      </w:r>
    </w:p>
    <w:p w14:paraId="6C385F61">
      <w:pPr>
        <w:ind w:firstLine="643" w:firstLineChars="200"/>
        <w:rPr>
          <w:rFonts w:hint="eastAsia" w:eastAsia="仿宋_GB2312"/>
          <w:color w:val="FF0000"/>
          <w:sz w:val="32"/>
          <w:szCs w:val="32"/>
          <w:lang w:val="zh-CN"/>
        </w:rPr>
      </w:pPr>
      <w:r>
        <w:rPr>
          <w:rFonts w:hint="eastAsia" w:ascii="楷体_GB2312" w:eastAsia="楷体_GB2312"/>
          <w:b/>
          <w:sz w:val="32"/>
          <w:szCs w:val="32"/>
          <w:lang w:val="zh-CN"/>
        </w:rPr>
        <w:t>（三）评价选点</w:t>
      </w:r>
    </w:p>
    <w:p w14:paraId="3341A28F">
      <w:pPr>
        <w:widowControl w:val="0"/>
        <w:kinsoku/>
        <w:autoSpaceDE/>
        <w:autoSpaceDN/>
        <w:spacing w:line="560" w:lineRule="exact"/>
        <w:ind w:firstLine="320" w:firstLineChars="100"/>
        <w:textAlignment w:val="auto"/>
        <w:rPr>
          <w:rFonts w:hint="eastAsia" w:eastAsia="仿宋_GB2312"/>
          <w:lang w:val="zh-CN" w:eastAsia="zh-CN"/>
        </w:rPr>
      </w:pPr>
      <w:r>
        <w:rPr>
          <w:rFonts w:hint="eastAsia" w:ascii="仿宋_GB2312" w:hAnsi="仿宋_GB2312" w:eastAsia="仿宋_GB2312" w:cs="仿宋_GB2312"/>
          <w:sz w:val="32"/>
          <w:szCs w:val="32"/>
        </w:rPr>
        <w:t>“凉山州科学技术协会换届选举项目”</w:t>
      </w:r>
      <w:r>
        <w:rPr>
          <w:rFonts w:hint="eastAsia" w:ascii="仿宋_GB2312" w:hAnsi="仿宋_GB2312" w:eastAsia="仿宋_GB2312" w:cs="仿宋_GB2312"/>
          <w:sz w:val="32"/>
          <w:szCs w:val="32"/>
          <w:lang w:eastAsia="zh-CN"/>
        </w:rPr>
        <w:t>从组织实施能力、资金到位率、是否按照二类会议标准合法合规合理使用、是否专款专用、有无超支结余、第三方承接完成数量质量、能否完成项目预定目标、所产生的社会效益等情况进行抽样评价。</w:t>
      </w:r>
    </w:p>
    <w:p w14:paraId="2610EE14">
      <w:pPr>
        <w:numPr>
          <w:ilvl w:val="0"/>
          <w:numId w:val="0"/>
        </w:numPr>
        <w:ind w:leftChars="200" w:firstLine="321" w:firstLineChars="100"/>
        <w:rPr>
          <w:rFonts w:hint="eastAsia" w:eastAsia="仿宋_GB2312"/>
          <w:color w:val="FF0000"/>
          <w:sz w:val="32"/>
          <w:szCs w:val="32"/>
          <w:lang w:val="zh-CN"/>
        </w:rPr>
      </w:pPr>
      <w:r>
        <w:rPr>
          <w:rFonts w:hint="eastAsia" w:ascii="楷体_GB2312" w:eastAsia="楷体_GB2312"/>
          <w:b/>
          <w:sz w:val="32"/>
          <w:szCs w:val="32"/>
          <w:lang w:val="zh-CN"/>
        </w:rPr>
        <w:t>（四）评价方法</w:t>
      </w:r>
    </w:p>
    <w:p w14:paraId="0B78737C">
      <w:pPr>
        <w:widowControl w:val="0"/>
        <w:kinsoku/>
        <w:autoSpaceDE/>
        <w:autoSpaceDN/>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州科协是项目组织、实施和监管的主管单位，州科协自评工作组</w:t>
      </w:r>
      <w:r>
        <w:rPr>
          <w:rFonts w:hint="eastAsia" w:ascii="仿宋_GB2312" w:hAnsi="仿宋_GB2312" w:eastAsia="仿宋_GB2312" w:cs="仿宋_GB2312"/>
          <w:sz w:val="32"/>
          <w:szCs w:val="32"/>
          <w:lang w:eastAsia="zh-CN"/>
        </w:rPr>
        <w:t>采取单位自评与</w:t>
      </w:r>
      <w:r>
        <w:rPr>
          <w:rFonts w:hint="eastAsia" w:ascii="仿宋_GB2312" w:hAnsi="仿宋_GB2312" w:eastAsia="仿宋_GB2312" w:cs="仿宋_GB2312"/>
          <w:sz w:val="32"/>
          <w:szCs w:val="32"/>
          <w:lang w:val="zh-CN" w:eastAsia="zh-CN"/>
        </w:rPr>
        <w:t>座谈调研法等</w:t>
      </w:r>
      <w:r>
        <w:rPr>
          <w:rFonts w:hint="eastAsia" w:ascii="仿宋_GB2312" w:hAnsi="仿宋_GB2312" w:eastAsia="仿宋_GB2312" w:cs="仿宋_GB2312"/>
          <w:sz w:val="32"/>
          <w:szCs w:val="32"/>
          <w:lang w:eastAsia="zh-CN"/>
        </w:rPr>
        <w:t>相结合的方式，对照</w:t>
      </w:r>
      <w:r>
        <w:rPr>
          <w:rFonts w:hint="eastAsia" w:ascii="仿宋_GB2312" w:hAnsi="仿宋_GB2312" w:eastAsia="仿宋_GB2312" w:cs="仿宋_GB2312"/>
          <w:sz w:val="32"/>
          <w:szCs w:val="32"/>
          <w:lang w:val="zh-CN" w:eastAsia="zh-CN"/>
        </w:rPr>
        <w:t>“部门预算项目支出绩效自评表（2023年度</w:t>
      </w:r>
      <w:r>
        <w:rPr>
          <w:rFonts w:hint="eastAsia" w:eastAsia="仿宋_GB2312"/>
          <w:sz w:val="32"/>
          <w:szCs w:val="32"/>
          <w:lang w:val="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结合项目内容特点逐项进行评价。</w:t>
      </w:r>
    </w:p>
    <w:p w14:paraId="63C281BD">
      <w:pPr>
        <w:numPr>
          <w:numId w:val="0"/>
        </w:numPr>
        <w:ind w:leftChars="200" w:firstLine="321" w:firstLineChars="100"/>
        <w:rPr>
          <w:rFonts w:hint="eastAsia" w:eastAsia="仿宋_GB2312"/>
          <w:color w:val="FF0000"/>
          <w:sz w:val="32"/>
          <w:szCs w:val="32"/>
          <w:lang w:val="zh-CN"/>
        </w:rPr>
      </w:pPr>
      <w:r>
        <w:rPr>
          <w:rFonts w:hint="eastAsia" w:ascii="楷体_GB2312" w:eastAsia="楷体_GB2312"/>
          <w:b/>
          <w:sz w:val="32"/>
          <w:szCs w:val="32"/>
          <w:lang w:val="zh-CN"/>
        </w:rPr>
        <w:t>（五）评价组织</w:t>
      </w:r>
    </w:p>
    <w:p w14:paraId="2952FCE1">
      <w:pPr>
        <w:pStyle w:val="3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lang w:val="en-US" w:eastAsia="zh-CN"/>
        </w:rPr>
      </w:pPr>
      <w:r>
        <w:rPr>
          <w:rFonts w:hint="eastAsia"/>
          <w:lang w:val="en-US" w:eastAsia="zh-CN"/>
        </w:rPr>
        <w:t>州科协组织临时评价组进行评价，主要参与人员由项目负责人吴家英、俄木乌洛，工作人员齐雯等参与。评价工作情况向副主席、主席逐级汇报。</w:t>
      </w:r>
    </w:p>
    <w:p w14:paraId="537EE698">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4A4AB6E7">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04405402">
      <w:pPr>
        <w:ind w:firstLine="640" w:firstLineChars="200"/>
        <w:rPr>
          <w:rFonts w:hint="eastAsia" w:eastAsia="仿宋_GB2312"/>
          <w:color w:val="FF0000"/>
          <w:sz w:val="32"/>
          <w:szCs w:val="32"/>
          <w:lang w:val="zh-CN"/>
        </w:rPr>
      </w:pPr>
      <w:r>
        <w:rPr>
          <w:rFonts w:hint="eastAsia" w:ascii="楷体_GB2312" w:eastAsia="楷体_GB2312"/>
          <w:color w:val="auto"/>
          <w:sz w:val="32"/>
          <w:szCs w:val="32"/>
          <w:lang w:val="zh-CN"/>
        </w:rPr>
        <w:t>1.项目决策</w:t>
      </w:r>
    </w:p>
    <w:p w14:paraId="3D5D8B5B">
      <w:pPr>
        <w:spacing w:line="560" w:lineRule="exact"/>
        <w:ind w:firstLine="720"/>
        <w:rPr>
          <w:rFonts w:hint="eastAsia" w:ascii="仿宋_GB2312" w:hAnsi="仿宋_GB2312" w:eastAsia="仿宋_GB2312" w:cs="仿宋_GB2312"/>
          <w:color w:val="auto"/>
          <w:spacing w:val="6"/>
          <w:sz w:val="32"/>
          <w:szCs w:val="32"/>
          <w:shd w:val="clear" w:color="auto" w:fill="FFFFFF"/>
          <w:lang w:eastAsia="zh-CN"/>
        </w:rPr>
      </w:pPr>
      <w:r>
        <w:rPr>
          <w:rFonts w:hint="eastAsia" w:ascii="仿宋_GB2312" w:hAnsi="仿宋_GB2312" w:eastAsia="仿宋_GB2312" w:cs="仿宋_GB2312"/>
          <w:color w:val="auto"/>
          <w:sz w:val="32"/>
          <w:szCs w:val="32"/>
          <w:lang w:eastAsia="zh-CN"/>
        </w:rPr>
        <w:t>州科协是项目组织、实施和监管的主管单位，</w:t>
      </w:r>
      <w:r>
        <w:rPr>
          <w:rFonts w:hint="eastAsia" w:ascii="仿宋_GB2312" w:hAnsi="仿宋_GB2312" w:eastAsia="仿宋_GB2312" w:cs="仿宋_GB2312"/>
          <w:color w:val="auto"/>
          <w:spacing w:val="6"/>
          <w:sz w:val="32"/>
          <w:szCs w:val="32"/>
          <w:shd w:val="clear" w:color="auto" w:fill="FFFFFF"/>
          <w:lang w:val="zh-CN" w:eastAsia="zh-CN"/>
        </w:rPr>
        <w:t>在项目决策和实施方面坚持“资金跟着项目走、项目跟着决策走”的理念，</w:t>
      </w:r>
      <w:r>
        <w:rPr>
          <w:rFonts w:hint="eastAsia" w:ascii="仿宋_GB2312" w:hAnsi="仿宋_GB2312" w:eastAsia="仿宋_GB2312" w:cs="仿宋_GB2312"/>
          <w:color w:val="auto"/>
          <w:spacing w:val="6"/>
          <w:sz w:val="32"/>
          <w:szCs w:val="32"/>
          <w:shd w:val="clear" w:color="auto" w:fill="FFFFFF"/>
          <w:lang w:eastAsia="zh-CN"/>
        </w:rPr>
        <w:t>项目决策程序严密、项目规划论证符合中省要求，项目绩效目标设置科学合理、项目资金使用严格按照二类会议标准、项目总体规划与行业事业发展相匹配，州科协党组项目资金预算上能够依法依规、深入调研统筹考虑。方案报送州委分管领导审签，并向州委派驻纪检组进行报备。</w:t>
      </w:r>
    </w:p>
    <w:p w14:paraId="23BA990D">
      <w:pPr>
        <w:spacing w:line="560" w:lineRule="exact"/>
        <w:ind w:firstLine="720"/>
        <w:rPr>
          <w:rFonts w:hint="eastAsia" w:eastAsia="仿宋_GB2312"/>
          <w:color w:val="FF0000"/>
          <w:sz w:val="32"/>
          <w:szCs w:val="32"/>
          <w:lang w:val="zh-CN"/>
        </w:rPr>
      </w:pPr>
      <w:r>
        <w:rPr>
          <w:rFonts w:hint="eastAsia" w:ascii="仿宋_GB2312" w:hAnsi="仿宋_GB2312" w:eastAsia="仿宋_GB2312" w:cs="仿宋_GB2312"/>
          <w:color w:val="auto"/>
          <w:spacing w:val="6"/>
          <w:sz w:val="32"/>
          <w:szCs w:val="32"/>
          <w:shd w:val="clear" w:color="auto" w:fill="FFFFFF"/>
          <w:lang w:val="en-US" w:eastAsia="zh-CN"/>
        </w:rPr>
        <w:t>2.</w:t>
      </w:r>
      <w:r>
        <w:rPr>
          <w:rFonts w:hint="eastAsia" w:ascii="楷体_GB2312" w:eastAsia="楷体_GB2312"/>
          <w:color w:val="auto"/>
          <w:sz w:val="32"/>
          <w:szCs w:val="32"/>
          <w:lang w:val="zh-CN"/>
        </w:rPr>
        <w:t>项目管理</w:t>
      </w:r>
    </w:p>
    <w:p w14:paraId="5210DF05">
      <w:pPr>
        <w:spacing w:line="560" w:lineRule="exact"/>
        <w:ind w:firstLine="640" w:firstLineChars="200"/>
        <w:rPr>
          <w:rFonts w:hint="eastAsia" w:ascii="仿宋_GB2312" w:hAnsi="仿宋_GB2312" w:eastAsia="仿宋_GB2312" w:cs="仿宋_GB2312"/>
          <w:color w:val="auto"/>
          <w:spacing w:val="6"/>
          <w:sz w:val="32"/>
          <w:szCs w:val="32"/>
          <w:shd w:val="clear" w:color="auto" w:fill="FFFFFF"/>
          <w:lang w:eastAsia="zh-CN"/>
        </w:rPr>
      </w:pPr>
      <w:r>
        <w:rPr>
          <w:rFonts w:hint="eastAsia" w:ascii="仿宋_GB2312" w:hAnsi="仿宋_GB2312" w:eastAsia="仿宋_GB2312" w:cs="仿宋_GB2312"/>
          <w:sz w:val="32"/>
          <w:szCs w:val="32"/>
          <w:lang w:val="zh-CN"/>
        </w:rPr>
        <w:t>项目资金管理严格按照</w:t>
      </w:r>
      <w:r>
        <w:rPr>
          <w:rFonts w:hint="eastAsia" w:ascii="仿宋_GB2312" w:hAnsi="仿宋_GB2312" w:eastAsia="仿宋_GB2312" w:cs="仿宋_GB2312"/>
          <w:sz w:val="32"/>
          <w:szCs w:val="32"/>
        </w:rPr>
        <w:t>财务管理制度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凉山州州直机关会议费管理办法》（凉委办</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73号</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eastAsia="zh-CN"/>
        </w:rPr>
        <w:t>《凉山州财政局关于厉行节约相关制度办法有关问题解答的通知》</w:t>
      </w:r>
      <w:r>
        <w:rPr>
          <w:rFonts w:hint="eastAsia" w:ascii="仿宋_GB2312" w:hAnsi="仿宋_GB2312" w:eastAsia="仿宋_GB2312" w:cs="仿宋_GB2312"/>
          <w:sz w:val="32"/>
          <w:szCs w:val="32"/>
          <w:lang w:val="zh-CN"/>
        </w:rPr>
        <w:t>（凉财行</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28号</w:t>
      </w:r>
      <w:r>
        <w:rPr>
          <w:rFonts w:hint="eastAsia" w:ascii="仿宋_GB2312" w:hAnsi="仿宋_GB2312" w:eastAsia="仿宋_GB2312" w:cs="仿宋_GB2312"/>
          <w:sz w:val="32"/>
          <w:szCs w:val="32"/>
          <w:lang w:val="zh-CN"/>
        </w:rPr>
        <w:t>）等相关财经制度进行管理。</w:t>
      </w:r>
      <w:r>
        <w:rPr>
          <w:rFonts w:hint="eastAsia" w:ascii="仿宋_GB2312" w:hAnsi="仿宋_GB2312" w:eastAsia="仿宋_GB2312" w:cs="仿宋_GB2312"/>
          <w:sz w:val="32"/>
          <w:szCs w:val="32"/>
          <w:lang w:val="zh-CN" w:eastAsia="zh-CN"/>
        </w:rPr>
        <w:t>并</w:t>
      </w:r>
      <w:r>
        <w:rPr>
          <w:rFonts w:hint="eastAsia" w:ascii="仿宋_GB2312" w:hAnsi="仿宋_GB2312" w:eastAsia="仿宋_GB2312" w:cs="仿宋_GB2312"/>
          <w:sz w:val="32"/>
          <w:szCs w:val="32"/>
          <w:lang w:val="zh-CN"/>
        </w:rPr>
        <w:t>建立了专账进行核算，账务处理及时、准确，会计核算规范</w:t>
      </w:r>
      <w:r>
        <w:rPr>
          <w:rFonts w:hint="eastAsia" w:ascii="仿宋_GB2312" w:hAnsi="仿宋_GB2312" w:eastAsia="仿宋_GB2312" w:cs="仿宋_GB2312"/>
          <w:sz w:val="32"/>
          <w:szCs w:val="32"/>
          <w:lang w:val="zh-CN" w:eastAsia="zh-CN"/>
        </w:rPr>
        <w:t>。形成专题报告在</w:t>
      </w:r>
      <w:r>
        <w:rPr>
          <w:rFonts w:hint="eastAsia" w:ascii="仿宋_GB2312" w:hAnsi="仿宋_GB2312" w:eastAsia="仿宋_GB2312" w:cs="仿宋_GB2312"/>
          <w:color w:val="auto"/>
          <w:spacing w:val="6"/>
          <w:sz w:val="32"/>
          <w:szCs w:val="32"/>
          <w:shd w:val="clear" w:color="auto" w:fill="FFFFFF"/>
          <w:lang w:eastAsia="zh-CN"/>
        </w:rPr>
        <w:t>川京瞭望、四川经济网、凉山日报、掌上凉山等多媒体进行报道。接受社会监督，确保选举工作的透明度和公信力。</w:t>
      </w:r>
    </w:p>
    <w:p w14:paraId="60BCE47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olor w:val="FF0000"/>
          <w:sz w:val="32"/>
          <w:szCs w:val="32"/>
          <w:lang w:val="zh-CN"/>
        </w:rPr>
      </w:pPr>
      <w:r>
        <w:rPr>
          <w:rFonts w:hint="eastAsia" w:ascii="楷体_GB2312" w:eastAsia="楷体_GB2312"/>
          <w:color w:val="auto"/>
          <w:sz w:val="32"/>
          <w:szCs w:val="32"/>
          <w:lang w:val="en-US" w:eastAsia="zh-CN"/>
        </w:rPr>
        <w:t>3.</w:t>
      </w:r>
      <w:r>
        <w:rPr>
          <w:rFonts w:hint="eastAsia" w:ascii="楷体_GB2312" w:eastAsia="楷体_GB2312"/>
          <w:color w:val="auto"/>
          <w:sz w:val="32"/>
          <w:szCs w:val="32"/>
          <w:lang w:val="zh-CN"/>
        </w:rPr>
        <w:t>项目实施</w:t>
      </w:r>
    </w:p>
    <w:p w14:paraId="3316FA9E">
      <w:pPr>
        <w:pStyle w:val="3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64" w:firstLineChars="200"/>
        <w:textAlignment w:val="auto"/>
        <w:rPr>
          <w:rFonts w:hint="default" w:ascii="仿宋_GB2312" w:hAnsi="仿宋_GB2312" w:eastAsia="仿宋_GB2312" w:cs="仿宋_GB2312"/>
          <w:color w:val="auto"/>
          <w:spacing w:val="6"/>
          <w:sz w:val="32"/>
          <w:szCs w:val="32"/>
          <w:shd w:val="clear" w:color="auto" w:fill="FFFFFF"/>
          <w:lang w:val="en-US" w:eastAsia="zh-CN" w:bidi="ar-SA"/>
        </w:rPr>
      </w:pPr>
      <w:r>
        <w:rPr>
          <w:rFonts w:hint="eastAsia" w:ascii="仿宋_GB2312" w:hAnsi="仿宋_GB2312" w:eastAsia="仿宋_GB2312" w:cs="仿宋_GB2312"/>
          <w:color w:val="auto"/>
          <w:spacing w:val="6"/>
          <w:sz w:val="32"/>
          <w:szCs w:val="32"/>
          <w:shd w:val="clear" w:color="auto" w:fill="FFFFFF"/>
          <w:lang w:val="en-US" w:eastAsia="zh-CN" w:bidi="ar-SA"/>
        </w:rPr>
        <w:t>2022年预算财政资金44.84万元，准备召开州科协第五次代表大会（即换届选举会议，下同），由于疫情形势严峻，第五次代表大会被迫延迟召开。2023年3月，第五次代表大会安排部署工作正式启动，并成立会议筹备小组，历时8个多月，经多部门沟通、协调、请示、审批等程序，最终完成会议筹备工作。会议于2024年11月15日至11月17日如期召开</w:t>
      </w:r>
      <w:r>
        <w:rPr>
          <w:rFonts w:hint="eastAsia" w:hAnsi="仿宋_GB2312" w:cs="仿宋_GB2312"/>
          <w:color w:val="auto"/>
          <w:spacing w:val="6"/>
          <w:sz w:val="32"/>
          <w:szCs w:val="32"/>
          <w:shd w:val="clear" w:color="auto" w:fill="FFFFFF"/>
          <w:lang w:val="en-US" w:eastAsia="zh-CN" w:bidi="ar-SA"/>
        </w:rPr>
        <w:t>，参会代表和工作人员达230人次</w:t>
      </w:r>
      <w:r>
        <w:rPr>
          <w:rFonts w:hint="eastAsia" w:ascii="仿宋_GB2312" w:hAnsi="仿宋_GB2312" w:eastAsia="仿宋_GB2312" w:cs="仿宋_GB2312"/>
          <w:color w:val="auto"/>
          <w:spacing w:val="6"/>
          <w:sz w:val="32"/>
          <w:szCs w:val="32"/>
          <w:shd w:val="clear" w:color="auto" w:fill="FFFFFF"/>
          <w:lang w:val="en-US" w:eastAsia="zh-CN" w:bidi="ar-SA"/>
        </w:rPr>
        <w:t>。项目实施流程包括筹备阶段、宣传阶段、选举阶段以及总结交接阶段</w:t>
      </w:r>
      <w:r>
        <w:rPr>
          <w:rFonts w:hint="eastAsia" w:hAnsi="仿宋_GB2312" w:cs="仿宋_GB2312"/>
          <w:color w:val="auto"/>
          <w:spacing w:val="6"/>
          <w:sz w:val="32"/>
          <w:szCs w:val="32"/>
          <w:shd w:val="clear" w:color="auto" w:fill="FFFFFF"/>
          <w:lang w:val="en-US" w:eastAsia="zh-CN" w:bidi="ar-SA"/>
        </w:rPr>
        <w:t>。</w:t>
      </w:r>
      <w:r>
        <w:rPr>
          <w:rFonts w:hint="eastAsia" w:ascii="仿宋_GB2312" w:hAnsi="仿宋_GB2312" w:eastAsia="仿宋_GB2312" w:cs="仿宋_GB2312"/>
          <w:color w:val="auto"/>
          <w:spacing w:val="6"/>
          <w:sz w:val="32"/>
          <w:szCs w:val="32"/>
          <w:shd w:val="clear" w:color="auto" w:fill="FFFFFF"/>
          <w:lang w:val="en-US" w:eastAsia="zh-CN" w:bidi="ar-SA"/>
        </w:rPr>
        <w:t>各阶段工作均按照既定计划有序进行。本次换届项目使用资金44.29万元，节约会议费开支0.55万元，如数上交财政。</w:t>
      </w:r>
    </w:p>
    <w:p w14:paraId="1250934A">
      <w:pPr>
        <w:numPr>
          <w:ilvl w:val="0"/>
          <w:numId w:val="0"/>
        </w:numPr>
        <w:ind w:leftChars="200"/>
        <w:rPr>
          <w:rFonts w:hint="eastAsia" w:eastAsia="仿宋_GB2312"/>
          <w:color w:val="FF0000"/>
          <w:sz w:val="32"/>
          <w:szCs w:val="32"/>
          <w:lang w:val="zh-CN"/>
        </w:rPr>
      </w:pPr>
      <w:r>
        <w:rPr>
          <w:rFonts w:hint="eastAsia" w:ascii="楷体_GB2312" w:eastAsia="楷体_GB2312"/>
          <w:color w:val="auto"/>
          <w:sz w:val="32"/>
          <w:szCs w:val="32"/>
          <w:lang w:val="en-US" w:eastAsia="zh-CN"/>
        </w:rPr>
        <w:t>4.</w:t>
      </w:r>
      <w:r>
        <w:rPr>
          <w:rFonts w:hint="eastAsia" w:ascii="楷体_GB2312" w:eastAsia="楷体_GB2312"/>
          <w:color w:val="auto"/>
          <w:sz w:val="32"/>
          <w:szCs w:val="32"/>
          <w:lang w:val="zh-CN"/>
        </w:rPr>
        <w:t>项目结果</w:t>
      </w:r>
    </w:p>
    <w:p w14:paraId="4C0CAC5D">
      <w:pPr>
        <w:pStyle w:val="3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color w:val="auto"/>
          <w:spacing w:val="6"/>
          <w:sz w:val="32"/>
          <w:szCs w:val="32"/>
          <w:shd w:val="clear" w:color="auto" w:fill="FFFFFF"/>
          <w:lang w:val="zh-CN" w:eastAsia="zh-CN" w:bidi="ar-SA"/>
        </w:rPr>
      </w:pPr>
      <w:r>
        <w:rPr>
          <w:rFonts w:hint="eastAsia" w:ascii="仿宋_GB2312" w:hAnsi="仿宋_GB2312" w:eastAsia="仿宋_GB2312" w:cs="仿宋_GB2312"/>
          <w:color w:val="auto"/>
          <w:spacing w:val="6"/>
          <w:sz w:val="32"/>
          <w:szCs w:val="32"/>
          <w:shd w:val="clear" w:color="auto" w:fill="FFFFFF"/>
          <w:lang w:val="en-US" w:eastAsia="zh-CN" w:bidi="ar-SA"/>
        </w:rPr>
        <w:t>凉山州科学技术协会第五次代表大会</w:t>
      </w:r>
      <w:r>
        <w:rPr>
          <w:rFonts w:hint="eastAsia" w:hAnsi="仿宋_GB2312" w:cs="仿宋_GB2312"/>
          <w:color w:val="auto"/>
          <w:spacing w:val="6"/>
          <w:sz w:val="32"/>
          <w:szCs w:val="32"/>
          <w:shd w:val="clear" w:color="auto" w:fill="FFFFFF"/>
          <w:lang w:val="en-US" w:eastAsia="zh-CN" w:bidi="ar-SA"/>
        </w:rPr>
        <w:t>按照预订计划</w:t>
      </w:r>
      <w:r>
        <w:rPr>
          <w:rFonts w:hint="eastAsia" w:ascii="仿宋_GB2312" w:hAnsi="仿宋_GB2312" w:eastAsia="仿宋_GB2312" w:cs="仿宋_GB2312"/>
          <w:color w:val="auto"/>
          <w:spacing w:val="6"/>
          <w:sz w:val="32"/>
          <w:szCs w:val="32"/>
          <w:shd w:val="clear" w:color="auto" w:fill="FFFFFF"/>
          <w:lang w:val="en-US" w:eastAsia="zh-CN" w:bidi="ar-SA"/>
        </w:rPr>
        <w:t>于11月16日至17日成功召开，本次代表大会应到代表243名，实到代表204名，选举产生了第五届委员会委员53名、常委委员25名、主席1名、副主席（含兼职）9名、秘书长1名。顺利的完成了此次换届选举各项工作事宜。通过本项目的实施，州科协换届选举工作得以顺利进行，为科协注入了新的活力。新一届科协领导班子将带领全州广大科协工作者继续推动凉山科技事业的发展，为地方经济社会发展作出更大的贡献。同时，项目的实施也提高了科协代表的参与度和满意度，增强了科协的凝聚力和影响力。</w:t>
      </w:r>
    </w:p>
    <w:p w14:paraId="637A0E1C">
      <w:pPr>
        <w:ind w:firstLine="643" w:firstLineChars="200"/>
        <w:rPr>
          <w:rFonts w:eastAsia="仿宋_GB2312"/>
          <w:color w:val="FF0000"/>
          <w:sz w:val="32"/>
          <w:szCs w:val="32"/>
          <w:lang w:val="zh-CN"/>
        </w:rPr>
      </w:pPr>
      <w:r>
        <w:rPr>
          <w:rFonts w:hint="eastAsia" w:ascii="楷体_GB2312" w:eastAsia="楷体_GB2312"/>
          <w:b/>
          <w:color w:val="auto"/>
          <w:sz w:val="32"/>
          <w:szCs w:val="32"/>
          <w:lang w:val="zh-CN"/>
        </w:rPr>
        <w:t>（二）专用指标绩效分析</w:t>
      </w:r>
    </w:p>
    <w:p w14:paraId="1C7CB4B6">
      <w:pPr>
        <w:ind w:firstLine="640" w:firstLineChars="200"/>
        <w:rPr>
          <w:rFonts w:hint="eastAsia" w:eastAsia="仿宋_GB2312"/>
          <w:color w:val="FF0000"/>
          <w:sz w:val="32"/>
          <w:szCs w:val="32"/>
          <w:lang w:val="zh-CN"/>
        </w:rPr>
      </w:pPr>
      <w:r>
        <w:rPr>
          <w:rFonts w:hint="eastAsia" w:ascii="楷体_GB2312" w:eastAsia="楷体_GB2312"/>
          <w:color w:val="auto"/>
          <w:sz w:val="32"/>
          <w:szCs w:val="32"/>
          <w:lang w:val="en-US" w:eastAsia="zh-CN"/>
        </w:rPr>
        <w:t>1</w:t>
      </w:r>
      <w:r>
        <w:rPr>
          <w:rFonts w:hint="eastAsia" w:ascii="楷体_GB2312" w:eastAsia="楷体_GB2312"/>
          <w:color w:val="auto"/>
          <w:sz w:val="32"/>
          <w:szCs w:val="32"/>
          <w:lang w:val="zh-CN"/>
        </w:rPr>
        <w:t>.行政运转</w:t>
      </w:r>
    </w:p>
    <w:p w14:paraId="51C8FACD">
      <w:pPr>
        <w:keepNext w:val="0"/>
        <w:keepLines w:val="0"/>
        <w:pageBreakBefore w:val="0"/>
        <w:widowControl/>
        <w:kinsoku/>
        <w:wordWrap/>
        <w:overflowPunct/>
        <w:topLinePunct w:val="0"/>
        <w:autoSpaceDE/>
        <w:autoSpaceDN/>
        <w:bidi w:val="0"/>
        <w:adjustRightInd w:val="0"/>
        <w:snapToGrid w:val="0"/>
        <w:spacing w:line="560" w:lineRule="exact"/>
        <w:ind w:firstLine="420" w:firstLineChars="200"/>
        <w:textAlignment w:val="auto"/>
        <w:rPr>
          <w:rFonts w:hint="default" w:eastAsia="仿宋_GB2312"/>
          <w:color w:val="auto"/>
          <w:sz w:val="32"/>
          <w:szCs w:val="32"/>
          <w:lang w:val="en-US" w:eastAsia="zh-CN"/>
        </w:rPr>
      </w:pPr>
      <w:r>
        <w:rPr>
          <w:rFonts w:hint="eastAsia"/>
          <w:lang w:val="en-US" w:eastAsia="zh-CN"/>
        </w:rPr>
        <w:t xml:space="preserve">  </w:t>
      </w:r>
      <w:r>
        <w:rPr>
          <w:rFonts w:hint="eastAsia" w:eastAsia="仿宋_GB2312"/>
          <w:color w:val="auto"/>
          <w:sz w:val="32"/>
          <w:szCs w:val="32"/>
          <w:lang w:val="en-US" w:eastAsia="zh-CN"/>
        </w:rPr>
        <w:t xml:space="preserve"> 州科协召开第五次代表大会选举产生新一届委员会，按照《中国科学技术协会章程》开展换届工作，与会代表认真听取和审议凉山彝族自治州科学技术协会第四届委员会工作报告；履行自己的职能职责，审议通过了凉山彝族自治州科学技术协会实施《四川省科学技术协会实施〈中国科学技术协会章程〉细则》的办法（修改草案）；选举产生了州科协新一届领导班子，会议资金的支付严格按照审定的二类会议标准执行。因此项目资金</w:t>
      </w:r>
      <w:r>
        <w:rPr>
          <w:rFonts w:hint="eastAsia" w:eastAsia="仿宋_GB2312"/>
          <w:color w:val="auto"/>
          <w:sz w:val="32"/>
          <w:szCs w:val="32"/>
          <w:lang w:val="zh-CN"/>
        </w:rPr>
        <w:t>用途、选举程序、会议标准等均体现其合规性。</w:t>
      </w:r>
    </w:p>
    <w:p w14:paraId="2581BD3C">
      <w:pPr>
        <w:numPr>
          <w:numId w:val="0"/>
        </w:numPr>
        <w:ind w:leftChars="200"/>
        <w:rPr>
          <w:rFonts w:hint="eastAsia" w:ascii="楷体_GB2312" w:eastAsia="楷体_GB2312"/>
          <w:b/>
          <w:color w:val="auto"/>
          <w:sz w:val="32"/>
          <w:szCs w:val="32"/>
          <w:lang w:val="zh-CN"/>
        </w:rPr>
      </w:pPr>
      <w:r>
        <w:rPr>
          <w:rFonts w:hint="eastAsia" w:ascii="楷体_GB2312" w:eastAsia="楷体_GB2312"/>
          <w:b/>
          <w:color w:val="auto"/>
          <w:sz w:val="32"/>
          <w:szCs w:val="32"/>
          <w:lang w:val="zh-CN"/>
        </w:rPr>
        <w:t>（三）个性指标绩效分析。</w:t>
      </w:r>
    </w:p>
    <w:p w14:paraId="27C8678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olor w:val="auto"/>
          <w:sz w:val="32"/>
          <w:szCs w:val="32"/>
          <w:lang w:val="zh-CN" w:eastAsia="zh-CN"/>
        </w:rPr>
      </w:pPr>
      <w:r>
        <w:rPr>
          <w:rFonts w:hint="eastAsia" w:eastAsia="仿宋_GB2312"/>
          <w:color w:val="auto"/>
          <w:sz w:val="32"/>
          <w:szCs w:val="32"/>
          <w:lang w:val="en-US" w:eastAsia="zh-CN"/>
        </w:rPr>
        <w:t>凉山州科协承担着全州科普宣传、学术交流、青少年科技教育实践、提高全民科学素质、全力推进科普建设、科技创新，为全州各级政府决策和科研工作者服好务。换届选举工作，是协会行业按照《中国科学技术协会章程》产生新一届领导班子唯一的合规合法程序。</w:t>
      </w:r>
      <w:bookmarkStart w:id="109" w:name="OLE_LINK30"/>
      <w:r>
        <w:rPr>
          <w:rFonts w:hint="eastAsia" w:eastAsia="仿宋_GB2312"/>
          <w:color w:val="auto"/>
          <w:sz w:val="32"/>
          <w:szCs w:val="32"/>
          <w:lang w:val="en-US" w:eastAsia="zh-CN"/>
        </w:rPr>
        <w:t>按照预订计划于2023年3月开始筹备、11月圆满完成。会议参与代表及工作人员达230人次，</w:t>
      </w:r>
      <w:bookmarkEnd w:id="109"/>
      <w:r>
        <w:rPr>
          <w:rFonts w:hint="eastAsia" w:eastAsia="仿宋_GB2312"/>
          <w:color w:val="auto"/>
          <w:sz w:val="32"/>
          <w:szCs w:val="32"/>
          <w:lang w:val="en-US" w:eastAsia="zh-CN"/>
        </w:rPr>
        <w:t>选举产生了第五届委员会委员53名、常委委员25名、主席1名、副主席（含兼职）9名、秘书长1名。选举产生的州科协新一届领导班子，是长期工作在科技战线上德才兼备的人才，具备较强的领导能力和专业水平。他们将带领全州广大科协工作者继续推动凉山科技事业的发展，为地方经济社会发展作出更大的贡献。同时，项目的实施也提高了科协代表的参与度和满意度，增强了科协的凝聚力和影响力。</w:t>
      </w:r>
    </w:p>
    <w:p w14:paraId="32590532">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71ED9E90">
      <w:pPr>
        <w:pStyle w:val="38"/>
        <w:keepNext w:val="0"/>
        <w:keepLines w:val="0"/>
        <w:pageBreakBefore w:val="0"/>
        <w:widowControl/>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color w:val="auto"/>
          <w:spacing w:val="6"/>
          <w:sz w:val="32"/>
          <w:szCs w:val="32"/>
          <w:shd w:val="clear" w:color="auto" w:fill="FFFFFF"/>
          <w:lang w:val="zh-CN" w:eastAsia="zh-CN" w:bidi="ar-SA"/>
        </w:rPr>
      </w:pPr>
      <w:r>
        <w:rPr>
          <w:rFonts w:hint="eastAsia" w:hAnsi="仿宋_GB2312" w:cs="仿宋_GB2312"/>
          <w:color w:val="auto"/>
          <w:spacing w:val="6"/>
          <w:sz w:val="32"/>
          <w:szCs w:val="32"/>
          <w:shd w:val="clear" w:color="auto" w:fill="FFFFFF"/>
          <w:lang w:val="en-US" w:eastAsia="zh-CN" w:bidi="ar-SA"/>
        </w:rPr>
        <w:t>州科协换届选举工作能够</w:t>
      </w:r>
      <w:r>
        <w:rPr>
          <w:rFonts w:hint="eastAsia" w:ascii="仿宋_GB2312" w:hAnsi="仿宋_GB2312" w:eastAsia="仿宋_GB2312" w:cs="仿宋_GB2312"/>
          <w:color w:val="auto"/>
          <w:spacing w:val="6"/>
          <w:sz w:val="32"/>
          <w:szCs w:val="32"/>
          <w:shd w:val="clear" w:color="auto" w:fill="FFFFFF"/>
          <w:lang w:val="en-US" w:eastAsia="zh-CN" w:bidi="ar-SA"/>
        </w:rPr>
        <w:t>严格执行项目预算，会议经费</w:t>
      </w:r>
      <w:r>
        <w:rPr>
          <w:rFonts w:hint="eastAsia" w:hAnsi="仿宋_GB2312" w:cs="仿宋_GB2312"/>
          <w:color w:val="auto"/>
          <w:spacing w:val="6"/>
          <w:sz w:val="32"/>
          <w:szCs w:val="32"/>
          <w:shd w:val="clear" w:color="auto" w:fill="FFFFFF"/>
          <w:lang w:val="en-US" w:eastAsia="zh-CN" w:bidi="ar-SA"/>
        </w:rPr>
        <w:t>按照规定二类会议标准</w:t>
      </w:r>
      <w:r>
        <w:rPr>
          <w:rFonts w:hint="eastAsia" w:ascii="仿宋_GB2312" w:hAnsi="仿宋_GB2312" w:eastAsia="仿宋_GB2312" w:cs="仿宋_GB2312"/>
          <w:color w:val="auto"/>
          <w:spacing w:val="6"/>
          <w:sz w:val="32"/>
          <w:szCs w:val="32"/>
          <w:shd w:val="clear" w:color="auto" w:fill="FFFFFF"/>
          <w:lang w:val="en-US" w:eastAsia="zh-CN" w:bidi="ar-SA"/>
        </w:rPr>
        <w:t>从严控制，及时申请支用</w:t>
      </w:r>
      <w:r>
        <w:rPr>
          <w:rFonts w:hint="eastAsia" w:hAnsi="仿宋_GB2312" w:cs="仿宋_GB2312"/>
          <w:color w:val="auto"/>
          <w:spacing w:val="6"/>
          <w:sz w:val="32"/>
          <w:szCs w:val="32"/>
          <w:shd w:val="clear" w:color="auto" w:fill="FFFFFF"/>
          <w:lang w:val="en-US" w:eastAsia="zh-CN" w:bidi="ar-SA"/>
        </w:rPr>
        <w:t>专项资金44.29万元，确</w:t>
      </w:r>
      <w:r>
        <w:rPr>
          <w:rFonts w:hint="eastAsia" w:ascii="仿宋_GB2312" w:hAnsi="仿宋_GB2312" w:eastAsia="仿宋_GB2312" w:cs="仿宋_GB2312"/>
          <w:color w:val="auto"/>
          <w:spacing w:val="6"/>
          <w:sz w:val="32"/>
          <w:szCs w:val="32"/>
          <w:shd w:val="clear" w:color="auto" w:fill="FFFFFF"/>
          <w:lang w:val="en-US" w:eastAsia="zh-CN" w:bidi="ar-SA"/>
        </w:rPr>
        <w:t>保会议如期</w:t>
      </w:r>
      <w:r>
        <w:rPr>
          <w:rFonts w:hint="eastAsia" w:hAnsi="仿宋_GB2312" w:cs="仿宋_GB2312"/>
          <w:color w:val="auto"/>
          <w:spacing w:val="6"/>
          <w:sz w:val="32"/>
          <w:szCs w:val="32"/>
          <w:shd w:val="clear" w:color="auto" w:fill="FFFFFF"/>
          <w:lang w:val="en-US" w:eastAsia="zh-CN" w:bidi="ar-SA"/>
        </w:rPr>
        <w:t>完成</w:t>
      </w:r>
      <w:r>
        <w:rPr>
          <w:rFonts w:hint="eastAsia" w:ascii="仿宋_GB2312" w:hAnsi="仿宋_GB2312" w:eastAsia="仿宋_GB2312" w:cs="仿宋_GB2312"/>
          <w:color w:val="auto"/>
          <w:spacing w:val="6"/>
          <w:sz w:val="32"/>
          <w:szCs w:val="32"/>
          <w:shd w:val="clear" w:color="auto" w:fill="FFFFFF"/>
          <w:lang w:val="en-US" w:eastAsia="zh-CN" w:bidi="ar-SA"/>
        </w:rPr>
        <w:t>。</w:t>
      </w:r>
      <w:r>
        <w:rPr>
          <w:rFonts w:hint="eastAsia" w:ascii="Tahoma" w:cstheme="minorBidi"/>
          <w:color w:val="auto"/>
          <w:sz w:val="32"/>
          <w:szCs w:val="32"/>
          <w:lang w:val="en-US" w:eastAsia="zh-CN" w:bidi="ar-SA"/>
        </w:rPr>
        <w:t>按照预订计划于2023年3月开始筹备、11月圆满完成。会议参与代表及工作人员达230人次，</w:t>
      </w:r>
      <w:r>
        <w:rPr>
          <w:rFonts w:hint="eastAsia" w:ascii="仿宋_GB2312" w:hAnsi="仿宋_GB2312" w:eastAsia="仿宋_GB2312" w:cs="仿宋_GB2312"/>
          <w:color w:val="auto"/>
          <w:spacing w:val="6"/>
          <w:sz w:val="32"/>
          <w:szCs w:val="32"/>
          <w:shd w:val="clear" w:color="auto" w:fill="FFFFFF"/>
          <w:lang w:val="en-US" w:eastAsia="zh-CN" w:bidi="ar-SA"/>
        </w:rPr>
        <w:t>选举产生了第五届委员会委员53名、常委委员25名、主席1名、副主席（含兼职）9名、秘书长1名。</w:t>
      </w:r>
      <w:r>
        <w:rPr>
          <w:rFonts w:hint="eastAsia" w:hAnsi="仿宋_GB2312" w:cs="仿宋_GB2312"/>
          <w:sz w:val="32"/>
          <w:szCs w:val="32"/>
          <w:lang w:eastAsia="zh-CN"/>
        </w:rPr>
        <w:t>他们</w:t>
      </w:r>
      <w:r>
        <w:rPr>
          <w:rFonts w:hint="eastAsia" w:ascii="仿宋_GB2312" w:hAnsi="仿宋_GB2312" w:eastAsia="仿宋_GB2312" w:cs="仿宋_GB2312"/>
          <w:color w:val="auto"/>
          <w:spacing w:val="6"/>
          <w:sz w:val="32"/>
          <w:szCs w:val="32"/>
          <w:shd w:val="clear" w:color="auto" w:fill="FFFFFF"/>
          <w:lang w:val="en-US" w:eastAsia="zh-CN" w:bidi="ar-SA"/>
        </w:rPr>
        <w:t>将带领全州广大科协工作者继续推动凉山科技事业的发展，为地方经济社会发展作出更大的贡献。</w:t>
      </w:r>
      <w:r>
        <w:rPr>
          <w:rFonts w:hint="eastAsia" w:hAnsi="仿宋_GB2312" w:cs="仿宋_GB2312"/>
          <w:color w:val="auto"/>
          <w:spacing w:val="6"/>
          <w:sz w:val="32"/>
          <w:szCs w:val="32"/>
          <w:shd w:val="clear" w:color="auto" w:fill="FFFFFF"/>
          <w:lang w:val="en-US" w:eastAsia="zh-CN" w:bidi="ar-SA"/>
        </w:rPr>
        <w:t>与会代表满意度达95%以上。项目</w:t>
      </w:r>
      <w:r>
        <w:rPr>
          <w:rFonts w:hint="eastAsia" w:ascii="仿宋_GB2312" w:hAnsi="仿宋_GB2312" w:eastAsia="仿宋_GB2312" w:cs="仿宋_GB2312"/>
          <w:color w:val="auto"/>
          <w:spacing w:val="6"/>
          <w:sz w:val="32"/>
          <w:szCs w:val="32"/>
          <w:shd w:val="clear" w:color="auto" w:fill="FFFFFF"/>
          <w:lang w:val="en-US" w:eastAsia="zh-CN" w:bidi="ar-SA"/>
        </w:rPr>
        <w:t>从产出、效益、满意度指标等进行了以上</w:t>
      </w:r>
      <w:r>
        <w:rPr>
          <w:rFonts w:hint="eastAsia" w:hAnsi="仿宋_GB2312" w:cs="仿宋_GB2312"/>
          <w:color w:val="auto"/>
          <w:spacing w:val="6"/>
          <w:sz w:val="32"/>
          <w:szCs w:val="32"/>
          <w:shd w:val="clear" w:color="auto" w:fill="FFFFFF"/>
          <w:lang w:val="en-US" w:eastAsia="zh-CN" w:bidi="ar-SA"/>
        </w:rPr>
        <w:t>分析</w:t>
      </w:r>
      <w:r>
        <w:rPr>
          <w:rFonts w:hint="eastAsia" w:ascii="仿宋_GB2312" w:hAnsi="仿宋_GB2312" w:eastAsia="仿宋_GB2312" w:cs="仿宋_GB2312"/>
          <w:color w:val="auto"/>
          <w:spacing w:val="6"/>
          <w:sz w:val="32"/>
          <w:szCs w:val="32"/>
          <w:shd w:val="clear" w:color="auto" w:fill="FFFFFF"/>
          <w:lang w:val="en-US" w:eastAsia="zh-CN" w:bidi="ar-SA"/>
        </w:rPr>
        <w:t>，预算执行率</w:t>
      </w:r>
      <w:r>
        <w:rPr>
          <w:rFonts w:hint="default" w:ascii="仿宋_GB2312" w:hAnsi="仿宋_GB2312" w:eastAsia="仿宋_GB2312" w:cs="仿宋_GB2312"/>
          <w:color w:val="auto"/>
          <w:spacing w:val="6"/>
          <w:sz w:val="32"/>
          <w:szCs w:val="32"/>
          <w:shd w:val="clear" w:color="auto" w:fill="FFFFFF"/>
          <w:lang w:val="en-US" w:eastAsia="zh-CN" w:bidi="ar-SA"/>
        </w:rPr>
        <w:t>100%</w:t>
      </w:r>
      <w:r>
        <w:rPr>
          <w:rFonts w:hint="eastAsia" w:ascii="仿宋_GB2312" w:hAnsi="仿宋_GB2312" w:eastAsia="仿宋_GB2312" w:cs="仿宋_GB2312"/>
          <w:color w:val="auto"/>
          <w:spacing w:val="6"/>
          <w:sz w:val="32"/>
          <w:szCs w:val="32"/>
          <w:shd w:val="clear" w:color="auto" w:fill="FFFFFF"/>
          <w:lang w:val="en-US" w:eastAsia="zh-CN" w:bidi="ar-SA"/>
        </w:rPr>
        <w:t>，执行情况良好，自评得分</w:t>
      </w:r>
      <w:r>
        <w:rPr>
          <w:rFonts w:hint="default" w:ascii="仿宋_GB2312" w:hAnsi="仿宋_GB2312" w:eastAsia="仿宋_GB2312" w:cs="仿宋_GB2312"/>
          <w:color w:val="auto"/>
          <w:spacing w:val="6"/>
          <w:sz w:val="32"/>
          <w:szCs w:val="32"/>
          <w:shd w:val="clear" w:color="auto" w:fill="FFFFFF"/>
          <w:lang w:val="en-US" w:eastAsia="zh-CN" w:bidi="ar-SA"/>
        </w:rPr>
        <w:t>99</w:t>
      </w:r>
      <w:r>
        <w:rPr>
          <w:rFonts w:hint="eastAsia" w:ascii="仿宋_GB2312" w:hAnsi="仿宋_GB2312" w:eastAsia="仿宋_GB2312" w:cs="仿宋_GB2312"/>
          <w:color w:val="auto"/>
          <w:spacing w:val="6"/>
          <w:sz w:val="32"/>
          <w:szCs w:val="32"/>
          <w:shd w:val="clear" w:color="auto" w:fill="FFFFFF"/>
          <w:lang w:val="en-US" w:eastAsia="zh-CN" w:bidi="ar-SA"/>
        </w:rPr>
        <w:t>分。</w:t>
      </w:r>
    </w:p>
    <w:p w14:paraId="40AD29FD">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02AA3CA5">
      <w:pPr>
        <w:pStyle w:val="38"/>
        <w:keepNext w:val="0"/>
        <w:keepLines w:val="0"/>
        <w:pageBreakBefore w:val="0"/>
        <w:widowControl/>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color w:val="auto"/>
          <w:spacing w:val="6"/>
          <w:sz w:val="32"/>
          <w:szCs w:val="32"/>
          <w:shd w:val="clear" w:color="auto" w:fill="FFFFFF"/>
          <w:lang w:val="zh-CN" w:eastAsia="zh-CN" w:bidi="ar-SA"/>
        </w:rPr>
      </w:pPr>
      <w:r>
        <w:rPr>
          <w:rFonts w:hint="eastAsia" w:ascii="仿宋_GB2312" w:hAnsi="仿宋_GB2312" w:eastAsia="仿宋_GB2312" w:cs="仿宋_GB2312"/>
          <w:color w:val="auto"/>
          <w:spacing w:val="6"/>
          <w:sz w:val="32"/>
          <w:szCs w:val="32"/>
          <w:shd w:val="clear" w:color="auto" w:fill="FFFFFF"/>
          <w:lang w:val="en-US" w:eastAsia="zh-CN" w:bidi="ar-SA"/>
        </w:rPr>
        <w:t>部分地区的选举宣传工作还不够深入，导致部分代表对选举工作的了解不够充分；部分选举培训活动的针对性还不够强，需要进一步提高培训效果等。</w:t>
      </w:r>
    </w:p>
    <w:p w14:paraId="5B33ADC7">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5484B249">
      <w:pPr>
        <w:ind w:firstLine="664" w:firstLineChars="200"/>
        <w:rPr>
          <w:rFonts w:hint="eastAsia" w:ascii="仿宋_GB2312" w:hAnsi="仿宋_GB2312" w:eastAsia="仿宋_GB2312" w:cs="仿宋_GB2312"/>
          <w:color w:val="auto"/>
          <w:spacing w:val="6"/>
          <w:sz w:val="32"/>
          <w:szCs w:val="32"/>
          <w:shd w:val="clear" w:color="auto" w:fill="FFFFFF"/>
          <w:lang w:val="en-US" w:eastAsia="zh-CN" w:bidi="ar-SA"/>
        </w:rPr>
      </w:pPr>
      <w:r>
        <w:rPr>
          <w:rFonts w:hint="eastAsia" w:ascii="仿宋_GB2312" w:hAnsi="仿宋_GB2312" w:eastAsia="仿宋_GB2312" w:cs="仿宋_GB2312"/>
          <w:color w:val="auto"/>
          <w:spacing w:val="6"/>
          <w:sz w:val="32"/>
          <w:szCs w:val="32"/>
          <w:shd w:val="clear" w:color="auto" w:fill="FFFFFF"/>
          <w:lang w:val="en-US" w:eastAsia="zh-CN" w:bidi="ar-SA"/>
        </w:rPr>
        <w:t>建议在下一次科协换届选举工作中进一步加强选举宣传工作，提高代表的参与度和了解程度；同时，加强选举培训活动的针对性和实效性，确保培训效果达到预期目标。</w:t>
      </w:r>
    </w:p>
    <w:p w14:paraId="6FE5BBC4">
      <w:pPr>
        <w:pStyle w:val="38"/>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pacing w:val="6"/>
          <w:sz w:val="32"/>
          <w:szCs w:val="32"/>
          <w:shd w:val="clear" w:color="auto" w:fill="FFFFFF"/>
          <w:lang w:val="zh-CN" w:eastAsia="zh-CN" w:bidi="ar-SA"/>
        </w:rPr>
      </w:pPr>
    </w:p>
    <w:p w14:paraId="7FD755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16" w:firstLineChars="1300"/>
        <w:jc w:val="both"/>
        <w:textAlignment w:val="auto"/>
        <w:rPr>
          <w:rFonts w:hint="eastAsia" w:ascii="仿宋_GB2312" w:hAnsi="仿宋_GB2312" w:eastAsia="仿宋_GB2312" w:cs="仿宋_GB2312"/>
          <w:color w:val="auto"/>
          <w:spacing w:val="6"/>
          <w:sz w:val="32"/>
          <w:szCs w:val="32"/>
          <w:shd w:val="clear" w:color="auto" w:fill="FFFFFF"/>
          <w:lang w:val="en-US" w:eastAsia="zh-CN" w:bidi="ar-SA"/>
        </w:rPr>
      </w:pPr>
    </w:p>
    <w:p w14:paraId="640FDE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16" w:firstLineChars="1300"/>
        <w:jc w:val="both"/>
        <w:textAlignment w:val="auto"/>
        <w:rPr>
          <w:rFonts w:hint="eastAsia" w:ascii="仿宋_GB2312" w:hAnsi="仿宋_GB2312" w:eastAsia="仿宋_GB2312" w:cs="仿宋_GB2312"/>
          <w:color w:val="auto"/>
          <w:spacing w:val="6"/>
          <w:sz w:val="32"/>
          <w:szCs w:val="32"/>
          <w:shd w:val="clear" w:color="auto" w:fill="FFFFFF"/>
          <w:lang w:val="zh-CN" w:eastAsia="zh-CN" w:bidi="ar-SA"/>
        </w:rPr>
      </w:pPr>
      <w:r>
        <w:rPr>
          <w:rFonts w:hint="eastAsia" w:ascii="仿宋_GB2312" w:hAnsi="仿宋_GB2312" w:eastAsia="仿宋_GB2312" w:cs="仿宋_GB2312"/>
          <w:color w:val="auto"/>
          <w:spacing w:val="6"/>
          <w:sz w:val="32"/>
          <w:szCs w:val="32"/>
          <w:shd w:val="clear" w:color="auto" w:fill="FFFFFF"/>
          <w:lang w:val="en-US" w:eastAsia="zh-CN" w:bidi="ar-SA"/>
        </w:rPr>
        <w:t>2024年6月22日</w:t>
      </w:r>
    </w:p>
    <w:p w14:paraId="5FFA0D13">
      <w:pPr>
        <w:pStyle w:val="5"/>
        <w:ind w:left="0" w:leftChars="0" w:firstLine="0" w:firstLineChars="0"/>
        <w:rPr>
          <w:rFonts w:hint="eastAsia" w:ascii="仿宋_GB2312" w:hAnsi="仿宋_GB2312" w:eastAsia="仿宋_GB2312" w:cs="仿宋_GB2312"/>
          <w:sz w:val="32"/>
          <w:szCs w:val="32"/>
          <w:lang w:val="zh-CN"/>
        </w:rPr>
      </w:pPr>
    </w:p>
    <w:p w14:paraId="02ADF71A">
      <w:pPr>
        <w:pStyle w:val="5"/>
        <w:ind w:left="0" w:leftChars="0" w:firstLine="0" w:firstLineChars="0"/>
        <w:rPr>
          <w:rFonts w:hint="eastAsia" w:ascii="仿宋_GB2312" w:hAnsi="仿宋_GB2312" w:eastAsia="仿宋_GB2312" w:cs="仿宋_GB2312"/>
          <w:sz w:val="32"/>
          <w:szCs w:val="32"/>
          <w:lang w:val="zh-CN"/>
        </w:rPr>
      </w:pPr>
    </w:p>
    <w:p w14:paraId="07BC5CCA">
      <w:pPr>
        <w:pStyle w:val="5"/>
        <w:ind w:left="0" w:leftChars="0" w:firstLine="0" w:firstLineChars="0"/>
        <w:rPr>
          <w:rFonts w:hint="eastAsia" w:ascii="仿宋_GB2312" w:hAnsi="仿宋_GB2312" w:eastAsia="仿宋_GB2312" w:cs="仿宋_GB2312"/>
          <w:sz w:val="32"/>
          <w:szCs w:val="32"/>
          <w:lang w:val="zh-CN"/>
        </w:rPr>
      </w:pPr>
    </w:p>
    <w:p w14:paraId="7E32A12C">
      <w:pPr>
        <w:pStyle w:val="5"/>
        <w:ind w:left="0" w:leftChars="0" w:firstLine="0" w:firstLineChars="0"/>
        <w:rPr>
          <w:rFonts w:hint="eastAsia" w:ascii="仿宋_GB2312" w:hAnsi="仿宋_GB2312" w:eastAsia="仿宋_GB2312" w:cs="仿宋_GB2312"/>
          <w:sz w:val="32"/>
          <w:szCs w:val="32"/>
          <w:lang w:val="zh-CN"/>
        </w:rPr>
      </w:pPr>
    </w:p>
    <w:p w14:paraId="623FE4F9">
      <w:pPr>
        <w:pStyle w:val="5"/>
        <w:ind w:left="0" w:leftChars="0" w:firstLine="0" w:firstLineChars="0"/>
        <w:rPr>
          <w:rFonts w:hint="eastAsia" w:ascii="仿宋_GB2312" w:hAnsi="仿宋_GB2312" w:eastAsia="仿宋_GB2312" w:cs="仿宋_GB2312"/>
          <w:sz w:val="32"/>
          <w:szCs w:val="32"/>
          <w:lang w:val="zh-CN"/>
        </w:rPr>
      </w:pPr>
    </w:p>
    <w:p w14:paraId="104F244B">
      <w:pPr>
        <w:pStyle w:val="5"/>
        <w:ind w:left="0" w:leftChars="0" w:firstLine="0" w:firstLineChars="0"/>
        <w:rPr>
          <w:rFonts w:hint="eastAsia" w:ascii="仿宋_GB2312" w:hAnsi="仿宋_GB2312" w:eastAsia="仿宋_GB2312" w:cs="仿宋_GB2312"/>
          <w:sz w:val="32"/>
          <w:szCs w:val="32"/>
          <w:lang w:val="zh-CN"/>
        </w:rPr>
      </w:pPr>
    </w:p>
    <w:p w14:paraId="79EA3519">
      <w:pPr>
        <w:pStyle w:val="5"/>
        <w:ind w:left="0" w:leftChars="0" w:firstLine="0" w:firstLineChars="0"/>
        <w:rPr>
          <w:rFonts w:hint="eastAsia" w:ascii="仿宋_GB2312" w:hAnsi="仿宋_GB2312" w:eastAsia="仿宋_GB2312" w:cs="仿宋_GB2312"/>
          <w:sz w:val="32"/>
          <w:szCs w:val="32"/>
          <w:lang w:val="zh-CN"/>
        </w:rPr>
      </w:pPr>
    </w:p>
    <w:p w14:paraId="122EF6B7">
      <w:pPr>
        <w:pStyle w:val="5"/>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附件</w:t>
      </w:r>
      <w:r>
        <w:rPr>
          <w:rFonts w:hint="eastAsia" w:ascii="仿宋_GB2312" w:hAnsi="仿宋_GB2312" w:eastAsia="仿宋_GB2312" w:cs="仿宋_GB2312"/>
          <w:sz w:val="32"/>
          <w:szCs w:val="32"/>
          <w:lang w:val="en-US" w:eastAsia="zh-CN"/>
        </w:rPr>
        <w:t>2-2：</w:t>
      </w:r>
    </w:p>
    <w:p w14:paraId="1B921E9D">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凉山州科学技术协会</w:t>
      </w:r>
    </w:p>
    <w:p w14:paraId="6C700796">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第38届凉山州青少年科技创新大赛</w:t>
      </w:r>
    </w:p>
    <w:p w14:paraId="083DB903">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项目绩效自评报告</w:t>
      </w:r>
    </w:p>
    <w:p w14:paraId="19A433D9">
      <w:pPr>
        <w:ind w:firstLine="640" w:firstLineChars="200"/>
        <w:rPr>
          <w:rFonts w:hint="eastAsia" w:ascii="黑体" w:hAnsi="黑体" w:eastAsia="黑体"/>
          <w:sz w:val="32"/>
          <w:szCs w:val="32"/>
          <w:lang w:val="zh-CN"/>
        </w:rPr>
      </w:pPr>
    </w:p>
    <w:p w14:paraId="6A08FEA2">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黑体" w:hAnsi="黑体" w:eastAsia="黑体"/>
          <w:sz w:val="32"/>
          <w:szCs w:val="32"/>
          <w:lang w:val="zh-CN"/>
        </w:rPr>
      </w:pPr>
      <w:r>
        <w:rPr>
          <w:rFonts w:hint="eastAsia" w:ascii="黑体" w:hAnsi="黑体" w:eastAsia="黑体"/>
          <w:sz w:val="32"/>
          <w:szCs w:val="32"/>
          <w:lang w:val="zh-CN"/>
        </w:rPr>
        <w:t>一、项目概况</w:t>
      </w:r>
    </w:p>
    <w:p w14:paraId="565C5559">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eastAsia="仿宋_GB2312"/>
          <w:color w:val="FF0000"/>
          <w:sz w:val="32"/>
          <w:szCs w:val="32"/>
          <w:lang w:val="zh-CN"/>
        </w:rPr>
      </w:pPr>
      <w:r>
        <w:rPr>
          <w:rFonts w:hint="eastAsia" w:ascii="楷体_GB2312" w:eastAsia="楷体_GB2312"/>
          <w:b/>
          <w:sz w:val="32"/>
          <w:szCs w:val="32"/>
          <w:lang w:val="zh-CN"/>
        </w:rPr>
        <w:t>（一）设立背景及基本情况</w:t>
      </w:r>
    </w:p>
    <w:p w14:paraId="59CC711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color w:val="auto"/>
          <w:sz w:val="32"/>
          <w:szCs w:val="32"/>
          <w:lang w:val="zh-CN"/>
        </w:rPr>
      </w:pPr>
      <w:r>
        <w:rPr>
          <w:rFonts w:hint="eastAsia" w:eastAsia="仿宋_GB2312"/>
          <w:color w:val="auto"/>
          <w:sz w:val="32"/>
          <w:szCs w:val="32"/>
          <w:lang w:val="zh-CN"/>
        </w:rPr>
        <w:t>凉山州</w:t>
      </w:r>
      <w:r>
        <w:rPr>
          <w:rFonts w:hint="eastAsia" w:eastAsia="仿宋_GB2312"/>
          <w:color w:val="auto"/>
          <w:sz w:val="32"/>
          <w:szCs w:val="32"/>
          <w:lang w:val="zh-CN" w:eastAsia="zh-CN"/>
        </w:rPr>
        <w:t>青少年科技活动中心是凉山州科学技术协会的下属事业单位。</w:t>
      </w:r>
      <w:r>
        <w:rPr>
          <w:rFonts w:hint="eastAsia" w:eastAsia="仿宋_GB2312"/>
          <w:color w:val="auto"/>
          <w:sz w:val="32"/>
          <w:szCs w:val="32"/>
          <w:lang w:val="zh-CN"/>
        </w:rPr>
        <w:t>承担着组织协调全州青少年科学思想传播，普及科学精神，激发青少年对科学的兴趣和探知欲望，培养青少年科技创新精神和实践能力，推动青少年科技活动的蓬勃发展，提高青少年的科技素质，培养和造就优秀创新人才后备队伍等职责。青少年是祖国的未来与民族的希望，他们肩负着实施科技强国接班人的重任。为了培养我州青少年科技创新能力，开阔他们的视野和丰富科技知识，按照省青少中心工作要求和州科协党组通</w:t>
      </w:r>
      <w:r>
        <w:rPr>
          <w:rFonts w:hint="eastAsia" w:eastAsia="仿宋_GB2312"/>
          <w:b w:val="0"/>
          <w:bCs w:val="0"/>
          <w:color w:val="auto"/>
          <w:sz w:val="32"/>
          <w:szCs w:val="32"/>
          <w:lang w:val="zh-CN"/>
        </w:rPr>
        <w:t>过的</w:t>
      </w:r>
      <w:r>
        <w:rPr>
          <w:rFonts w:hint="eastAsia" w:eastAsia="仿宋_GB2312"/>
          <w:color w:val="auto"/>
          <w:sz w:val="32"/>
          <w:szCs w:val="32"/>
          <w:lang w:val="zh-CN"/>
        </w:rPr>
        <w:t>审议</w:t>
      </w:r>
      <w:r>
        <w:rPr>
          <w:rFonts w:hint="eastAsia" w:eastAsia="仿宋_GB2312"/>
          <w:b w:val="0"/>
          <w:bCs w:val="0"/>
          <w:color w:val="auto"/>
          <w:sz w:val="32"/>
          <w:szCs w:val="32"/>
          <w:lang w:val="zh-CN"/>
        </w:rPr>
        <w:t>，计划于</w:t>
      </w:r>
      <w:r>
        <w:rPr>
          <w:rFonts w:hint="eastAsia" w:eastAsia="仿宋_GB2312"/>
          <w:b w:val="0"/>
          <w:bCs w:val="0"/>
          <w:color w:val="auto"/>
          <w:sz w:val="32"/>
          <w:szCs w:val="32"/>
          <w:lang w:val="en-US" w:eastAsia="zh-CN"/>
        </w:rPr>
        <w:t xml:space="preserve">2023 </w:t>
      </w:r>
      <w:r>
        <w:rPr>
          <w:rFonts w:hint="eastAsia" w:eastAsia="仿宋_GB2312"/>
          <w:b w:val="0"/>
          <w:bCs w:val="0"/>
          <w:color w:val="auto"/>
          <w:sz w:val="32"/>
          <w:szCs w:val="32"/>
          <w:lang w:val="zh-CN"/>
        </w:rPr>
        <w:t>年度开展第38届凉山州青少年科技创新大赛。大赛以线下方式举办终评展示活动，党组综合调剂使用州级科普经费共计25.52万元</w:t>
      </w:r>
      <w:r>
        <w:rPr>
          <w:rFonts w:hint="eastAsia" w:eastAsia="仿宋_GB2312"/>
          <w:b w:val="0"/>
          <w:bCs w:val="0"/>
          <w:color w:val="auto"/>
          <w:sz w:val="32"/>
          <w:szCs w:val="32"/>
          <w:lang w:val="zh-CN" w:eastAsia="zh-CN"/>
        </w:rPr>
        <w:t>，</w:t>
      </w:r>
      <w:r>
        <w:rPr>
          <w:rFonts w:hint="eastAsia" w:eastAsia="仿宋_GB2312"/>
          <w:b w:val="0"/>
          <w:bCs w:val="0"/>
          <w:color w:val="auto"/>
          <w:sz w:val="32"/>
          <w:szCs w:val="32"/>
          <w:lang w:val="zh-CN"/>
        </w:rPr>
        <w:t>用于安排部署、初评、终评展示等相关环节所需经费。申报资金包括专家评审费、终评展示活动场地费、</w:t>
      </w:r>
      <w:r>
        <w:rPr>
          <w:rFonts w:hint="eastAsia" w:eastAsia="仿宋_GB2312"/>
          <w:color w:val="auto"/>
          <w:sz w:val="32"/>
          <w:szCs w:val="32"/>
          <w:lang w:val="zh-CN"/>
        </w:rPr>
        <w:t>布展费用、参赛学生食宿费、会务资料费、奖牌证书制作费等。</w:t>
      </w:r>
    </w:p>
    <w:p w14:paraId="42A9FCEA">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textAlignment w:val="auto"/>
        <w:rPr>
          <w:rFonts w:hint="eastAsia" w:ascii="楷体_GB2312" w:eastAsia="楷体_GB2312"/>
          <w:b/>
          <w:sz w:val="32"/>
          <w:szCs w:val="32"/>
          <w:lang w:val="zh-CN"/>
        </w:rPr>
      </w:pPr>
      <w:r>
        <w:rPr>
          <w:rFonts w:hint="eastAsia" w:ascii="楷体_GB2312" w:eastAsia="楷体_GB2312"/>
          <w:b/>
          <w:sz w:val="32"/>
          <w:szCs w:val="32"/>
          <w:lang w:val="zh-CN"/>
        </w:rPr>
        <w:t>（二）实施目的及支持方向</w:t>
      </w:r>
    </w:p>
    <w:p w14:paraId="7F1F02BF">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b w:val="0"/>
          <w:bCs w:val="0"/>
          <w:color w:val="auto"/>
          <w:sz w:val="32"/>
          <w:szCs w:val="32"/>
          <w:lang w:val="zh-CN"/>
        </w:rPr>
      </w:pPr>
      <w:r>
        <w:rPr>
          <w:rFonts w:hint="eastAsia" w:eastAsia="仿宋_GB2312"/>
          <w:b w:val="0"/>
          <w:bCs w:val="0"/>
          <w:color w:val="auto"/>
          <w:sz w:val="32"/>
          <w:szCs w:val="32"/>
          <w:lang w:val="zh-CN"/>
        </w:rPr>
        <w:t>培养我州青少年科技创新能力，开阔他们的视野和丰富科技知识，推动青少年科技活动的蓬勃发展，提高青少年的科技素质，培养和造就优秀创新人才后备队伍是此次项目实施的目的；青少年是祖国的未来与民族的希望，他们肩负着实施科技强国接班人的重任是此次项目支持的方向。</w:t>
      </w:r>
    </w:p>
    <w:p w14:paraId="60F9D0F0">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textAlignment w:val="auto"/>
        <w:rPr>
          <w:rFonts w:hint="eastAsia" w:eastAsia="仿宋_GB2312"/>
          <w:color w:val="FF0000"/>
          <w:sz w:val="32"/>
          <w:szCs w:val="32"/>
          <w:lang w:val="zh-CN"/>
        </w:rPr>
      </w:pPr>
      <w:r>
        <w:rPr>
          <w:rFonts w:hint="eastAsia" w:ascii="楷体_GB2312" w:eastAsia="楷体_GB2312"/>
          <w:b/>
          <w:sz w:val="32"/>
          <w:szCs w:val="32"/>
          <w:lang w:val="zh-CN"/>
        </w:rPr>
        <w:t>（三）预算安排及分配管理</w:t>
      </w:r>
    </w:p>
    <w:p w14:paraId="56D89CFB">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仿宋_GB2312" w:hAnsi="宋体"/>
          <w:sz w:val="30"/>
          <w:szCs w:val="30"/>
          <w:lang w:val="zh-CN"/>
        </w:rPr>
      </w:pPr>
      <w:r>
        <w:rPr>
          <w:rFonts w:hint="eastAsia" w:ascii="仿宋_GB2312" w:hAnsi="仿宋_GB2312" w:eastAsia="仿宋_GB2312" w:cs="仿宋_GB2312"/>
          <w:kern w:val="0"/>
          <w:sz w:val="32"/>
          <w:szCs w:val="32"/>
        </w:rPr>
        <w:t>州科协党组对2023年的州级科普专项资金分配原则，是以围绕省</w:t>
      </w:r>
      <w:r>
        <w:rPr>
          <w:rFonts w:hint="eastAsia" w:ascii="仿宋_GB2312" w:hAnsi="仿宋_GB2312" w:eastAsia="仿宋_GB2312" w:cs="仿宋_GB2312"/>
          <w:kern w:val="0"/>
          <w:sz w:val="32"/>
          <w:szCs w:val="32"/>
          <w:lang w:eastAsia="zh-CN"/>
        </w:rPr>
        <w:t>青少中心</w:t>
      </w:r>
      <w:r>
        <w:rPr>
          <w:rFonts w:hint="eastAsia" w:ascii="仿宋_GB2312" w:hAnsi="仿宋_GB2312" w:eastAsia="仿宋_GB2312" w:cs="仿宋_GB2312"/>
          <w:kern w:val="0"/>
          <w:sz w:val="32"/>
          <w:szCs w:val="32"/>
        </w:rPr>
        <w:t>重点工作，结合州委州政府工作规划要点及</w:t>
      </w:r>
      <w:r>
        <w:rPr>
          <w:rFonts w:hint="eastAsia" w:ascii="仿宋_GB2312" w:hAnsi="仿宋_GB2312" w:eastAsia="仿宋_GB2312" w:cs="仿宋_GB2312"/>
          <w:kern w:val="0"/>
          <w:sz w:val="32"/>
          <w:szCs w:val="32"/>
          <w:lang w:eastAsia="zh-CN"/>
        </w:rPr>
        <w:t>我中心</w:t>
      </w:r>
      <w:r>
        <w:rPr>
          <w:rFonts w:hint="eastAsia" w:ascii="仿宋_GB2312" w:hAnsi="仿宋_GB2312" w:eastAsia="仿宋_GB2312" w:cs="仿宋_GB2312"/>
          <w:kern w:val="0"/>
          <w:sz w:val="32"/>
          <w:szCs w:val="32"/>
        </w:rPr>
        <w:t>具体工作任务，统筹考虑</w:t>
      </w:r>
      <w:r>
        <w:rPr>
          <w:rFonts w:hint="eastAsia" w:eastAsia="仿宋_GB2312"/>
          <w:b w:val="0"/>
          <w:bCs w:val="0"/>
          <w:color w:val="auto"/>
          <w:sz w:val="32"/>
          <w:szCs w:val="32"/>
          <w:lang w:val="zh-CN"/>
        </w:rPr>
        <w:t>第38届凉山州青少年科技创新大赛专项经费。大赛以线下方式举办终评展示活动，综合调剂</w:t>
      </w:r>
      <w:r>
        <w:rPr>
          <w:rFonts w:hint="eastAsia" w:ascii="仿宋_GB2312" w:hAnsi="仿宋_GB2312" w:eastAsia="仿宋_GB2312" w:cs="仿宋_GB2312"/>
          <w:kern w:val="0"/>
          <w:sz w:val="32"/>
          <w:szCs w:val="32"/>
        </w:rPr>
        <w:t>分配</w:t>
      </w:r>
      <w:r>
        <w:rPr>
          <w:rFonts w:hint="eastAsia" w:eastAsia="仿宋_GB2312"/>
          <w:b w:val="0"/>
          <w:bCs w:val="0"/>
          <w:color w:val="auto"/>
          <w:sz w:val="32"/>
          <w:szCs w:val="32"/>
          <w:lang w:val="zh-CN"/>
        </w:rPr>
        <w:t>州级科普经费共计25.52万元</w:t>
      </w:r>
      <w:r>
        <w:rPr>
          <w:rFonts w:hint="eastAsia" w:eastAsia="仿宋_GB2312"/>
          <w:b w:val="0"/>
          <w:bCs w:val="0"/>
          <w:color w:val="auto"/>
          <w:sz w:val="32"/>
          <w:szCs w:val="32"/>
          <w:lang w:val="zh-CN" w:eastAsia="zh-CN"/>
        </w:rPr>
        <w:t>，</w:t>
      </w:r>
      <w:r>
        <w:rPr>
          <w:rFonts w:hint="eastAsia" w:eastAsia="仿宋_GB2312"/>
          <w:b w:val="0"/>
          <w:bCs w:val="0"/>
          <w:color w:val="auto"/>
          <w:sz w:val="32"/>
          <w:szCs w:val="32"/>
          <w:lang w:val="zh-CN"/>
        </w:rPr>
        <w:t>用于安排部署、初评、终评展示等相关环节所需经费。</w:t>
      </w:r>
    </w:p>
    <w:p w14:paraId="03E91D60">
      <w:pPr>
        <w:keepNext w:val="0"/>
        <w:keepLines w:val="0"/>
        <w:pageBreakBefore w:val="0"/>
        <w:numPr>
          <w:ilvl w:val="0"/>
          <w:numId w:val="7"/>
        </w:numPr>
        <w:kinsoku/>
        <w:wordWrap/>
        <w:overflowPunct/>
        <w:topLinePunct w:val="0"/>
        <w:autoSpaceDE/>
        <w:autoSpaceDN/>
        <w:bidi w:val="0"/>
        <w:spacing w:line="560" w:lineRule="exact"/>
        <w:ind w:left="0" w:leftChars="0" w:firstLine="643" w:firstLineChars="0"/>
        <w:textAlignment w:val="auto"/>
        <w:rPr>
          <w:rFonts w:hint="eastAsia" w:eastAsia="仿宋_GB2312"/>
          <w:color w:val="FF0000"/>
          <w:sz w:val="32"/>
          <w:szCs w:val="32"/>
          <w:lang w:val="zh-CN"/>
        </w:rPr>
      </w:pPr>
      <w:r>
        <w:rPr>
          <w:rFonts w:hint="eastAsia" w:ascii="楷体_GB2312" w:eastAsia="楷体_GB2312"/>
          <w:b/>
          <w:sz w:val="32"/>
          <w:szCs w:val="32"/>
          <w:lang w:val="zh-CN"/>
        </w:rPr>
        <w:t>项目绩效目标</w:t>
      </w:r>
      <w:r>
        <w:rPr>
          <w:rFonts w:hint="eastAsia" w:ascii="楷体_GB2312" w:eastAsia="楷体_GB2312"/>
          <w:b/>
          <w:color w:val="auto"/>
          <w:sz w:val="32"/>
          <w:szCs w:val="32"/>
          <w:lang w:val="zh-CN"/>
        </w:rPr>
        <w:t>设置</w:t>
      </w:r>
    </w:p>
    <w:p w14:paraId="5825E05E">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Tahoma" w:hAnsi="Tahoma" w:eastAsia="仿宋_GB2312" w:cstheme="minorBidi"/>
          <w:b w:val="0"/>
          <w:bCs w:val="0"/>
          <w:color w:val="auto"/>
          <w:kern w:val="0"/>
          <w:sz w:val="32"/>
          <w:szCs w:val="32"/>
          <w:lang w:val="zh-CN" w:eastAsia="zh-CN" w:bidi="ar-SA"/>
        </w:rPr>
      </w:pPr>
      <w:r>
        <w:rPr>
          <w:rFonts w:hint="eastAsia" w:eastAsia="仿宋_GB2312" w:cstheme="minorBidi"/>
          <w:b w:val="0"/>
          <w:bCs w:val="0"/>
          <w:color w:val="auto"/>
          <w:kern w:val="0"/>
          <w:sz w:val="32"/>
          <w:szCs w:val="32"/>
          <w:lang w:val="zh-CN" w:eastAsia="zh-CN" w:bidi="ar-SA"/>
        </w:rPr>
        <w:t>我中心</w:t>
      </w:r>
      <w:r>
        <w:rPr>
          <w:rFonts w:hint="eastAsia" w:ascii="Tahoma" w:hAnsi="Tahoma" w:eastAsia="仿宋_GB2312" w:cstheme="minorBidi"/>
          <w:b w:val="0"/>
          <w:bCs w:val="0"/>
          <w:color w:val="auto"/>
          <w:kern w:val="0"/>
          <w:sz w:val="32"/>
          <w:szCs w:val="32"/>
          <w:lang w:val="zh-CN" w:eastAsia="zh-CN" w:bidi="ar-SA"/>
        </w:rPr>
        <w:t>以举办第38届凉山州青少年科技创新大赛为抓手，传播科学思想，普及科学精神，激发青少年对科学的兴趣和探知欲望，培养青少年科技创新精神和实践能力，推动青少年科技活动的蓬勃发展，提高青少年的科技素质，培养和造就优秀创新人才后备队伍。于2023年5月启动工作，</w:t>
      </w:r>
      <w:r>
        <w:rPr>
          <w:rFonts w:hint="eastAsia" w:eastAsia="仿宋_GB2312" w:cstheme="minorBidi"/>
          <w:b/>
          <w:bCs/>
          <w:color w:val="auto"/>
          <w:kern w:val="0"/>
          <w:sz w:val="32"/>
          <w:szCs w:val="32"/>
          <w:lang w:val="zh-CN" w:eastAsia="zh-CN" w:bidi="ar-SA"/>
        </w:rPr>
        <w:t>一是</w:t>
      </w:r>
      <w:r>
        <w:rPr>
          <w:rFonts w:hint="eastAsia" w:ascii="Tahoma" w:hAnsi="Tahoma" w:eastAsia="仿宋_GB2312" w:cstheme="minorBidi"/>
          <w:b w:val="0"/>
          <w:bCs w:val="0"/>
          <w:color w:val="auto"/>
          <w:kern w:val="0"/>
          <w:sz w:val="32"/>
          <w:szCs w:val="32"/>
          <w:lang w:val="zh-CN" w:eastAsia="zh-CN" w:bidi="ar-SA"/>
        </w:rPr>
        <w:t>对大赛进行安排部署，举办大赛暨科技骨干教师培训班；</w:t>
      </w:r>
      <w:r>
        <w:rPr>
          <w:rFonts w:hint="eastAsia" w:eastAsia="仿宋_GB2312" w:cstheme="minorBidi"/>
          <w:b/>
          <w:bCs/>
          <w:color w:val="auto"/>
          <w:kern w:val="0"/>
          <w:sz w:val="32"/>
          <w:szCs w:val="32"/>
          <w:lang w:val="zh-CN" w:eastAsia="zh-CN" w:bidi="ar-SA"/>
        </w:rPr>
        <w:t>二是</w:t>
      </w:r>
      <w:r>
        <w:rPr>
          <w:rFonts w:hint="eastAsia" w:ascii="Tahoma" w:hAnsi="Tahoma" w:eastAsia="仿宋_GB2312" w:cstheme="minorBidi"/>
          <w:b w:val="0"/>
          <w:bCs w:val="0"/>
          <w:color w:val="auto"/>
          <w:kern w:val="0"/>
          <w:sz w:val="32"/>
          <w:szCs w:val="32"/>
          <w:lang w:val="zh-CN" w:eastAsia="zh-CN" w:bidi="ar-SA"/>
        </w:rPr>
        <w:t>做好基层赛事的宣传发动和组织工作，17县市和广大中小学校积极响应，组织中小学生积极参与大赛各类活动；</w:t>
      </w:r>
      <w:r>
        <w:rPr>
          <w:rFonts w:hint="eastAsia" w:eastAsia="仿宋_GB2312" w:cstheme="minorBidi"/>
          <w:b/>
          <w:bCs/>
          <w:color w:val="auto"/>
          <w:kern w:val="0"/>
          <w:sz w:val="32"/>
          <w:szCs w:val="32"/>
          <w:lang w:val="zh-CN" w:eastAsia="zh-CN" w:bidi="ar-SA"/>
        </w:rPr>
        <w:t>三</w:t>
      </w:r>
      <w:r>
        <w:rPr>
          <w:rFonts w:hint="eastAsia" w:ascii="Tahoma" w:hAnsi="Tahoma" w:eastAsia="仿宋_GB2312" w:cstheme="minorBidi"/>
          <w:b/>
          <w:bCs/>
          <w:color w:val="auto"/>
          <w:kern w:val="0"/>
          <w:sz w:val="32"/>
          <w:szCs w:val="32"/>
          <w:lang w:val="zh-CN" w:eastAsia="zh-CN" w:bidi="ar-SA"/>
        </w:rPr>
        <w:t>是</w:t>
      </w:r>
      <w:r>
        <w:rPr>
          <w:rFonts w:hint="eastAsia" w:ascii="Tahoma" w:hAnsi="Tahoma" w:eastAsia="仿宋_GB2312" w:cstheme="minorBidi"/>
          <w:b w:val="0"/>
          <w:bCs w:val="0"/>
          <w:color w:val="auto"/>
          <w:kern w:val="0"/>
          <w:sz w:val="32"/>
          <w:szCs w:val="32"/>
          <w:lang w:val="zh-CN" w:eastAsia="zh-CN" w:bidi="ar-SA"/>
        </w:rPr>
        <w:t>严格规范大赛评审程序，成立专家评审委员会，严谨细致、公开、公平、公正开展评审工作；</w:t>
      </w:r>
      <w:r>
        <w:rPr>
          <w:rFonts w:hint="eastAsia" w:eastAsia="仿宋_GB2312" w:cstheme="minorBidi"/>
          <w:b/>
          <w:bCs/>
          <w:color w:val="auto"/>
          <w:kern w:val="0"/>
          <w:sz w:val="32"/>
          <w:szCs w:val="32"/>
          <w:lang w:val="zh-CN" w:eastAsia="zh-CN" w:bidi="ar-SA"/>
        </w:rPr>
        <w:t>四</w:t>
      </w:r>
      <w:r>
        <w:rPr>
          <w:rFonts w:hint="eastAsia" w:ascii="Tahoma" w:hAnsi="Tahoma" w:eastAsia="仿宋_GB2312" w:cstheme="minorBidi"/>
          <w:b/>
          <w:bCs/>
          <w:color w:val="auto"/>
          <w:kern w:val="0"/>
          <w:sz w:val="32"/>
          <w:szCs w:val="32"/>
          <w:lang w:val="zh-CN" w:eastAsia="zh-CN" w:bidi="ar-SA"/>
        </w:rPr>
        <w:t>是</w:t>
      </w:r>
      <w:r>
        <w:rPr>
          <w:rFonts w:hint="eastAsia" w:ascii="Tahoma" w:hAnsi="Tahoma" w:eastAsia="仿宋_GB2312" w:cstheme="minorBidi"/>
          <w:b w:val="0"/>
          <w:bCs w:val="0"/>
          <w:color w:val="auto"/>
          <w:kern w:val="0"/>
          <w:sz w:val="32"/>
          <w:szCs w:val="32"/>
          <w:lang w:val="zh-CN" w:eastAsia="zh-CN" w:bidi="ar-SA"/>
        </w:rPr>
        <w:t>精心筹备和举办大型终评展示活动，展示大赛成果，进一步扩大了大赛的影响力，达到了预期效果。</w:t>
      </w:r>
    </w:p>
    <w:p w14:paraId="4330F5A6">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黑体" w:hAnsi="黑体" w:eastAsia="黑体"/>
          <w:sz w:val="32"/>
          <w:szCs w:val="32"/>
          <w:lang w:val="zh-CN"/>
        </w:rPr>
      </w:pPr>
      <w:r>
        <w:rPr>
          <w:rFonts w:hint="eastAsia" w:ascii="黑体" w:hAnsi="黑体" w:eastAsia="黑体"/>
          <w:sz w:val="32"/>
          <w:szCs w:val="32"/>
          <w:lang w:val="zh-CN"/>
        </w:rPr>
        <w:t>二、评价实施</w:t>
      </w:r>
    </w:p>
    <w:p w14:paraId="0A88B3BB">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eastAsia="仿宋_GB2312"/>
          <w:color w:val="FF0000"/>
          <w:sz w:val="32"/>
          <w:szCs w:val="32"/>
          <w:lang w:val="zh-CN"/>
        </w:rPr>
      </w:pPr>
      <w:r>
        <w:rPr>
          <w:rFonts w:hint="eastAsia" w:ascii="楷体_GB2312" w:eastAsia="楷体_GB2312"/>
          <w:b/>
          <w:sz w:val="32"/>
          <w:szCs w:val="32"/>
          <w:lang w:val="zh-CN"/>
        </w:rPr>
        <w:t>（一）评价目的</w:t>
      </w:r>
    </w:p>
    <w:p w14:paraId="2F46BE5C">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项目绩效自评，切实体现“用钱必问效、无效必问责”的财政项目资金绩效目标原则。监督项目资金是否遵守相关法律法规专款专用、有无偏离度、是否超范围超标准等使用情况，以及取得的社会效益，了解项目实施过程中老师、学生和家长满意度和获得感等情况，为后期</w:t>
      </w:r>
      <w:r>
        <w:rPr>
          <w:rFonts w:hint="eastAsia" w:ascii="仿宋_GB2312" w:hAnsi="仿宋_GB2312" w:eastAsia="仿宋_GB2312" w:cs="仿宋_GB2312"/>
          <w:kern w:val="0"/>
          <w:sz w:val="32"/>
          <w:szCs w:val="32"/>
        </w:rPr>
        <w:t>确保州级科普专项资金使用安全、透明、高速、效益化</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lang w:eastAsia="zh-CN"/>
        </w:rPr>
        <w:t>不断推进财政资金科学化、精细化管理。</w:t>
      </w:r>
    </w:p>
    <w:p w14:paraId="476FC1A0">
      <w:pPr>
        <w:keepNext w:val="0"/>
        <w:keepLines w:val="0"/>
        <w:pageBreakBefore w:val="0"/>
        <w:numPr>
          <w:numId w:val="0"/>
        </w:numPr>
        <w:kinsoku/>
        <w:wordWrap/>
        <w:overflowPunct/>
        <w:topLinePunct w:val="0"/>
        <w:autoSpaceDE/>
        <w:autoSpaceDN/>
        <w:bidi w:val="0"/>
        <w:spacing w:line="560" w:lineRule="exact"/>
        <w:ind w:left="0" w:leftChars="0" w:firstLine="321" w:firstLineChars="100"/>
        <w:textAlignment w:val="auto"/>
        <w:rPr>
          <w:rFonts w:hint="eastAsia" w:eastAsia="仿宋_GB2312"/>
          <w:color w:val="FF0000"/>
          <w:sz w:val="32"/>
          <w:szCs w:val="32"/>
          <w:lang w:val="zh-CN"/>
        </w:rPr>
      </w:pPr>
      <w:r>
        <w:rPr>
          <w:rFonts w:hint="eastAsia" w:ascii="楷体_GB2312" w:eastAsia="楷体_GB2312"/>
          <w:b/>
          <w:sz w:val="32"/>
          <w:szCs w:val="32"/>
          <w:lang w:val="zh-CN"/>
        </w:rPr>
        <w:t>（二）预设问题及评价重点</w:t>
      </w:r>
    </w:p>
    <w:p w14:paraId="465642C2">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1.预设问题</w:t>
      </w:r>
    </w:p>
    <w:p w14:paraId="5EC8D17C">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（1）项目目标是否明确、具体、可衡量？</w:t>
      </w:r>
    </w:p>
    <w:p w14:paraId="5BB59E30">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（2）项目是否按照预定的计划和时间表执行？</w:t>
      </w:r>
    </w:p>
    <w:p w14:paraId="09B6601E">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（3）预算的使用是否合理、合规，有无超支或结余情况？</w:t>
      </w:r>
    </w:p>
    <w:p w14:paraId="7F612D0C">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（4）项目所产生的成果是否达到预期的质量标准？</w:t>
      </w:r>
    </w:p>
    <w:p w14:paraId="5798F4A0">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（5）项目的实施是否对社会公众产生了积极的影响？</w:t>
      </w:r>
    </w:p>
    <w:p w14:paraId="5D9DDE80">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（6）项目是否有可持续性，即项目成果能否在未来持续发挥作用？</w:t>
      </w:r>
    </w:p>
    <w:p w14:paraId="44F79851">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2.评价重点</w:t>
      </w:r>
    </w:p>
    <w:p w14:paraId="7D02BC4D">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（1）对比项目设定的目标和实际完成的情况，评估目标实现程度。</w:t>
      </w:r>
    </w:p>
    <w:p w14:paraId="7E8139DC">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（2）考评项目按照预定的计划和时间表执行、资金支付一致性情况。</w:t>
      </w:r>
    </w:p>
    <w:p w14:paraId="29F544C0">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（3）考核预算资金的使用合法、合规、合理，专款专用情况。</w:t>
      </w:r>
    </w:p>
    <w:p w14:paraId="664AE75C">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（4）考核项目产生的社会效益、可持续影响等绩效目标实现情况。</w:t>
      </w:r>
    </w:p>
    <w:p w14:paraId="6F038D4B">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（5）评价服务对象获得感和幸福感及满意度情况。</w:t>
      </w:r>
    </w:p>
    <w:p w14:paraId="74852B37">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eastAsia="仿宋_GB2312"/>
          <w:color w:val="FF0000"/>
          <w:sz w:val="32"/>
          <w:szCs w:val="32"/>
          <w:lang w:val="zh-CN"/>
        </w:rPr>
      </w:pPr>
      <w:r>
        <w:rPr>
          <w:rFonts w:hint="eastAsia" w:ascii="楷体_GB2312" w:eastAsia="楷体_GB2312"/>
          <w:b/>
          <w:sz w:val="32"/>
          <w:szCs w:val="32"/>
          <w:lang w:val="zh-CN"/>
        </w:rPr>
        <w:t>（三）评价选点</w:t>
      </w:r>
    </w:p>
    <w:p w14:paraId="443EDCCB">
      <w:pPr>
        <w:keepNext w:val="0"/>
        <w:keepLines w:val="0"/>
        <w:pageBreakBefore w:val="0"/>
        <w:widowControl w:val="0"/>
        <w:kinsoku/>
        <w:wordWrap/>
        <w:overflowPunct/>
        <w:topLinePunct w:val="0"/>
        <w:autoSpaceDE/>
        <w:autoSpaceDN/>
        <w:bidi w:val="0"/>
        <w:spacing w:line="560" w:lineRule="exact"/>
        <w:ind w:left="0" w:leftChars="0" w:firstLine="320" w:firstLineChars="100"/>
        <w:textAlignment w:val="auto"/>
        <w:rPr>
          <w:rFonts w:hint="eastAsia" w:eastAsia="仿宋_GB2312"/>
          <w:lang w:val="zh-CN"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第38届凉山州青少年科技创新大赛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从组织实施能力、资金到位率、是否按照相关规定合法合规合理使用、是否专款专用、有无超支结余、赛事是否符合行业标准、评审是否公开公正公平、能否完成项目预定目标、所产生的社会效益等情况进行抽样评价。</w:t>
      </w:r>
    </w:p>
    <w:p w14:paraId="50DCAF3B">
      <w:pPr>
        <w:keepNext w:val="0"/>
        <w:keepLines w:val="0"/>
        <w:pageBreakBefore w:val="0"/>
        <w:numPr>
          <w:numId w:val="0"/>
        </w:numPr>
        <w:kinsoku/>
        <w:wordWrap/>
        <w:overflowPunct/>
        <w:topLinePunct w:val="0"/>
        <w:autoSpaceDE/>
        <w:autoSpaceDN/>
        <w:bidi w:val="0"/>
        <w:spacing w:line="560" w:lineRule="exact"/>
        <w:ind w:left="0" w:leftChars="0" w:firstLine="643" w:firstLineChars="200"/>
        <w:textAlignment w:val="auto"/>
        <w:rPr>
          <w:rFonts w:hint="eastAsia" w:eastAsia="仿宋_GB2312"/>
          <w:color w:val="FF0000"/>
          <w:sz w:val="32"/>
          <w:szCs w:val="32"/>
          <w:lang w:val="zh-CN"/>
        </w:rPr>
      </w:pPr>
      <w:r>
        <w:rPr>
          <w:rFonts w:hint="eastAsia" w:ascii="楷体_GB2312" w:eastAsia="楷体_GB2312"/>
          <w:b/>
          <w:sz w:val="32"/>
          <w:szCs w:val="32"/>
          <w:lang w:val="zh-CN"/>
        </w:rPr>
        <w:t>（四）评价方法</w:t>
      </w:r>
    </w:p>
    <w:p w14:paraId="114F5EC8">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州科协是项目组织、实施和监管的主管单位，我中心</w:t>
      </w:r>
      <w:r>
        <w:rPr>
          <w:rFonts w:hint="eastAsia" w:ascii="仿宋_GB2312" w:hAnsi="仿宋_GB2312" w:eastAsia="仿宋_GB2312" w:cs="仿宋_GB2312"/>
          <w:sz w:val="32"/>
          <w:szCs w:val="32"/>
          <w:lang w:eastAsia="zh-CN"/>
        </w:rPr>
        <w:t>采取单位自评与部门他评结合的方式，对照</w:t>
      </w:r>
      <w:r>
        <w:rPr>
          <w:rFonts w:hint="eastAsia" w:ascii="仿宋_GB2312" w:hAnsi="仿宋_GB2312" w:eastAsia="仿宋_GB2312" w:cs="仿宋_GB2312"/>
          <w:sz w:val="32"/>
          <w:szCs w:val="32"/>
          <w:lang w:val="zh-CN" w:eastAsia="zh-CN"/>
        </w:rPr>
        <w:t>“部门预算项目支出绩效自评表（2023年度</w:t>
      </w:r>
      <w:r>
        <w:rPr>
          <w:rFonts w:hint="eastAsia" w:eastAsia="仿宋_GB2312"/>
          <w:sz w:val="32"/>
          <w:szCs w:val="32"/>
          <w:lang w:val="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结合项目内容特点逐项进行评价。</w:t>
      </w:r>
    </w:p>
    <w:p w14:paraId="58B459B5">
      <w:pPr>
        <w:keepNext w:val="0"/>
        <w:keepLines w:val="0"/>
        <w:pageBreakBefore w:val="0"/>
        <w:numPr>
          <w:numId w:val="0"/>
        </w:numPr>
        <w:kinsoku/>
        <w:wordWrap/>
        <w:overflowPunct/>
        <w:topLinePunct w:val="0"/>
        <w:autoSpaceDE/>
        <w:autoSpaceDN/>
        <w:bidi w:val="0"/>
        <w:spacing w:line="560" w:lineRule="exact"/>
        <w:ind w:left="0" w:leftChars="0" w:firstLine="643" w:firstLineChars="200"/>
        <w:textAlignment w:val="auto"/>
        <w:rPr>
          <w:rFonts w:hint="eastAsia" w:eastAsia="仿宋_GB2312"/>
          <w:color w:val="FF0000"/>
          <w:sz w:val="32"/>
          <w:szCs w:val="32"/>
          <w:lang w:val="zh-CN"/>
        </w:rPr>
      </w:pPr>
      <w:r>
        <w:rPr>
          <w:rFonts w:hint="eastAsia" w:ascii="楷体_GB2312" w:eastAsia="楷体_GB2312"/>
          <w:b/>
          <w:sz w:val="32"/>
          <w:szCs w:val="32"/>
          <w:lang w:val="zh-CN"/>
        </w:rPr>
        <w:t>（五）评价组织</w:t>
      </w:r>
    </w:p>
    <w:p w14:paraId="362C62E2">
      <w:pPr>
        <w:pStyle w:val="3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lang w:val="en-US" w:eastAsia="zh-CN"/>
        </w:rPr>
      </w:pPr>
      <w:r>
        <w:rPr>
          <w:rFonts w:hint="eastAsia"/>
          <w:lang w:val="en-US" w:eastAsia="zh-CN"/>
        </w:rPr>
        <w:t>州科协组织临时评价组进行评价，主要参与人员由项目负责人吴朝兰、赵菲、工作人员邓伟等参与。评价工作情况向副主席、主席逐级汇报。</w:t>
      </w:r>
    </w:p>
    <w:p w14:paraId="0F820C25">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黑体" w:hAnsi="黑体" w:eastAsia="黑体"/>
          <w:sz w:val="32"/>
          <w:szCs w:val="32"/>
          <w:lang w:val="zh-CN"/>
        </w:rPr>
      </w:pPr>
      <w:r>
        <w:rPr>
          <w:rFonts w:hint="eastAsia" w:ascii="黑体" w:hAnsi="黑体" w:eastAsia="黑体"/>
          <w:sz w:val="32"/>
          <w:szCs w:val="32"/>
          <w:lang w:val="zh-CN"/>
        </w:rPr>
        <w:t>三、绩效分析</w:t>
      </w:r>
    </w:p>
    <w:p w14:paraId="29DC79E0">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ascii="楷体_GB2312" w:eastAsia="楷体_GB2312"/>
          <w:b/>
          <w:sz w:val="32"/>
          <w:szCs w:val="32"/>
          <w:lang w:val="zh-CN"/>
        </w:rPr>
      </w:pPr>
      <w:r>
        <w:rPr>
          <w:rFonts w:hint="eastAsia" w:ascii="楷体_GB2312" w:eastAsia="楷体_GB2312"/>
          <w:b/>
          <w:sz w:val="32"/>
          <w:szCs w:val="32"/>
          <w:lang w:val="zh-CN"/>
        </w:rPr>
        <w:t>（一）通用指标绩效分析</w:t>
      </w:r>
    </w:p>
    <w:p w14:paraId="597FADDB">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eastAsia="仿宋_GB2312"/>
          <w:color w:val="auto"/>
          <w:sz w:val="32"/>
          <w:szCs w:val="32"/>
          <w:lang w:val="zh-CN"/>
        </w:rPr>
      </w:pPr>
      <w:r>
        <w:rPr>
          <w:rFonts w:hint="eastAsia" w:ascii="楷体_GB2312" w:eastAsia="楷体_GB2312"/>
          <w:color w:val="auto"/>
          <w:sz w:val="32"/>
          <w:szCs w:val="32"/>
          <w:lang w:val="zh-CN"/>
        </w:rPr>
        <w:t>1.项目决策</w:t>
      </w:r>
    </w:p>
    <w:p w14:paraId="661BFECA">
      <w:pPr>
        <w:keepNext w:val="0"/>
        <w:keepLines w:val="0"/>
        <w:pageBreakBefore w:val="0"/>
        <w:kinsoku/>
        <w:wordWrap/>
        <w:overflowPunct/>
        <w:topLinePunct w:val="0"/>
        <w:autoSpaceDE/>
        <w:autoSpaceDN/>
        <w:bidi w:val="0"/>
        <w:spacing w:line="560" w:lineRule="exact"/>
        <w:ind w:left="0" w:leftChars="0" w:firstLine="720"/>
        <w:textAlignment w:val="auto"/>
        <w:rPr>
          <w:rFonts w:ascii="仿宋_GB2312" w:hAnsi="仿宋_GB2312" w:eastAsia="仿宋_GB2312" w:cs="仿宋_GB2312"/>
        </w:rPr>
      </w:pPr>
      <w:r>
        <w:rPr>
          <w:rFonts w:hint="eastAsia" w:ascii="仿宋_GB2312" w:hAnsi="仿宋_GB2312" w:eastAsia="仿宋_GB2312" w:cs="仿宋_GB2312"/>
          <w:color w:val="auto"/>
          <w:sz w:val="32"/>
          <w:szCs w:val="32"/>
          <w:lang w:eastAsia="zh-CN"/>
        </w:rPr>
        <w:t>州科协是项目组织、实施和监管的主管单位，</w:t>
      </w:r>
      <w:r>
        <w:rPr>
          <w:rFonts w:hint="eastAsia" w:ascii="仿宋_GB2312" w:hAnsi="仿宋_GB2312" w:eastAsia="仿宋_GB2312" w:cs="仿宋_GB2312"/>
          <w:color w:val="auto"/>
          <w:spacing w:val="6"/>
          <w:sz w:val="32"/>
          <w:szCs w:val="32"/>
          <w:shd w:val="clear" w:color="auto" w:fill="FFFFFF"/>
          <w:lang w:val="zh-CN" w:eastAsia="zh-CN"/>
        </w:rPr>
        <w:t>在项目决策和实施方面坚持“资金跟着项目走、项目跟着决策走”的理念，</w:t>
      </w:r>
      <w:r>
        <w:rPr>
          <w:rFonts w:hint="eastAsia" w:ascii="仿宋_GB2312" w:hAnsi="仿宋_GB2312" w:eastAsia="仿宋_GB2312" w:cs="仿宋_GB2312"/>
          <w:color w:val="auto"/>
          <w:spacing w:val="6"/>
          <w:sz w:val="32"/>
          <w:szCs w:val="32"/>
          <w:shd w:val="clear" w:color="auto" w:fill="FFFFFF"/>
          <w:lang w:eastAsia="zh-CN"/>
        </w:rPr>
        <w:t>项目决策程序严密、项目规划论证符合中省要求，项目绩效目标设置科学合理、项目资金使用严格按照年初预算批复执行、项目总体规划与行业事业发展相匹配，州科协党组项目资金预算上能够依法依规、深入调研统筹考虑。方案报送州委分管领导审签，并向州委派驻纪检组进行报备。</w:t>
      </w:r>
    </w:p>
    <w:p w14:paraId="313B0D2A">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eastAsia="仿宋_GB2312"/>
          <w:color w:val="FF0000"/>
          <w:sz w:val="32"/>
          <w:szCs w:val="32"/>
          <w:lang w:val="zh-CN"/>
        </w:rPr>
      </w:pPr>
      <w:r>
        <w:rPr>
          <w:rFonts w:hint="eastAsia" w:ascii="楷体_GB2312" w:eastAsia="楷体_GB2312"/>
          <w:color w:val="auto"/>
          <w:sz w:val="32"/>
          <w:szCs w:val="32"/>
          <w:lang w:val="en-US" w:eastAsia="zh-CN"/>
        </w:rPr>
        <w:t>2.</w:t>
      </w:r>
      <w:r>
        <w:rPr>
          <w:rFonts w:hint="eastAsia" w:ascii="楷体_GB2312" w:eastAsia="楷体_GB2312"/>
          <w:color w:val="auto"/>
          <w:sz w:val="32"/>
          <w:szCs w:val="32"/>
          <w:lang w:val="zh-CN"/>
        </w:rPr>
        <w:t>项目管理</w:t>
      </w:r>
    </w:p>
    <w:p w14:paraId="08A600EE">
      <w:pPr>
        <w:keepNext w:val="0"/>
        <w:keepLines w:val="0"/>
        <w:pageBreakBefore w:val="0"/>
        <w:kinsoku/>
        <w:wordWrap/>
        <w:overflowPunct/>
        <w:topLinePunct w:val="0"/>
        <w:autoSpaceDE/>
        <w:autoSpaceDN/>
        <w:bidi w:val="0"/>
        <w:spacing w:line="560" w:lineRule="exact"/>
        <w:ind w:left="0" w:leftChars="0" w:firstLine="720"/>
        <w:textAlignment w:val="auto"/>
        <w:rPr>
          <w:rFonts w:hint="eastAsia" w:ascii="仿宋_GB2312" w:hAnsi="仿宋_GB2312" w:eastAsia="仿宋_GB2312" w:cs="仿宋_GB2312"/>
          <w:color w:val="auto"/>
          <w:spacing w:val="6"/>
          <w:sz w:val="32"/>
          <w:szCs w:val="32"/>
          <w:shd w:val="clear" w:color="auto" w:fill="FFFFFF"/>
          <w:lang w:eastAsia="zh-CN"/>
        </w:rPr>
      </w:pPr>
      <w:r>
        <w:rPr>
          <w:rFonts w:hint="eastAsia" w:ascii="仿宋_GB2312" w:hAnsi="仿宋_GB2312" w:eastAsia="仿宋_GB2312" w:cs="仿宋_GB2312"/>
          <w:color w:val="auto"/>
          <w:spacing w:val="6"/>
          <w:sz w:val="32"/>
          <w:szCs w:val="32"/>
          <w:shd w:val="clear" w:color="auto" w:fill="FFFFFF"/>
          <w:lang w:eastAsia="zh-CN"/>
        </w:rPr>
        <w:t>凉山州科学技术协会科普专项资金严格执行《四川省科普专项资金管理办法》（川财教〔2020〕83号）、《凉山州科技计划项目专项资金管理办法》（凉财规〔2020〕2号）及凉山州各部门相关配套科普专项资金管理办法和我部门财务管理制度。</w:t>
      </w:r>
    </w:p>
    <w:p w14:paraId="6C727EC3">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left="0" w:leftChars="0"/>
        <w:textAlignment w:val="auto"/>
        <w:rPr>
          <w:rFonts w:hint="eastAsia" w:ascii="楷体_GB2312" w:eastAsia="楷体_GB2312"/>
          <w:color w:val="auto"/>
          <w:sz w:val="32"/>
          <w:szCs w:val="32"/>
          <w:lang w:val="zh-CN"/>
        </w:rPr>
      </w:pPr>
      <w:r>
        <w:rPr>
          <w:rFonts w:hint="eastAsia" w:ascii="楷体_GB2312" w:eastAsia="楷体_GB2312"/>
          <w:color w:val="auto"/>
          <w:sz w:val="32"/>
          <w:szCs w:val="32"/>
          <w:lang w:val="zh-CN"/>
        </w:rPr>
        <w:t>项目实施</w:t>
      </w:r>
    </w:p>
    <w:p w14:paraId="14F6ADF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7" w:firstLineChars="200"/>
        <w:textAlignment w:val="auto"/>
        <w:rPr>
          <w:rFonts w:hint="eastAsia" w:ascii="仿宋_GB2312" w:hAnsi="仿宋_GB2312" w:eastAsia="仿宋_GB2312" w:cs="仿宋_GB2312"/>
          <w:color w:val="auto"/>
          <w:spacing w:val="6"/>
          <w:kern w:val="0"/>
          <w:sz w:val="32"/>
          <w:szCs w:val="32"/>
          <w:shd w:val="clear" w:color="auto" w:fill="FFFFFF"/>
          <w:lang w:val="zh-CN" w:eastAsia="zh-CN" w:bidi="ar-SA"/>
        </w:rPr>
      </w:pPr>
      <w:r>
        <w:rPr>
          <w:rFonts w:hint="eastAsia" w:ascii="仿宋_GB2312" w:hAnsi="仿宋_GB2312" w:eastAsia="仿宋_GB2312" w:cs="仿宋_GB2312"/>
          <w:b/>
          <w:bCs/>
          <w:color w:val="auto"/>
          <w:spacing w:val="6"/>
          <w:kern w:val="0"/>
          <w:sz w:val="32"/>
          <w:szCs w:val="32"/>
          <w:shd w:val="clear" w:color="auto" w:fill="FFFFFF"/>
          <w:lang w:val="zh-CN" w:eastAsia="zh-CN" w:bidi="ar-SA"/>
        </w:rPr>
        <w:t>一是</w:t>
      </w:r>
      <w:r>
        <w:rPr>
          <w:rFonts w:hint="eastAsia" w:ascii="仿宋_GB2312" w:hAnsi="仿宋_GB2312" w:eastAsia="仿宋_GB2312" w:cs="仿宋_GB2312"/>
          <w:color w:val="auto"/>
          <w:spacing w:val="6"/>
          <w:kern w:val="0"/>
          <w:sz w:val="32"/>
          <w:szCs w:val="32"/>
          <w:shd w:val="clear" w:color="auto" w:fill="FFFFFF"/>
          <w:lang w:val="zh-CN" w:eastAsia="zh-CN" w:bidi="ar-SA"/>
        </w:rPr>
        <w:t>项目实施前，认真做好工作计划和经费预算，认真制定大赛工作方案；</w:t>
      </w:r>
      <w:r>
        <w:rPr>
          <w:rFonts w:hint="eastAsia" w:ascii="仿宋_GB2312" w:hAnsi="仿宋_GB2312" w:eastAsia="仿宋_GB2312" w:cs="仿宋_GB2312"/>
          <w:b/>
          <w:bCs/>
          <w:color w:val="auto"/>
          <w:spacing w:val="6"/>
          <w:kern w:val="0"/>
          <w:sz w:val="32"/>
          <w:szCs w:val="32"/>
          <w:shd w:val="clear" w:color="auto" w:fill="FFFFFF"/>
          <w:lang w:val="zh-CN" w:eastAsia="zh-CN" w:bidi="ar-SA"/>
        </w:rPr>
        <w:t>二是</w:t>
      </w:r>
      <w:r>
        <w:rPr>
          <w:rFonts w:hint="eastAsia" w:ascii="仿宋_GB2312" w:hAnsi="仿宋_GB2312" w:eastAsia="仿宋_GB2312" w:cs="仿宋_GB2312"/>
          <w:color w:val="auto"/>
          <w:spacing w:val="6"/>
          <w:kern w:val="0"/>
          <w:sz w:val="32"/>
          <w:szCs w:val="32"/>
          <w:shd w:val="clear" w:color="auto" w:fill="FFFFFF"/>
          <w:lang w:val="zh-CN" w:eastAsia="zh-CN" w:bidi="ar-SA"/>
        </w:rPr>
        <w:t>提早部署，于2023年5月启动工作，对大赛进行安排部署，举办大赛暨科技骨干教师培训班；</w:t>
      </w:r>
      <w:r>
        <w:rPr>
          <w:rFonts w:hint="eastAsia" w:ascii="仿宋_GB2312" w:hAnsi="仿宋_GB2312" w:eastAsia="仿宋_GB2312" w:cs="仿宋_GB2312"/>
          <w:b/>
          <w:bCs/>
          <w:color w:val="auto"/>
          <w:spacing w:val="6"/>
          <w:kern w:val="0"/>
          <w:sz w:val="32"/>
          <w:szCs w:val="32"/>
          <w:shd w:val="clear" w:color="auto" w:fill="FFFFFF"/>
          <w:lang w:val="zh-CN" w:eastAsia="zh-CN" w:bidi="ar-SA"/>
        </w:rPr>
        <w:t>三是</w:t>
      </w:r>
      <w:r>
        <w:rPr>
          <w:rFonts w:hint="eastAsia" w:ascii="仿宋_GB2312" w:hAnsi="仿宋_GB2312" w:eastAsia="仿宋_GB2312" w:cs="仿宋_GB2312"/>
          <w:color w:val="auto"/>
          <w:spacing w:val="6"/>
          <w:kern w:val="0"/>
          <w:sz w:val="32"/>
          <w:szCs w:val="32"/>
          <w:shd w:val="clear" w:color="auto" w:fill="FFFFFF"/>
          <w:lang w:val="zh-CN" w:eastAsia="zh-CN" w:bidi="ar-SA"/>
        </w:rPr>
        <w:t>做好基层赛事的宣传发动和组织工作，17县市和广大中小学校积极响应，组织中小学生积极参与大赛各类活动；</w:t>
      </w:r>
      <w:r>
        <w:rPr>
          <w:rFonts w:hint="eastAsia" w:ascii="仿宋_GB2312" w:hAnsi="仿宋_GB2312" w:eastAsia="仿宋_GB2312" w:cs="仿宋_GB2312"/>
          <w:b/>
          <w:bCs/>
          <w:color w:val="auto"/>
          <w:spacing w:val="6"/>
          <w:kern w:val="0"/>
          <w:sz w:val="32"/>
          <w:szCs w:val="32"/>
          <w:shd w:val="clear" w:color="auto" w:fill="FFFFFF"/>
          <w:lang w:val="zh-CN" w:eastAsia="zh-CN" w:bidi="ar-SA"/>
        </w:rPr>
        <w:t>四是</w:t>
      </w:r>
      <w:r>
        <w:rPr>
          <w:rFonts w:hint="eastAsia" w:ascii="仿宋_GB2312" w:hAnsi="仿宋_GB2312" w:eastAsia="仿宋_GB2312" w:cs="仿宋_GB2312"/>
          <w:color w:val="auto"/>
          <w:spacing w:val="6"/>
          <w:kern w:val="0"/>
          <w:sz w:val="32"/>
          <w:szCs w:val="32"/>
          <w:shd w:val="clear" w:color="auto" w:fill="FFFFFF"/>
          <w:lang w:val="zh-CN" w:eastAsia="zh-CN" w:bidi="ar-SA"/>
        </w:rPr>
        <w:t>严格规范大赛评审程序，成立专家评审委员会，严谨细致、公开、公平、公正开展评审工作；</w:t>
      </w:r>
      <w:r>
        <w:rPr>
          <w:rFonts w:hint="eastAsia" w:ascii="仿宋_GB2312" w:hAnsi="仿宋_GB2312" w:eastAsia="仿宋_GB2312" w:cs="仿宋_GB2312"/>
          <w:b/>
          <w:bCs/>
          <w:color w:val="auto"/>
          <w:spacing w:val="6"/>
          <w:kern w:val="0"/>
          <w:sz w:val="32"/>
          <w:szCs w:val="32"/>
          <w:shd w:val="clear" w:color="auto" w:fill="FFFFFF"/>
          <w:lang w:val="zh-CN" w:eastAsia="zh-CN" w:bidi="ar-SA"/>
        </w:rPr>
        <w:t>五是</w:t>
      </w:r>
      <w:r>
        <w:rPr>
          <w:rFonts w:hint="eastAsia" w:ascii="仿宋_GB2312" w:hAnsi="仿宋_GB2312" w:eastAsia="仿宋_GB2312" w:cs="仿宋_GB2312"/>
          <w:color w:val="auto"/>
          <w:spacing w:val="6"/>
          <w:kern w:val="0"/>
          <w:sz w:val="32"/>
          <w:szCs w:val="32"/>
          <w:shd w:val="clear" w:color="auto" w:fill="FFFFFF"/>
          <w:lang w:val="zh-CN" w:eastAsia="zh-CN" w:bidi="ar-SA"/>
        </w:rPr>
        <w:t>精心筹备和举办大型终评展示活动，展示大赛成果，进一步扩大了大赛的影响力，达到了预期效果。</w:t>
      </w:r>
    </w:p>
    <w:p w14:paraId="6F03C2B9">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eastAsia="仿宋_GB2312"/>
          <w:color w:val="FF0000"/>
          <w:sz w:val="32"/>
          <w:szCs w:val="32"/>
          <w:lang w:val="zh-CN"/>
        </w:rPr>
      </w:pPr>
      <w:r>
        <w:rPr>
          <w:rFonts w:hint="eastAsia" w:ascii="楷体_GB2312" w:eastAsia="楷体_GB2312"/>
          <w:color w:val="auto"/>
          <w:sz w:val="32"/>
          <w:szCs w:val="32"/>
          <w:lang w:val="en-US" w:eastAsia="zh-CN"/>
        </w:rPr>
        <w:t>4.</w:t>
      </w:r>
      <w:r>
        <w:rPr>
          <w:rFonts w:hint="eastAsia" w:ascii="楷体_GB2312" w:eastAsia="楷体_GB2312"/>
          <w:color w:val="auto"/>
          <w:sz w:val="32"/>
          <w:szCs w:val="32"/>
          <w:lang w:val="zh-CN"/>
        </w:rPr>
        <w:t>项目结果</w:t>
      </w:r>
    </w:p>
    <w:p w14:paraId="0D4366B2">
      <w:pPr>
        <w:keepNext w:val="0"/>
        <w:keepLines w:val="0"/>
        <w:pageBreakBefore w:val="0"/>
        <w:kinsoku/>
        <w:wordWrap/>
        <w:overflowPunct/>
        <w:topLinePunct w:val="0"/>
        <w:autoSpaceDE/>
        <w:autoSpaceDN/>
        <w:bidi w:val="0"/>
        <w:adjustRightInd w:val="0"/>
        <w:snapToGrid w:val="0"/>
        <w:spacing w:line="560" w:lineRule="exact"/>
        <w:ind w:left="0" w:leftChars="0" w:firstLine="664" w:firstLineChars="200"/>
        <w:textAlignment w:val="auto"/>
        <w:rPr>
          <w:rFonts w:hint="eastAsia" w:ascii="仿宋_GB2312" w:hAnsi="仿宋_GB2312" w:eastAsia="仿宋_GB2312" w:cs="仿宋_GB2312"/>
          <w:color w:val="auto"/>
          <w:spacing w:val="6"/>
          <w:kern w:val="0"/>
          <w:sz w:val="32"/>
          <w:szCs w:val="32"/>
          <w:shd w:val="clear" w:color="auto" w:fill="FFFFFF"/>
          <w:lang w:val="zh-CN" w:eastAsia="zh-CN" w:bidi="ar-SA"/>
        </w:rPr>
      </w:pPr>
      <w:r>
        <w:rPr>
          <w:rFonts w:hint="eastAsia" w:ascii="仿宋_GB2312" w:hAnsi="仿宋_GB2312" w:eastAsia="仿宋_GB2312" w:cs="仿宋_GB2312"/>
          <w:color w:val="auto"/>
          <w:spacing w:val="6"/>
          <w:kern w:val="0"/>
          <w:sz w:val="32"/>
          <w:szCs w:val="32"/>
          <w:shd w:val="clear" w:color="auto" w:fill="FFFFFF"/>
          <w:lang w:val="zh-CN" w:eastAsia="zh-CN" w:bidi="ar-SA"/>
        </w:rPr>
        <w:t>第38届凉山州青少年科技创新大赛以“新时代·新少年·爱科学·爱创造”为主题，于2023年5月启动。全州共有430余所中小学、16.2万余名中小学师生参加活动。大赛共征集作品995项，经资格审查和专家初评，淘汰质量较差作品285项，确定入围终评作品710项。于12月14日-16日在凉山州航天科普教育基地隆重举行终评展示会，对98项青少年科技创新作品、85项辅导员创新作品进行了现场问辩，对11项优秀科技实践活动和67幅少儿科幻绘画作品进行了公开展示。来自全州17个县（市）300余名青少年和80余名科技辅导员教师相聚一堂，参加封闭问辩、公开展示和交流活动。经专家问辩、现场展示和全体评委综合评议，最终评出青少年科技创新作品一等奖15项、二等奖34项、三等奖49项；科技辅导员科技创新作品一等奖12项、二等奖29项、三等奖44项；青少年优秀科技实践活动一等奖11项、二等奖27项、三等奖38项；少儿科幻想画一等奖67幅，二等奖161幅，三等奖224幅。凉山航天科普教育基地为大赛特设专项奖“航小创奖”，10个青少年科技创新作品和5个科技辅导员科技创新作品的参赛选手获此荣誉和奖金奖”。诸多获奖的优秀作品，充分展示了我州青少年和科技辅导员在科学探究和创新实践中取得的进步和收获。终评展示会期间，组委会还安排了科普报告、AI培训、VR体验、球幕观影、卫星发射基地参观等科学主题嘉年华活动，为参赛师生们奉上了一场科普盛宴，掀起了青少年科技教育的新高潮。</w:t>
      </w:r>
    </w:p>
    <w:p w14:paraId="763D8DDB">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eastAsia="仿宋_GB2312"/>
          <w:color w:val="FF0000"/>
          <w:sz w:val="32"/>
          <w:szCs w:val="32"/>
          <w:lang w:val="zh-CN"/>
        </w:rPr>
      </w:pPr>
      <w:r>
        <w:rPr>
          <w:rFonts w:hint="eastAsia" w:ascii="楷体_GB2312" w:eastAsia="楷体_GB2312"/>
          <w:b/>
          <w:color w:val="auto"/>
          <w:sz w:val="32"/>
          <w:szCs w:val="32"/>
          <w:lang w:val="zh-CN"/>
        </w:rPr>
        <w:t>（二）专用指标绩效分析</w:t>
      </w:r>
    </w:p>
    <w:p w14:paraId="47E05428">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eastAsia="仿宋_GB2312"/>
          <w:color w:val="FF0000"/>
          <w:sz w:val="32"/>
          <w:szCs w:val="32"/>
          <w:lang w:val="zh-CN"/>
        </w:rPr>
      </w:pPr>
      <w:r>
        <w:rPr>
          <w:rFonts w:hint="eastAsia" w:ascii="楷体_GB2312" w:eastAsia="楷体_GB2312"/>
          <w:color w:val="auto"/>
          <w:sz w:val="32"/>
          <w:szCs w:val="32"/>
          <w:lang w:val="en-US" w:eastAsia="zh-CN"/>
        </w:rPr>
        <w:t>1</w:t>
      </w:r>
      <w:r>
        <w:rPr>
          <w:rFonts w:hint="eastAsia" w:ascii="楷体_GB2312" w:eastAsia="楷体_GB2312"/>
          <w:color w:val="auto"/>
          <w:sz w:val="32"/>
          <w:szCs w:val="32"/>
          <w:lang w:val="zh-CN"/>
        </w:rPr>
        <w:t>.民生保障</w:t>
      </w:r>
    </w:p>
    <w:p w14:paraId="736C626D">
      <w:pPr>
        <w:keepNext w:val="0"/>
        <w:keepLines w:val="0"/>
        <w:pageBreakBefore w:val="0"/>
        <w:kinsoku/>
        <w:wordWrap/>
        <w:overflowPunct/>
        <w:topLinePunct w:val="0"/>
        <w:autoSpaceDE/>
        <w:autoSpaceDN/>
        <w:bidi w:val="0"/>
        <w:spacing w:line="560" w:lineRule="exact"/>
        <w:ind w:left="0" w:leftChars="0" w:firstLine="720"/>
        <w:textAlignment w:val="auto"/>
        <w:rPr>
          <w:rFonts w:hint="eastAsia" w:ascii="仿宋_GB2312" w:hAnsi="仿宋_GB2312" w:eastAsia="仿宋_GB2312" w:cs="仿宋_GB2312"/>
          <w:color w:val="auto"/>
          <w:spacing w:val="6"/>
          <w:kern w:val="0"/>
          <w:sz w:val="32"/>
          <w:szCs w:val="32"/>
          <w:shd w:val="clear" w:color="auto" w:fill="FFFFFF"/>
          <w:lang w:val="zh-CN" w:eastAsia="zh-CN" w:bidi="ar-SA"/>
        </w:rPr>
      </w:pPr>
      <w:r>
        <w:rPr>
          <w:rFonts w:hint="eastAsia" w:ascii="仿宋_GB2312" w:hAnsi="仿宋_GB2312" w:eastAsia="仿宋_GB2312" w:cs="仿宋_GB2312"/>
          <w:color w:val="auto"/>
          <w:spacing w:val="6"/>
          <w:kern w:val="0"/>
          <w:sz w:val="32"/>
          <w:szCs w:val="32"/>
          <w:shd w:val="clear" w:color="auto" w:fill="FFFFFF"/>
          <w:lang w:val="en-US" w:eastAsia="zh-CN" w:bidi="ar-SA"/>
        </w:rPr>
        <w:t xml:space="preserve"> 按照省青少中心要求和州科协党组审议通过进行项目立项，资金得到州财政局大力支持，资金使用严格执行</w:t>
      </w:r>
      <w:r>
        <w:rPr>
          <w:rFonts w:hint="eastAsia" w:ascii="仿宋_GB2312" w:hAnsi="仿宋_GB2312" w:eastAsia="仿宋_GB2312" w:cs="仿宋_GB2312"/>
          <w:color w:val="auto"/>
          <w:spacing w:val="6"/>
          <w:sz w:val="32"/>
          <w:szCs w:val="32"/>
          <w:shd w:val="clear" w:color="auto" w:fill="FFFFFF"/>
          <w:lang w:eastAsia="zh-CN"/>
        </w:rPr>
        <w:t>凉山州科学技术协会科普专项资金严格执行《四川省科普专项资金管理办法》（川财教〔2020〕83号）、《凉山州科技计划项目专项资金管理办法》（凉财规〔2020〕2号）及凉山州各部门相关配套科普专项资金管理办法和我部门财务管理制度。大赛于</w:t>
      </w:r>
      <w:r>
        <w:rPr>
          <w:rFonts w:hint="eastAsia" w:ascii="仿宋_GB2312" w:hAnsi="仿宋_GB2312" w:eastAsia="仿宋_GB2312" w:cs="仿宋_GB2312"/>
          <w:color w:val="auto"/>
          <w:spacing w:val="6"/>
          <w:sz w:val="32"/>
          <w:szCs w:val="32"/>
          <w:shd w:val="clear" w:color="auto" w:fill="FFFFFF"/>
          <w:lang w:val="en-US" w:eastAsia="zh-CN"/>
        </w:rPr>
        <w:t>2</w:t>
      </w:r>
      <w:r>
        <w:rPr>
          <w:rFonts w:hint="eastAsia" w:ascii="仿宋_GB2312" w:hAnsi="仿宋_GB2312" w:eastAsia="仿宋_GB2312" w:cs="仿宋_GB2312"/>
          <w:color w:val="auto"/>
          <w:spacing w:val="6"/>
          <w:kern w:val="0"/>
          <w:sz w:val="32"/>
          <w:szCs w:val="32"/>
          <w:shd w:val="clear" w:color="auto" w:fill="FFFFFF"/>
          <w:lang w:val="en-US" w:eastAsia="zh-CN" w:bidi="ar-SA"/>
        </w:rPr>
        <w:t>023年5月启动，全州共有430余所中小学、16.2万余名中小学师生参加活动。大赛共征集作品995项，经资格审查和专家初评，确定入围终评作品710项。于12月14日-16日在凉山州航天科普教育基地隆重举行终评展示会，对98项青少年科技创新作品、85项辅导员创新作品进行了现场问辩，对11项优秀科技实践活动和67幅少儿科幻绘画作品进行了公开展示。于2023年12月圆满完成所有项目任务和专项资金的支付。预算执行率100%。该赛事成为全州青少年和科技教师开展的一项规模最大、层级最高的综合性科技竞赛活动。</w:t>
      </w:r>
      <w:r>
        <w:rPr>
          <w:rFonts w:hint="eastAsia" w:ascii="仿宋_GB2312" w:hAnsi="仿宋_GB2312" w:eastAsia="仿宋_GB2312" w:cs="仿宋_GB2312"/>
          <w:color w:val="auto"/>
          <w:spacing w:val="6"/>
          <w:kern w:val="0"/>
          <w:sz w:val="32"/>
          <w:szCs w:val="32"/>
          <w:shd w:val="clear" w:color="auto" w:fill="FFFFFF"/>
          <w:lang w:val="zh-CN" w:eastAsia="zh-CN" w:bidi="ar-SA"/>
        </w:rPr>
        <w:t>项目的开展得到老师、家长、学生的高度赞扬，满意度达到100%。</w:t>
      </w:r>
    </w:p>
    <w:p w14:paraId="73451544">
      <w:pPr>
        <w:keepNext w:val="0"/>
        <w:keepLines w:val="0"/>
        <w:pageBreakBefore w:val="0"/>
        <w:kinsoku/>
        <w:wordWrap/>
        <w:overflowPunct/>
        <w:topLinePunct w:val="0"/>
        <w:autoSpaceDE/>
        <w:autoSpaceDN/>
        <w:bidi w:val="0"/>
        <w:spacing w:line="560" w:lineRule="exact"/>
        <w:ind w:left="0" w:leftChars="0" w:firstLine="720"/>
        <w:textAlignment w:val="auto"/>
        <w:rPr>
          <w:rFonts w:hint="eastAsia" w:eastAsia="仿宋_GB2312"/>
          <w:color w:val="FF0000"/>
          <w:sz w:val="32"/>
          <w:szCs w:val="32"/>
          <w:lang w:val="zh-CN"/>
        </w:rPr>
      </w:pPr>
      <w:r>
        <w:rPr>
          <w:rFonts w:hint="eastAsia" w:ascii="仿宋_GB2312" w:hAnsi="仿宋_GB2312" w:eastAsia="仿宋_GB2312" w:cs="仿宋_GB2312"/>
          <w:b/>
          <w:bCs/>
          <w:color w:val="auto"/>
          <w:spacing w:val="6"/>
          <w:kern w:val="0"/>
          <w:sz w:val="32"/>
          <w:szCs w:val="32"/>
          <w:shd w:val="clear" w:color="auto" w:fill="FFFFFF"/>
          <w:lang w:val="zh-CN" w:eastAsia="zh-CN" w:bidi="ar-SA"/>
        </w:rPr>
        <w:t>（三）</w:t>
      </w:r>
      <w:r>
        <w:rPr>
          <w:rFonts w:hint="eastAsia" w:ascii="楷体_GB2312" w:eastAsia="楷体_GB2312"/>
          <w:b/>
          <w:bCs/>
          <w:color w:val="auto"/>
          <w:sz w:val="32"/>
          <w:szCs w:val="32"/>
          <w:lang w:val="zh-CN"/>
        </w:rPr>
        <w:t>个性指标绩效分析</w:t>
      </w:r>
    </w:p>
    <w:p w14:paraId="78DE3C3C">
      <w:pPr>
        <w:keepNext w:val="0"/>
        <w:keepLines w:val="0"/>
        <w:pageBreakBefore w:val="0"/>
        <w:kinsoku/>
        <w:wordWrap/>
        <w:overflowPunct/>
        <w:topLinePunct w:val="0"/>
        <w:autoSpaceDE/>
        <w:autoSpaceDN/>
        <w:bidi w:val="0"/>
        <w:adjustRightInd w:val="0"/>
        <w:snapToGrid w:val="0"/>
        <w:spacing w:line="560" w:lineRule="exact"/>
        <w:ind w:left="0" w:leftChars="0" w:firstLine="664" w:firstLineChars="200"/>
        <w:textAlignment w:val="auto"/>
        <w:rPr>
          <w:rFonts w:hint="eastAsia" w:eastAsia="仿宋_GB2312"/>
          <w:lang w:val="en-US" w:eastAsia="zh-CN"/>
        </w:rPr>
      </w:pPr>
      <w:r>
        <w:rPr>
          <w:rFonts w:hint="eastAsia" w:ascii="仿宋_GB2312" w:hAnsi="仿宋_GB2312" w:eastAsia="仿宋_GB2312" w:cs="仿宋_GB2312"/>
          <w:color w:val="auto"/>
          <w:spacing w:val="6"/>
          <w:kern w:val="0"/>
          <w:sz w:val="32"/>
          <w:szCs w:val="32"/>
          <w:shd w:val="clear" w:color="auto" w:fill="FFFFFF"/>
          <w:lang w:val="zh-CN" w:eastAsia="zh-CN" w:bidi="ar-SA"/>
        </w:rPr>
        <w:t>第38届凉山州青少年科技创新大赛以“新时代·新少年·爱科学·爱创造”为主题，于2023年5月启动。全州共有430余所中小学、16.2万余名中小学师生参加活动。大赛共征集作品995项，经资格审查和专家初评，淘汰质量较差作品285项，确定入围终评作品710项。于12月14日-16日在凉山州航天科普教育基地隆重举行终评展示会，对98项青少年科技创新作品、85项辅导员创新作品进行了现场问辩，对11项优秀科技实践活动和67幅少儿科幻绘画作品进行了公开展示。来自全州17个县（市）300余名青少年和80余名科技辅导员教师相聚一堂，参加封闭问辩、公开展示和交流活动。经专家问辩、现场展示和全体评委综合评议，最终评出青少年科技创新作品一等奖15项、二等奖34项、三等奖49项；科技辅导员科技创新作品一等奖12项、二等奖29项、三等奖44项；青少年优秀科技实践活动一等奖11项、二等奖27项、三等奖38项；少儿科幻想画一等奖67幅，二等奖161幅，三等奖224幅。凉山航天科普教育基地为大赛特设专项奖“航小创奖”，10个青少年科技创新作品和5个科技辅导员科技创新作品的参赛选手获此荣誉和奖金奖”。诸多获奖的优秀作品，充分展示了我州青少年和科技辅导员在科学探究和创新实践中取得的进步和收获。终评展示会期间，组委会还安排了科普报告、AI培训、VR体验、球幕观影、卫星发射基地参观等科学主题嘉年华活动，为参赛师生们奉上了一场科普盛宴，掀起了青少年科技教育的新高潮。参与老师、家长和学生满意度达100%。</w:t>
      </w:r>
    </w:p>
    <w:p w14:paraId="11B9B4DB">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olor w:val="auto"/>
          <w:sz w:val="32"/>
          <w:szCs w:val="32"/>
          <w:lang w:val="zh-CN"/>
        </w:rPr>
      </w:pPr>
      <w:r>
        <w:rPr>
          <w:rFonts w:hint="eastAsia" w:ascii="黑体" w:hAnsi="黑体" w:eastAsia="黑体"/>
          <w:color w:val="auto"/>
          <w:sz w:val="32"/>
          <w:szCs w:val="32"/>
          <w:lang w:val="zh-CN"/>
        </w:rPr>
        <w:t>四、评价结论</w:t>
      </w:r>
    </w:p>
    <w:p w14:paraId="0F51F05E">
      <w:pPr>
        <w:keepNext w:val="0"/>
        <w:keepLines w:val="0"/>
        <w:pageBreakBefore w:val="0"/>
        <w:kinsoku/>
        <w:wordWrap/>
        <w:overflowPunct/>
        <w:topLinePunct w:val="0"/>
        <w:autoSpaceDE/>
        <w:autoSpaceDN/>
        <w:bidi w:val="0"/>
        <w:adjustRightInd w:val="0"/>
        <w:snapToGrid w:val="0"/>
        <w:spacing w:line="560" w:lineRule="exact"/>
        <w:ind w:left="0" w:leftChars="0" w:firstLine="664" w:firstLineChars="200"/>
        <w:textAlignment w:val="auto"/>
        <w:rPr>
          <w:rFonts w:hint="eastAsia" w:ascii="仿宋_GB2312" w:hAnsi="仿宋_GB2312" w:eastAsia="仿宋_GB2312" w:cs="仿宋_GB2312"/>
          <w:color w:val="auto"/>
          <w:spacing w:val="6"/>
          <w:kern w:val="0"/>
          <w:sz w:val="32"/>
          <w:szCs w:val="32"/>
          <w:shd w:val="clear" w:color="auto" w:fill="FFFFFF"/>
          <w:lang w:val="zh-CN" w:eastAsia="zh-CN" w:bidi="ar-SA"/>
        </w:rPr>
      </w:pPr>
      <w:r>
        <w:rPr>
          <w:rFonts w:hint="eastAsia" w:ascii="仿宋_GB2312" w:hAnsi="仿宋_GB2312" w:eastAsia="仿宋_GB2312" w:cs="仿宋_GB2312"/>
          <w:color w:val="auto"/>
          <w:spacing w:val="6"/>
          <w:kern w:val="0"/>
          <w:sz w:val="32"/>
          <w:szCs w:val="32"/>
          <w:shd w:val="clear" w:color="auto" w:fill="FFFFFF"/>
          <w:lang w:val="zh-CN" w:eastAsia="zh-CN" w:bidi="ar-SA"/>
        </w:rPr>
        <w:t>第38届凉山州青少年科技创新大赛，充分展示了我州青少年和教师在体验和探究身边科学的实践中所取得的成果，体现了我州青少年科技教育的新理念，成为面向全州青少年和科技教师开展的一项规模最大 、层级最高的综合性科技竞赛活动，成为我州中小学校各类科技创新活动成果集中展示的一个平台，对推动全州青少年科技创新活动广泛开展起到了很好的示范和导向作用。通过大赛活动，极大地激发了广大青少年的创新创意热情，培养了广大青少年的实践能力，有力促进了广大青少年“学科学、爱科学、用科学”良好风尚的形成。项目的开展得到老师、家长、学生的高度赞扬，满意度达到100%。自评得分100分。</w:t>
      </w:r>
    </w:p>
    <w:p w14:paraId="0E02A2EA">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744E97FC">
      <w:pPr>
        <w:keepNext w:val="0"/>
        <w:keepLines w:val="0"/>
        <w:pageBreakBefore w:val="0"/>
        <w:kinsoku/>
        <w:wordWrap/>
        <w:overflowPunct/>
        <w:topLinePunct w:val="0"/>
        <w:autoSpaceDE/>
        <w:autoSpaceDN/>
        <w:bidi w:val="0"/>
        <w:adjustRightInd w:val="0"/>
        <w:snapToGrid w:val="0"/>
        <w:spacing w:line="560" w:lineRule="exact"/>
        <w:ind w:left="0" w:leftChars="0" w:firstLine="664" w:firstLineChars="200"/>
        <w:textAlignment w:val="auto"/>
        <w:rPr>
          <w:rFonts w:hint="eastAsia" w:ascii="仿宋_GB2312" w:hAnsi="仿宋_GB2312" w:eastAsia="仿宋_GB2312" w:cs="仿宋_GB2312"/>
          <w:color w:val="auto"/>
          <w:spacing w:val="6"/>
          <w:kern w:val="0"/>
          <w:sz w:val="32"/>
          <w:szCs w:val="32"/>
          <w:shd w:val="clear" w:color="auto" w:fill="FFFFFF"/>
          <w:lang w:val="zh-CN" w:eastAsia="zh-CN" w:bidi="ar-SA"/>
        </w:rPr>
      </w:pPr>
      <w:r>
        <w:rPr>
          <w:rFonts w:hint="eastAsia" w:ascii="仿宋_GB2312" w:hAnsi="仿宋_GB2312" w:eastAsia="仿宋_GB2312" w:cs="仿宋_GB2312"/>
          <w:color w:val="auto"/>
          <w:spacing w:val="6"/>
          <w:kern w:val="0"/>
          <w:sz w:val="32"/>
          <w:szCs w:val="32"/>
          <w:shd w:val="clear" w:color="auto" w:fill="FFFFFF"/>
          <w:lang w:val="zh-CN" w:eastAsia="zh-CN" w:bidi="ar-SA"/>
        </w:rPr>
        <w:t>活动的宣传面还需继续加强 ；部分县市重视程度不够 ，组织工作不够规范；参赛项目作品创新度不高；激励机制不健全，学校、教师和学生的积极性还有待提高。</w:t>
      </w:r>
    </w:p>
    <w:p w14:paraId="071BB46C">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eastAsia="仿宋_GB2312"/>
          <w:color w:val="FF0000"/>
          <w:sz w:val="32"/>
          <w:szCs w:val="32"/>
          <w:lang w:val="zh-CN"/>
        </w:rPr>
      </w:pPr>
      <w:r>
        <w:rPr>
          <w:rFonts w:hint="eastAsia" w:ascii="黑体" w:hAnsi="黑体" w:eastAsia="黑体"/>
          <w:color w:val="auto"/>
          <w:sz w:val="32"/>
          <w:szCs w:val="32"/>
          <w:lang w:val="zh-CN"/>
        </w:rPr>
        <w:t>六、改进建议</w:t>
      </w:r>
      <w:r>
        <w:rPr>
          <w:rFonts w:hint="eastAsia" w:eastAsia="仿宋_GB2312"/>
          <w:color w:val="FF0000"/>
          <w:sz w:val="32"/>
          <w:szCs w:val="32"/>
          <w:lang w:val="zh-CN"/>
        </w:rPr>
        <w:t xml:space="preserve"> </w:t>
      </w:r>
    </w:p>
    <w:p w14:paraId="07B4C836">
      <w:pPr>
        <w:keepNext w:val="0"/>
        <w:keepLines w:val="0"/>
        <w:pageBreakBefore w:val="0"/>
        <w:kinsoku/>
        <w:wordWrap/>
        <w:overflowPunct/>
        <w:topLinePunct w:val="0"/>
        <w:autoSpaceDE/>
        <w:autoSpaceDN/>
        <w:bidi w:val="0"/>
        <w:adjustRightInd w:val="0"/>
        <w:snapToGrid w:val="0"/>
        <w:spacing w:line="560" w:lineRule="exact"/>
        <w:ind w:left="0" w:leftChars="0" w:firstLine="664" w:firstLineChars="200"/>
        <w:textAlignment w:val="auto"/>
        <w:rPr>
          <w:rFonts w:hint="eastAsia" w:ascii="仿宋_GB2312" w:hAnsi="仿宋_GB2312" w:eastAsia="仿宋_GB2312" w:cs="仿宋_GB2312"/>
          <w:color w:val="auto"/>
          <w:spacing w:val="6"/>
          <w:kern w:val="0"/>
          <w:sz w:val="32"/>
          <w:szCs w:val="32"/>
          <w:shd w:val="clear" w:color="auto" w:fill="FFFFFF"/>
          <w:lang w:val="zh-CN" w:eastAsia="zh-CN" w:bidi="ar-SA"/>
        </w:rPr>
      </w:pPr>
      <w:r>
        <w:rPr>
          <w:rFonts w:hint="eastAsia" w:ascii="仿宋_GB2312" w:hAnsi="仿宋_GB2312" w:eastAsia="仿宋_GB2312" w:cs="仿宋_GB2312"/>
          <w:color w:val="auto"/>
          <w:spacing w:val="6"/>
          <w:kern w:val="0"/>
          <w:sz w:val="32"/>
          <w:szCs w:val="32"/>
          <w:shd w:val="clear" w:color="auto" w:fill="FFFFFF"/>
          <w:lang w:val="zh-CN" w:eastAsia="zh-CN" w:bidi="ar-SA"/>
        </w:rPr>
        <w:t>改进措施：</w:t>
      </w:r>
      <w:r>
        <w:rPr>
          <w:rFonts w:hint="eastAsia" w:ascii="仿宋_GB2312" w:hAnsi="仿宋_GB2312" w:eastAsia="仿宋_GB2312" w:cs="仿宋_GB2312"/>
          <w:b/>
          <w:bCs/>
          <w:color w:val="auto"/>
          <w:spacing w:val="6"/>
          <w:kern w:val="0"/>
          <w:sz w:val="32"/>
          <w:szCs w:val="32"/>
          <w:shd w:val="clear" w:color="auto" w:fill="FFFFFF"/>
          <w:lang w:val="zh-CN" w:eastAsia="zh-CN" w:bidi="ar-SA"/>
        </w:rPr>
        <w:t>一是</w:t>
      </w:r>
      <w:r>
        <w:rPr>
          <w:rFonts w:hint="eastAsia" w:ascii="仿宋_GB2312" w:hAnsi="仿宋_GB2312" w:eastAsia="仿宋_GB2312" w:cs="仿宋_GB2312"/>
          <w:color w:val="auto"/>
          <w:spacing w:val="6"/>
          <w:kern w:val="0"/>
          <w:sz w:val="32"/>
          <w:szCs w:val="32"/>
          <w:shd w:val="clear" w:color="auto" w:fill="FFFFFF"/>
          <w:lang w:val="zh-CN" w:eastAsia="zh-CN" w:bidi="ar-SA"/>
        </w:rPr>
        <w:t>以县市为基础，争取当地教育部门的支持配合，大力做好宣传引导 ，抓好基层学校的科技创新大赛工作；</w:t>
      </w:r>
      <w:r>
        <w:rPr>
          <w:rFonts w:hint="eastAsia" w:ascii="仿宋_GB2312" w:hAnsi="仿宋_GB2312" w:eastAsia="仿宋_GB2312" w:cs="仿宋_GB2312"/>
          <w:b/>
          <w:bCs/>
          <w:color w:val="auto"/>
          <w:spacing w:val="6"/>
          <w:kern w:val="0"/>
          <w:sz w:val="32"/>
          <w:szCs w:val="32"/>
          <w:shd w:val="clear" w:color="auto" w:fill="FFFFFF"/>
          <w:lang w:val="zh-CN" w:eastAsia="zh-CN" w:bidi="ar-SA"/>
        </w:rPr>
        <w:t>二是</w:t>
      </w:r>
      <w:r>
        <w:rPr>
          <w:rFonts w:hint="eastAsia" w:ascii="仿宋_GB2312" w:hAnsi="仿宋_GB2312" w:eastAsia="仿宋_GB2312" w:cs="仿宋_GB2312"/>
          <w:color w:val="auto"/>
          <w:spacing w:val="6"/>
          <w:kern w:val="0"/>
          <w:sz w:val="32"/>
          <w:szCs w:val="32"/>
          <w:shd w:val="clear" w:color="auto" w:fill="FFFFFF"/>
          <w:lang w:val="zh-CN" w:eastAsia="zh-CN" w:bidi="ar-SA"/>
        </w:rPr>
        <w:t>树立典型示范学校、辐射周边学校；</w:t>
      </w:r>
      <w:r>
        <w:rPr>
          <w:rFonts w:hint="eastAsia" w:ascii="仿宋_GB2312" w:hAnsi="仿宋_GB2312" w:eastAsia="仿宋_GB2312" w:cs="仿宋_GB2312"/>
          <w:b/>
          <w:bCs/>
          <w:color w:val="auto"/>
          <w:spacing w:val="6"/>
          <w:kern w:val="0"/>
          <w:sz w:val="32"/>
          <w:szCs w:val="32"/>
          <w:shd w:val="clear" w:color="auto" w:fill="FFFFFF"/>
          <w:lang w:val="zh-CN" w:eastAsia="zh-CN" w:bidi="ar-SA"/>
        </w:rPr>
        <w:t>三是</w:t>
      </w:r>
      <w:r>
        <w:rPr>
          <w:rFonts w:hint="eastAsia" w:ascii="仿宋_GB2312" w:hAnsi="仿宋_GB2312" w:eastAsia="仿宋_GB2312" w:cs="仿宋_GB2312"/>
          <w:color w:val="auto"/>
          <w:spacing w:val="6"/>
          <w:kern w:val="0"/>
          <w:sz w:val="32"/>
          <w:szCs w:val="32"/>
          <w:shd w:val="clear" w:color="auto" w:fill="FFFFFF"/>
          <w:lang w:val="zh-CN" w:eastAsia="zh-CN" w:bidi="ar-SA"/>
        </w:rPr>
        <w:t>争取州财政 、教育部门的支持，加快构建激励机制；</w:t>
      </w:r>
      <w:r>
        <w:rPr>
          <w:rFonts w:hint="eastAsia" w:ascii="仿宋_GB2312" w:hAnsi="仿宋_GB2312" w:eastAsia="仿宋_GB2312" w:cs="仿宋_GB2312"/>
          <w:b/>
          <w:bCs/>
          <w:color w:val="auto"/>
          <w:spacing w:val="6"/>
          <w:kern w:val="0"/>
          <w:sz w:val="32"/>
          <w:szCs w:val="32"/>
          <w:shd w:val="clear" w:color="auto" w:fill="FFFFFF"/>
          <w:lang w:val="zh-CN" w:eastAsia="zh-CN" w:bidi="ar-SA"/>
        </w:rPr>
        <w:t>四是</w:t>
      </w:r>
      <w:r>
        <w:rPr>
          <w:rFonts w:hint="eastAsia" w:ascii="仿宋_GB2312" w:hAnsi="仿宋_GB2312" w:eastAsia="仿宋_GB2312" w:cs="仿宋_GB2312"/>
          <w:color w:val="auto"/>
          <w:spacing w:val="6"/>
          <w:kern w:val="0"/>
          <w:sz w:val="32"/>
          <w:szCs w:val="32"/>
          <w:shd w:val="clear" w:color="auto" w:fill="FFFFFF"/>
          <w:lang w:val="zh-CN" w:eastAsia="zh-CN" w:bidi="ar-SA"/>
        </w:rPr>
        <w:t>加强科教师资培训力度。</w:t>
      </w:r>
    </w:p>
    <w:p w14:paraId="4081797B">
      <w:pPr>
        <w:keepNext w:val="0"/>
        <w:keepLines w:val="0"/>
        <w:pageBreakBefore w:val="0"/>
        <w:kinsoku/>
        <w:wordWrap/>
        <w:overflowPunct/>
        <w:topLinePunct w:val="0"/>
        <w:autoSpaceDE/>
        <w:autoSpaceDN/>
        <w:bidi w:val="0"/>
        <w:adjustRightInd w:val="0"/>
        <w:snapToGrid w:val="0"/>
        <w:spacing w:line="560" w:lineRule="exact"/>
        <w:ind w:left="0" w:leftChars="0" w:firstLine="664" w:firstLineChars="200"/>
        <w:textAlignment w:val="auto"/>
        <w:rPr>
          <w:rFonts w:hint="eastAsia" w:ascii="仿宋_GB2312" w:hAnsi="仿宋_GB2312" w:eastAsia="仿宋_GB2312" w:cs="仿宋_GB2312"/>
          <w:color w:val="auto"/>
          <w:spacing w:val="6"/>
          <w:kern w:val="0"/>
          <w:sz w:val="32"/>
          <w:szCs w:val="32"/>
          <w:shd w:val="clear" w:color="auto" w:fill="FFFFFF"/>
          <w:lang w:val="zh-CN" w:eastAsia="zh-CN" w:bidi="ar-SA"/>
        </w:rPr>
      </w:pPr>
      <w:r>
        <w:rPr>
          <w:rFonts w:hint="eastAsia" w:ascii="仿宋_GB2312" w:hAnsi="仿宋_GB2312" w:eastAsia="仿宋_GB2312" w:cs="仿宋_GB2312"/>
          <w:color w:val="auto"/>
          <w:spacing w:val="6"/>
          <w:kern w:val="0"/>
          <w:sz w:val="32"/>
          <w:szCs w:val="32"/>
          <w:shd w:val="clear" w:color="auto" w:fill="FFFFFF"/>
          <w:lang w:val="zh-CN" w:eastAsia="zh-CN" w:bidi="ar-SA"/>
        </w:rPr>
        <w:t>相关建议。青少年科学兴趣的培养和科学素质的提高，是实施科技强国的基础性工程，建议合理增加科普经费，用于开展青少年科技创新及科学普及活动。</w:t>
      </w:r>
    </w:p>
    <w:p w14:paraId="77E70771">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eastAsia="仿宋_GB2312"/>
          <w:color w:val="FF0000"/>
          <w:sz w:val="32"/>
          <w:szCs w:val="32"/>
          <w:lang w:val="zh-CN"/>
        </w:rPr>
      </w:pPr>
    </w:p>
    <w:p w14:paraId="66954A42">
      <w:pPr>
        <w:pStyle w:val="40"/>
        <w:keepNext w:val="0"/>
        <w:keepLines w:val="0"/>
        <w:pageBreakBefore w:val="0"/>
        <w:kinsoku/>
        <w:wordWrap/>
        <w:overflowPunct/>
        <w:topLinePunct w:val="0"/>
        <w:autoSpaceDE/>
        <w:autoSpaceDN/>
        <w:bidi w:val="0"/>
        <w:spacing w:line="560" w:lineRule="exact"/>
        <w:ind w:left="0" w:leftChars="0" w:firstLine="3984" w:firstLineChars="1200"/>
        <w:textAlignment w:val="auto"/>
        <w:rPr>
          <w:rFonts w:hint="eastAsia" w:ascii="仿宋_GB2312" w:hAnsi="仿宋_GB2312" w:eastAsia="仿宋_GB2312" w:cs="仿宋_GB2312"/>
          <w:color w:val="auto"/>
          <w:spacing w:val="6"/>
          <w:kern w:val="0"/>
          <w:sz w:val="32"/>
          <w:szCs w:val="32"/>
          <w:shd w:val="clear" w:color="auto" w:fill="FFFFFF"/>
          <w:lang w:val="zh-CN" w:eastAsia="zh-CN" w:bidi="ar-SA"/>
        </w:rPr>
      </w:pPr>
      <w:r>
        <w:rPr>
          <w:rFonts w:hint="eastAsia" w:ascii="仿宋_GB2312" w:hAnsi="仿宋_GB2312" w:eastAsia="仿宋_GB2312" w:cs="仿宋_GB2312"/>
          <w:color w:val="auto"/>
          <w:spacing w:val="6"/>
          <w:kern w:val="0"/>
          <w:sz w:val="32"/>
          <w:szCs w:val="32"/>
          <w:shd w:val="clear" w:color="auto" w:fill="FFFFFF"/>
          <w:lang w:val="zh-CN" w:eastAsia="zh-CN" w:bidi="ar-SA"/>
        </w:rPr>
        <w:t>凉山州青少年科技活动中心</w:t>
      </w:r>
    </w:p>
    <w:p w14:paraId="76293126">
      <w:pPr>
        <w:pStyle w:val="6"/>
        <w:keepNext w:val="0"/>
        <w:keepLines w:val="0"/>
        <w:pageBreakBefore w:val="0"/>
        <w:kinsoku/>
        <w:wordWrap/>
        <w:overflowPunct/>
        <w:topLinePunct w:val="0"/>
        <w:autoSpaceDE/>
        <w:autoSpaceDN/>
        <w:bidi w:val="0"/>
        <w:spacing w:line="560" w:lineRule="exact"/>
        <w:ind w:left="0" w:leftChars="0" w:firstLine="4648" w:firstLineChars="1400"/>
        <w:textAlignment w:val="auto"/>
        <w:rPr>
          <w:rFonts w:hint="eastAsia" w:ascii="仿宋_GB2312" w:hAnsi="仿宋_GB2312" w:eastAsia="仿宋_GB2312" w:cs="仿宋_GB2312"/>
          <w:color w:val="auto"/>
          <w:spacing w:val="6"/>
          <w:sz w:val="32"/>
          <w:szCs w:val="32"/>
          <w:shd w:val="clear" w:color="auto" w:fill="FFFFFF"/>
          <w:lang w:val="en-US" w:eastAsia="zh-CN" w:bidi="ar-SA"/>
        </w:rPr>
      </w:pPr>
      <w:r>
        <w:rPr>
          <w:rFonts w:hint="eastAsia" w:ascii="仿宋_GB2312" w:hAnsi="仿宋_GB2312" w:eastAsia="仿宋_GB2312" w:cs="仿宋_GB2312"/>
          <w:color w:val="auto"/>
          <w:spacing w:val="6"/>
          <w:kern w:val="0"/>
          <w:sz w:val="32"/>
          <w:szCs w:val="32"/>
          <w:shd w:val="clear" w:color="auto" w:fill="FFFFFF"/>
          <w:lang w:val="zh-CN" w:eastAsia="zh-CN" w:bidi="ar-SA"/>
        </w:rPr>
        <w:t>2024年6月20日</w:t>
      </w:r>
    </w:p>
    <w:p w14:paraId="1937B2D8">
      <w:pPr>
        <w:rPr>
          <w:rFonts w:hint="eastAsia" w:ascii="Tahoma" w:hAnsi="Tahoma" w:eastAsia="方正仿宋简体" w:cstheme="minorBidi"/>
          <w:kern w:val="2"/>
          <w:sz w:val="32"/>
          <w:szCs w:val="22"/>
          <w:lang w:val="en-US" w:eastAsia="zh-CN" w:bidi="ar-SA"/>
        </w:rPr>
      </w:pPr>
      <w:r>
        <w:rPr>
          <w:rFonts w:hint="eastAsia" w:ascii="Tahoma" w:hAnsi="Tahoma" w:eastAsia="方正仿宋简体" w:cstheme="minorBidi"/>
          <w:kern w:val="2"/>
          <w:sz w:val="32"/>
          <w:szCs w:val="22"/>
          <w:lang w:val="zh-CN" w:eastAsia="zh-CN" w:bidi="ar-SA"/>
        </w:rPr>
        <w:t>附件</w:t>
      </w:r>
      <w:r>
        <w:rPr>
          <w:rFonts w:hint="eastAsia" w:ascii="Tahoma" w:hAnsi="Tahoma" w:eastAsia="方正仿宋简体" w:cstheme="minorBidi"/>
          <w:kern w:val="2"/>
          <w:sz w:val="32"/>
          <w:szCs w:val="22"/>
          <w:lang w:val="en-US" w:eastAsia="zh-CN" w:bidi="ar-SA"/>
        </w:rPr>
        <w:t>2-3：</w:t>
      </w:r>
    </w:p>
    <w:p w14:paraId="1369192D">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rPr>
        <w:t>凉山州科学技术协会</w:t>
      </w:r>
    </w:p>
    <w:p w14:paraId="218DB577">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学术交流活动业务经费绩效自评报告</w:t>
      </w:r>
    </w:p>
    <w:p w14:paraId="7B2C3E50">
      <w:pPr>
        <w:ind w:firstLine="640" w:firstLineChars="200"/>
        <w:rPr>
          <w:rFonts w:hint="eastAsia" w:ascii="黑体" w:hAnsi="黑体" w:eastAsia="黑体"/>
          <w:sz w:val="32"/>
          <w:szCs w:val="32"/>
          <w:lang w:val="zh-CN"/>
        </w:rPr>
      </w:pPr>
    </w:p>
    <w:p w14:paraId="3ABC5EB5">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14:paraId="32F211B2">
      <w:pPr>
        <w:ind w:firstLine="643" w:firstLineChars="200"/>
        <w:rPr>
          <w:rFonts w:hint="eastAsia" w:eastAsia="仿宋_GB2312"/>
          <w:color w:val="FF0000"/>
          <w:sz w:val="32"/>
          <w:szCs w:val="32"/>
          <w:lang w:val="zh-CN"/>
        </w:rPr>
      </w:pPr>
      <w:r>
        <w:rPr>
          <w:rFonts w:hint="eastAsia" w:ascii="楷体_GB2312" w:eastAsia="楷体_GB2312"/>
          <w:b/>
          <w:sz w:val="32"/>
          <w:szCs w:val="32"/>
          <w:lang w:val="zh-CN"/>
        </w:rPr>
        <w:t>（一）设立背景及基本情况</w:t>
      </w:r>
    </w:p>
    <w:p w14:paraId="58778FCD">
      <w:pPr>
        <w:widowControl/>
        <w:adjustRightInd w:val="0"/>
        <w:snapToGrid w:val="0"/>
        <w:spacing w:line="600" w:lineRule="exact"/>
        <w:ind w:firstLine="640" w:firstLineChars="200"/>
        <w:contextualSpacing/>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sz w:val="32"/>
          <w:szCs w:val="32"/>
          <w:lang w:val="zh-CN" w:eastAsia="zh-CN"/>
        </w:rPr>
        <w:t>凉山州科学技术协会（以下简称州科协）学会部承担着组织协调综合性、多学科重点课题的学术研讨、学术交流；搭建学术交流平台，开展自然科学优秀学术论文评选活动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搭建柔性引才平台，为企事业单位引进高层次人才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协调各部门并组织完成凉山州院士（专家）工作站建站审议评定任务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慰问具有影响力的科技人才，激励科技工作者为我州科技发展做出更大贡献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提升学会（协会）服务能力和学会自我发展能力等。为了积极开展学会科普、学术交流、科技创新与服务、建家服务等工作，</w:t>
      </w:r>
      <w:r>
        <w:rPr>
          <w:rFonts w:hint="eastAsia" w:ascii="仿宋_GB2312" w:hAnsi="仿宋_GB2312" w:eastAsia="仿宋_GB2312" w:cs="仿宋_GB2312"/>
          <w:kern w:val="0"/>
          <w:sz w:val="32"/>
          <w:szCs w:val="32"/>
          <w:lang w:eastAsia="zh-CN"/>
        </w:rPr>
        <w:t>党组根据我学会部年度承担的工作任务审议通过了年初项目预算安排，</w:t>
      </w:r>
      <w:r>
        <w:rPr>
          <w:rFonts w:hint="eastAsia" w:ascii="仿宋_GB2312" w:hAnsi="仿宋_GB2312" w:eastAsia="仿宋_GB2312" w:cs="仿宋_GB2312"/>
          <w:kern w:val="0"/>
          <w:sz w:val="32"/>
          <w:szCs w:val="32"/>
        </w:rPr>
        <w:t>州科术协以《凉山州科学技术协会关于2023年度州本级科普经费预算安排的通知》</w:t>
      </w:r>
      <w:r>
        <w:rPr>
          <w:rFonts w:hint="eastAsia" w:ascii="仿宋_GB2312" w:hAnsi="仿宋_GB2312" w:eastAsia="仿宋_GB2312" w:cs="仿宋_GB2312"/>
          <w:color w:val="000000" w:themeColor="text1"/>
          <w:kern w:val="0"/>
          <w:sz w:val="32"/>
          <w:szCs w:val="32"/>
        </w:rPr>
        <w:t>（凉科协〔2023〕10号）</w:t>
      </w:r>
      <w:r>
        <w:rPr>
          <w:rFonts w:hint="eastAsia" w:ascii="仿宋_GB2312" w:hAnsi="仿宋_GB2312" w:eastAsia="仿宋_GB2312" w:cs="仿宋_GB2312"/>
          <w:kern w:val="0"/>
          <w:sz w:val="32"/>
          <w:szCs w:val="32"/>
        </w:rPr>
        <w:t>文下达</w:t>
      </w:r>
      <w:r>
        <w:rPr>
          <w:rFonts w:hint="eastAsia" w:ascii="仿宋_GB2312" w:hAnsi="仿宋_GB2312" w:eastAsia="仿宋_GB2312" w:cs="仿宋_GB2312"/>
          <w:kern w:val="0"/>
          <w:sz w:val="32"/>
          <w:szCs w:val="32"/>
          <w:lang w:eastAsia="zh-CN"/>
        </w:rPr>
        <w:t>学会部</w:t>
      </w:r>
      <w:r>
        <w:rPr>
          <w:rFonts w:hint="eastAsia" w:ascii="仿宋_GB2312" w:hAnsi="仿宋_GB2312" w:eastAsia="仿宋_GB2312" w:cs="仿宋_GB2312"/>
          <w:kern w:val="0"/>
          <w:sz w:val="32"/>
          <w:szCs w:val="32"/>
        </w:rPr>
        <w:t>2023年度预算</w:t>
      </w:r>
      <w:r>
        <w:rPr>
          <w:rFonts w:hint="eastAsia" w:ascii="仿宋_GB2312" w:hAnsi="仿宋_GB2312" w:eastAsia="仿宋_GB2312" w:cs="仿宋_GB2312"/>
          <w:kern w:val="0"/>
          <w:sz w:val="32"/>
          <w:szCs w:val="32"/>
          <w:lang w:eastAsia="zh-CN"/>
        </w:rPr>
        <w:t>资金</w:t>
      </w:r>
      <w:r>
        <w:rPr>
          <w:rFonts w:hint="eastAsia" w:ascii="仿宋_GB2312" w:hAnsi="仿宋_GB2312" w:eastAsia="仿宋_GB2312" w:cs="仿宋_GB2312"/>
          <w:kern w:val="0"/>
          <w:sz w:val="32"/>
          <w:szCs w:val="32"/>
          <w:lang w:val="en-US" w:eastAsia="zh-CN"/>
        </w:rPr>
        <w:t>12万元，用于开展</w:t>
      </w:r>
      <w:r>
        <w:rPr>
          <w:rFonts w:hint="eastAsia" w:ascii="仿宋_GB2312" w:hAnsi="仿宋_GB2312" w:eastAsia="仿宋_GB2312" w:cs="仿宋_GB2312"/>
          <w:color w:val="auto"/>
          <w:spacing w:val="6"/>
          <w:sz w:val="32"/>
          <w:szCs w:val="32"/>
          <w:shd w:val="clear" w:color="auto" w:fill="FFFFFF"/>
          <w:lang w:val="en-US" w:eastAsia="zh-CN" w:bidi="ar-SA"/>
        </w:rPr>
        <w:t>凉山州第十一届自然科学优秀学术论文评选活动，作为</w:t>
      </w:r>
      <w:r>
        <w:rPr>
          <w:rFonts w:hint="eastAsia" w:ascii="仿宋_GB2312" w:hAnsi="仿宋_GB2312" w:eastAsia="仿宋_GB2312" w:cs="仿宋_GB2312"/>
          <w:sz w:val="32"/>
          <w:szCs w:val="32"/>
          <w:lang w:val="zh-CN" w:eastAsia="zh-CN"/>
        </w:rPr>
        <w:t>发放获奖人员奖金、专家评审费、凉山日报公示费、凉山州第十一届自然科学优秀学术论文集以及获奖证书、座牌、文件印制费等。</w:t>
      </w:r>
      <w:r>
        <w:rPr>
          <w:rFonts w:hint="eastAsia" w:ascii="仿宋_GB2312" w:hAnsi="仿宋_GB2312" w:eastAsia="仿宋_GB2312" w:cs="仿宋_GB2312"/>
          <w:color w:val="auto"/>
          <w:sz w:val="32"/>
          <w:szCs w:val="32"/>
          <w:lang w:val="zh-CN" w:eastAsia="zh-CN"/>
        </w:rPr>
        <w:t>该项目实施能够大力营造“尊重劳动、尊重知识、尊重人才”的良好社会氛围，充分发挥科技资源优势，为推动全州的科技创新和科技进步做贡献。</w:t>
      </w:r>
    </w:p>
    <w:p w14:paraId="1906D8B7">
      <w:pPr>
        <w:numPr>
          <w:ilvl w:val="0"/>
          <w:numId w:val="0"/>
        </w:numPr>
        <w:ind w:firstLine="643" w:firstLineChars="200"/>
        <w:rPr>
          <w:rFonts w:hint="eastAsia" w:eastAsia="仿宋_GB2312"/>
          <w:color w:val="FF0000"/>
          <w:sz w:val="32"/>
          <w:szCs w:val="32"/>
          <w:lang w:val="zh-CN"/>
        </w:rPr>
      </w:pPr>
      <w:r>
        <w:rPr>
          <w:rFonts w:hint="eastAsia" w:ascii="楷体_GB2312" w:eastAsia="楷体_GB2312"/>
          <w:b/>
          <w:sz w:val="32"/>
          <w:szCs w:val="32"/>
          <w:lang w:val="zh-CN"/>
        </w:rPr>
        <w:t>（二）预算安排及分配管理</w:t>
      </w:r>
    </w:p>
    <w:p w14:paraId="2279DAC1">
      <w:pPr>
        <w:widowControl/>
        <w:adjustRightInd w:val="0"/>
        <w:snapToGrid w:val="0"/>
        <w:spacing w:line="60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州科协党组对2023年的州级科普专项资金分配原则，是以围绕省科协重点工作“天府科技云服务”为主线，结合州委州政府工作规划要点及我科室具体工作任务，统筹考虑、科学分配。分配我科室12万元主要用于开展第十一届自然科学优秀学术论文评选活动等。</w:t>
      </w:r>
    </w:p>
    <w:p w14:paraId="36BED0C9">
      <w:pPr>
        <w:widowControl/>
        <w:adjustRightInd w:val="0"/>
        <w:snapToGrid w:val="0"/>
        <w:spacing w:line="600" w:lineRule="exact"/>
        <w:ind w:firstLine="643" w:firstLineChars="200"/>
        <w:contextualSpacing/>
        <w:rPr>
          <w:rFonts w:hint="eastAsia" w:ascii="仿宋_GB2312" w:hAnsi="仿宋_GB2312" w:eastAsia="仿宋_GB2312" w:cs="仿宋_GB2312"/>
          <w:sz w:val="32"/>
          <w:szCs w:val="32"/>
          <w:lang w:val="zh-CN" w:eastAsia="zh-CN"/>
        </w:rPr>
      </w:pPr>
      <w:r>
        <w:rPr>
          <w:rFonts w:hint="eastAsia" w:ascii="楷体_GB2312" w:eastAsia="楷体_GB2312"/>
          <w:b/>
          <w:sz w:val="32"/>
          <w:szCs w:val="32"/>
          <w:lang w:val="zh-CN"/>
        </w:rPr>
        <w:t>（三）项目绩效目标设置</w:t>
      </w:r>
    </w:p>
    <w:p w14:paraId="7112A9D4">
      <w:pPr>
        <w:widowControl/>
        <w:adjustRightInd w:val="0"/>
        <w:snapToGrid w:val="0"/>
        <w:spacing w:line="60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为了大力推动和实施创新驱动发展战略，大力营造“尊重劳动、尊重知识、尊重人才”的良好社会氛围，鼓励全州广大科技工作者开展科学研究，探求真理， 促进科学技术的繁荣和发展，为推动全州的科技创新和科技进步做贡献。根据具体申报数量中择优评选出一、二、三等奖，并发放获奖人员奖金、专家评审费、凉山日报公示费、凉山州第十一届自然科学优秀学术论文集印制费、获奖证书、座牌、文件等印制费。</w:t>
      </w:r>
    </w:p>
    <w:p w14:paraId="32694D17">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2F48A438">
      <w:pPr>
        <w:ind w:firstLine="643" w:firstLineChars="200"/>
        <w:rPr>
          <w:rFonts w:hint="eastAsia" w:eastAsia="仿宋_GB2312"/>
          <w:color w:val="FF0000"/>
          <w:sz w:val="32"/>
          <w:szCs w:val="32"/>
          <w:lang w:val="zh-CN"/>
        </w:rPr>
      </w:pPr>
      <w:r>
        <w:rPr>
          <w:rFonts w:hint="eastAsia" w:ascii="楷体_GB2312" w:eastAsia="楷体_GB2312"/>
          <w:b/>
          <w:sz w:val="32"/>
          <w:szCs w:val="32"/>
          <w:lang w:val="zh-CN"/>
        </w:rPr>
        <w:t>（一）评价目的</w:t>
      </w:r>
    </w:p>
    <w:p w14:paraId="0F3CCC16">
      <w:pPr>
        <w:widowControl/>
        <w:adjustRightInd w:val="0"/>
        <w:snapToGrid w:val="0"/>
        <w:spacing w:line="600" w:lineRule="exact"/>
        <w:ind w:firstLine="640" w:firstLineChars="200"/>
        <w:contextualSpacing/>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项目绩效自评，切实体现“用钱必问效、无效必问责”的财政项目资金绩效目标原则。监督项目资金是否遵守相关法律法规专款专用、有无偏离度、是否超范围超标准等使用情况，以及取得的社会效益，了解项目实施过程中的参与科技工作者的满意度和获得感等情况，为后期</w:t>
      </w:r>
      <w:r>
        <w:rPr>
          <w:rFonts w:hint="eastAsia" w:ascii="仿宋_GB2312" w:hAnsi="仿宋_GB2312" w:eastAsia="仿宋_GB2312" w:cs="仿宋_GB2312"/>
          <w:kern w:val="0"/>
          <w:sz w:val="32"/>
          <w:szCs w:val="32"/>
        </w:rPr>
        <w:t>确保</w:t>
      </w:r>
      <w:r>
        <w:rPr>
          <w:rFonts w:hint="eastAsia" w:ascii="仿宋_GB2312" w:hAnsi="仿宋_GB2312" w:eastAsia="仿宋_GB2312" w:cs="仿宋_GB2312"/>
          <w:kern w:val="0"/>
          <w:sz w:val="32"/>
          <w:szCs w:val="32"/>
          <w:lang w:eastAsia="zh-CN"/>
        </w:rPr>
        <w:t>学术交流活动业务经费</w:t>
      </w:r>
      <w:r>
        <w:rPr>
          <w:rFonts w:hint="eastAsia" w:ascii="仿宋_GB2312" w:hAnsi="仿宋_GB2312" w:eastAsia="仿宋_GB2312" w:cs="仿宋_GB2312"/>
          <w:kern w:val="0"/>
          <w:sz w:val="32"/>
          <w:szCs w:val="32"/>
        </w:rPr>
        <w:t>使用安全、透明、高速、效益化</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lang w:eastAsia="zh-CN"/>
        </w:rPr>
        <w:t>不断推进财政资金科学化、精细化管理。</w:t>
      </w:r>
    </w:p>
    <w:p w14:paraId="09989B69">
      <w:pPr>
        <w:numPr>
          <w:ilvl w:val="0"/>
          <w:numId w:val="0"/>
        </w:numPr>
        <w:ind w:firstLine="643" w:firstLineChars="200"/>
        <w:rPr>
          <w:rFonts w:hint="eastAsia" w:eastAsia="仿宋_GB2312"/>
          <w:color w:val="FF0000"/>
          <w:sz w:val="32"/>
          <w:szCs w:val="32"/>
          <w:lang w:val="zh-CN"/>
        </w:rPr>
      </w:pPr>
      <w:r>
        <w:rPr>
          <w:rFonts w:hint="eastAsia" w:ascii="楷体_GB2312" w:eastAsia="楷体_GB2312"/>
          <w:b/>
          <w:sz w:val="32"/>
          <w:szCs w:val="32"/>
          <w:lang w:val="zh-CN"/>
        </w:rPr>
        <w:t>（二）预设问题及评价重点</w:t>
      </w:r>
    </w:p>
    <w:p w14:paraId="38B0A57D">
      <w:pPr>
        <w:widowControl w:val="0"/>
        <w:kinsoku/>
        <w:autoSpaceDE/>
        <w:autoSpaceDN/>
        <w:spacing w:line="560" w:lineRule="exact"/>
        <w:ind w:firstLine="643" w:firstLineChars="200"/>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1.预设问题</w:t>
      </w:r>
    </w:p>
    <w:p w14:paraId="5DD5E44C">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（1）项目目标是否明确、具体、可衡量？</w:t>
      </w:r>
    </w:p>
    <w:p w14:paraId="73D095B9">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（2）项目是否按照预定的计划和时间表执行？</w:t>
      </w:r>
    </w:p>
    <w:p w14:paraId="6640581C">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（3）预算的使用是否合理、合规，有无超支或结余情况？</w:t>
      </w:r>
    </w:p>
    <w:p w14:paraId="13AB0AE9">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（4）项目所产生的成果是否达到预期的质量标准？</w:t>
      </w:r>
    </w:p>
    <w:p w14:paraId="6B26AA95">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（5）项目的实施是否对社会公众产生了积极的影响？</w:t>
      </w:r>
    </w:p>
    <w:p w14:paraId="1DC13CEB">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（6）项目是否有可持续性，即项目成果能否在未来持续发挥作用？</w:t>
      </w:r>
    </w:p>
    <w:p w14:paraId="5AE2A780">
      <w:pPr>
        <w:widowControl w:val="0"/>
        <w:kinsoku/>
        <w:autoSpaceDE/>
        <w:autoSpaceDN/>
        <w:spacing w:line="560" w:lineRule="exact"/>
        <w:ind w:firstLine="643" w:firstLineChars="200"/>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2.评价重点</w:t>
      </w:r>
    </w:p>
    <w:p w14:paraId="45506CE9">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（1）对比项目设定的目标和实际完成的情况，评估目标实现程度。</w:t>
      </w:r>
    </w:p>
    <w:p w14:paraId="545F9B79">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（2）考评项目按照预定的计划和时间表执行、资金支付一致性情况。</w:t>
      </w:r>
    </w:p>
    <w:p w14:paraId="3E035811">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（3）考核预算资金的使用合法、合规、合理，专款专用情况。</w:t>
      </w:r>
    </w:p>
    <w:p w14:paraId="0EEAD404">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（4）考核项目产生的社会效益、可持续影响等绩效目标实现情况。</w:t>
      </w:r>
    </w:p>
    <w:p w14:paraId="2F871D61">
      <w:pPr>
        <w:widowControl w:val="0"/>
        <w:kinsoku/>
        <w:autoSpaceDE/>
        <w:autoSpaceDN/>
        <w:spacing w:line="560" w:lineRule="exact"/>
        <w:ind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（5）评价服务对象获得感和幸福感及满意度情况。</w:t>
      </w:r>
    </w:p>
    <w:p w14:paraId="3788E1C5">
      <w:pPr>
        <w:ind w:firstLine="643" w:firstLineChars="200"/>
        <w:rPr>
          <w:rFonts w:hint="eastAsia" w:eastAsia="仿宋_GB2312"/>
          <w:color w:val="FF0000"/>
          <w:sz w:val="32"/>
          <w:szCs w:val="32"/>
          <w:lang w:val="zh-CN"/>
        </w:rPr>
      </w:pPr>
      <w:r>
        <w:rPr>
          <w:rFonts w:hint="eastAsia" w:ascii="楷体_GB2312" w:eastAsia="楷体_GB2312"/>
          <w:b/>
          <w:sz w:val="32"/>
          <w:szCs w:val="32"/>
          <w:lang w:val="zh-CN"/>
        </w:rPr>
        <w:t>（三）评价选点</w:t>
      </w:r>
    </w:p>
    <w:p w14:paraId="1F492F5A">
      <w:pPr>
        <w:widowControl w:val="0"/>
        <w:kinsoku/>
        <w:autoSpaceDE/>
        <w:autoSpaceDN/>
        <w:spacing w:line="560" w:lineRule="exact"/>
        <w:ind w:firstLine="320" w:firstLineChars="100"/>
        <w:textAlignment w:val="auto"/>
        <w:rPr>
          <w:rFonts w:hint="eastAsia" w:eastAsia="仿宋_GB2312"/>
          <w:lang w:val="zh-CN"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学术交流活动业务经费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项目选点为</w:t>
      </w:r>
      <w:r>
        <w:rPr>
          <w:rFonts w:hint="eastAsia" w:ascii="仿宋_GB2312" w:hAnsi="仿宋_GB2312" w:eastAsia="仿宋_GB2312" w:cs="仿宋_GB2312"/>
          <w:kern w:val="0"/>
          <w:sz w:val="32"/>
          <w:szCs w:val="32"/>
        </w:rPr>
        <w:t>凉山州第十一届自然科学优秀学术论文</w:t>
      </w:r>
      <w:r>
        <w:rPr>
          <w:rFonts w:hint="eastAsia" w:ascii="仿宋_GB2312" w:hAnsi="仿宋_GB2312" w:eastAsia="仿宋_GB2312" w:cs="仿宋_GB2312"/>
          <w:sz w:val="32"/>
          <w:szCs w:val="32"/>
          <w:lang w:eastAsia="zh-CN"/>
        </w:rPr>
        <w:t>评选。从组织实施能力、资金到位率、是否按照相关规定合法合规合理使用、是否专款专用、有无超支结余、评审是否行业达标、是否公开公正公平、能否完成项目预定目标、所产生的社会效益等情况进行抽样评价。</w:t>
      </w:r>
    </w:p>
    <w:p w14:paraId="4B9995FC">
      <w:pPr>
        <w:numPr>
          <w:ilvl w:val="0"/>
          <w:numId w:val="0"/>
        </w:numPr>
        <w:ind w:leftChars="200"/>
        <w:rPr>
          <w:rFonts w:hint="eastAsia" w:eastAsia="仿宋_GB2312"/>
          <w:color w:val="FF0000"/>
          <w:sz w:val="32"/>
          <w:szCs w:val="32"/>
          <w:lang w:val="zh-CN"/>
        </w:rPr>
      </w:pPr>
      <w:r>
        <w:rPr>
          <w:rFonts w:hint="eastAsia" w:ascii="楷体_GB2312" w:eastAsia="楷体_GB2312"/>
          <w:b/>
          <w:sz w:val="32"/>
          <w:szCs w:val="32"/>
          <w:lang w:val="zh-CN"/>
        </w:rPr>
        <w:t>（四）评价方法</w:t>
      </w:r>
    </w:p>
    <w:p w14:paraId="7F4E38EC">
      <w:pPr>
        <w:widowControl w:val="0"/>
        <w:kinsoku/>
        <w:autoSpaceDE/>
        <w:autoSpaceDN/>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州科协是项目组织、实施和监管的主管单位，州科协自评工作组</w:t>
      </w:r>
      <w:r>
        <w:rPr>
          <w:rFonts w:hint="eastAsia" w:ascii="仿宋_GB2312" w:hAnsi="仿宋_GB2312" w:eastAsia="仿宋_GB2312" w:cs="仿宋_GB2312"/>
          <w:sz w:val="32"/>
          <w:szCs w:val="32"/>
          <w:lang w:eastAsia="zh-CN"/>
        </w:rPr>
        <w:t>采取单位自评与</w:t>
      </w:r>
      <w:r>
        <w:rPr>
          <w:rFonts w:hint="eastAsia" w:ascii="仿宋_GB2312" w:hAnsi="仿宋_GB2312" w:eastAsia="仿宋_GB2312" w:cs="仿宋_GB2312"/>
          <w:sz w:val="32"/>
          <w:szCs w:val="32"/>
          <w:lang w:val="zh-CN" w:eastAsia="zh-CN"/>
        </w:rPr>
        <w:t>座谈调研法</w:t>
      </w:r>
      <w:r>
        <w:rPr>
          <w:rFonts w:hint="eastAsia" w:ascii="仿宋_GB2312" w:hAnsi="仿宋_GB2312" w:eastAsia="仿宋_GB2312" w:cs="仿宋_GB2312"/>
          <w:sz w:val="32"/>
          <w:szCs w:val="32"/>
          <w:lang w:eastAsia="zh-CN"/>
        </w:rPr>
        <w:t>相结合的方式，对照</w:t>
      </w:r>
      <w:r>
        <w:rPr>
          <w:rFonts w:hint="eastAsia" w:ascii="仿宋_GB2312" w:hAnsi="仿宋_GB2312" w:eastAsia="仿宋_GB2312" w:cs="仿宋_GB2312"/>
          <w:sz w:val="32"/>
          <w:szCs w:val="32"/>
          <w:lang w:val="zh-CN" w:eastAsia="zh-CN"/>
        </w:rPr>
        <w:t>“部门预算项目支出绩效自评表（2023年度</w:t>
      </w:r>
      <w:r>
        <w:rPr>
          <w:rFonts w:hint="eastAsia" w:eastAsia="仿宋_GB2312"/>
          <w:sz w:val="32"/>
          <w:szCs w:val="32"/>
          <w:lang w:val="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结合项目内容特点逐项进行评价。</w:t>
      </w:r>
    </w:p>
    <w:p w14:paraId="7EEA11C7">
      <w:pPr>
        <w:numPr>
          <w:ilvl w:val="0"/>
          <w:numId w:val="0"/>
        </w:numPr>
        <w:ind w:leftChars="200"/>
        <w:rPr>
          <w:rFonts w:hint="eastAsia" w:eastAsia="仿宋_GB2312"/>
          <w:color w:val="FF0000"/>
          <w:sz w:val="32"/>
          <w:szCs w:val="32"/>
          <w:lang w:val="zh-CN"/>
        </w:rPr>
      </w:pPr>
      <w:r>
        <w:rPr>
          <w:rFonts w:hint="eastAsia" w:ascii="楷体_GB2312" w:eastAsia="楷体_GB2312"/>
          <w:b/>
          <w:sz w:val="32"/>
          <w:szCs w:val="32"/>
          <w:lang w:val="zh-CN"/>
        </w:rPr>
        <w:t>（五）评价组织</w:t>
      </w:r>
    </w:p>
    <w:p w14:paraId="1E5BB82A">
      <w:pPr>
        <w:pStyle w:val="3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lang w:val="en-US" w:eastAsia="zh-CN"/>
        </w:rPr>
      </w:pPr>
      <w:r>
        <w:rPr>
          <w:rFonts w:hint="eastAsia"/>
          <w:lang w:val="en-US" w:eastAsia="zh-CN"/>
        </w:rPr>
        <w:t>州科协组织临时评价组进行评价，主要参与人员由项目负责人吴家英、工作人员李红等参与。评价工作情况向副主席、主席逐级汇报。</w:t>
      </w:r>
    </w:p>
    <w:p w14:paraId="0CEF4E5B">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49D64575">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6CF6190A">
      <w:pPr>
        <w:ind w:firstLine="640" w:firstLineChars="200"/>
        <w:rPr>
          <w:rFonts w:hint="eastAsia" w:eastAsia="仿宋_GB2312"/>
          <w:color w:val="FF0000"/>
          <w:sz w:val="32"/>
          <w:szCs w:val="32"/>
          <w:lang w:val="zh-CN"/>
        </w:rPr>
      </w:pPr>
      <w:r>
        <w:rPr>
          <w:rFonts w:hint="eastAsia" w:ascii="楷体_GB2312" w:eastAsia="楷体_GB2312"/>
          <w:color w:val="auto"/>
          <w:sz w:val="32"/>
          <w:szCs w:val="32"/>
          <w:lang w:val="zh-CN"/>
        </w:rPr>
        <w:t>1.项目决策</w:t>
      </w:r>
    </w:p>
    <w:p w14:paraId="408B8E46">
      <w:pPr>
        <w:spacing w:line="560" w:lineRule="exact"/>
        <w:ind w:firstLine="720"/>
        <w:rPr>
          <w:rFonts w:ascii="仿宋_GB2312" w:hAnsi="仿宋_GB2312" w:eastAsia="仿宋_GB2312" w:cs="仿宋_GB2312"/>
        </w:rPr>
      </w:pPr>
      <w:r>
        <w:rPr>
          <w:rFonts w:hint="eastAsia" w:ascii="仿宋_GB2312" w:hAnsi="仿宋_GB2312" w:eastAsia="仿宋_GB2312" w:cs="仿宋_GB2312"/>
          <w:color w:val="auto"/>
          <w:sz w:val="32"/>
          <w:szCs w:val="32"/>
          <w:lang w:eastAsia="zh-CN"/>
        </w:rPr>
        <w:t>州科协是项目组织、实施和监管的主管单位，</w:t>
      </w:r>
      <w:r>
        <w:rPr>
          <w:rFonts w:hint="eastAsia" w:ascii="仿宋_GB2312" w:hAnsi="仿宋_GB2312" w:eastAsia="仿宋_GB2312" w:cs="仿宋_GB2312"/>
          <w:color w:val="auto"/>
          <w:spacing w:val="6"/>
          <w:sz w:val="32"/>
          <w:szCs w:val="32"/>
          <w:shd w:val="clear" w:color="auto" w:fill="FFFFFF"/>
          <w:lang w:val="zh-CN" w:eastAsia="zh-CN"/>
        </w:rPr>
        <w:t>在项目决策和实施方面坚持“资金跟着项目走、项目跟着决策走”的理念，</w:t>
      </w:r>
      <w:r>
        <w:rPr>
          <w:rFonts w:hint="eastAsia" w:ascii="仿宋_GB2312" w:hAnsi="仿宋_GB2312" w:eastAsia="仿宋_GB2312" w:cs="仿宋_GB2312"/>
          <w:color w:val="auto"/>
          <w:spacing w:val="6"/>
          <w:sz w:val="32"/>
          <w:szCs w:val="32"/>
          <w:shd w:val="clear" w:color="auto" w:fill="FFFFFF"/>
          <w:lang w:eastAsia="zh-CN"/>
        </w:rPr>
        <w:t>项目决策程序严密、项目规划论证符合中省要求，项目绩效目标设置科学合理、项目资金使用严格按照年初预算批复执行、项目总体规划与行业事业发展相匹配，州科协党组项目资金预算上能够依法依规、深入调研统筹考虑。方案报送州委分管领导审签，并向州委派驻纪检组进行报备。</w:t>
      </w:r>
    </w:p>
    <w:p w14:paraId="2203A1B1">
      <w:pPr>
        <w:numPr>
          <w:ilvl w:val="0"/>
          <w:numId w:val="0"/>
        </w:numPr>
        <w:ind w:firstLine="640" w:firstLineChars="200"/>
        <w:rPr>
          <w:rFonts w:hint="eastAsia" w:eastAsia="仿宋_GB2312"/>
          <w:color w:val="FF0000"/>
          <w:sz w:val="32"/>
          <w:szCs w:val="32"/>
          <w:lang w:val="zh-CN"/>
        </w:rPr>
      </w:pPr>
      <w:r>
        <w:rPr>
          <w:rFonts w:hint="eastAsia" w:ascii="楷体_GB2312" w:eastAsia="楷体_GB2312"/>
          <w:color w:val="auto"/>
          <w:sz w:val="32"/>
          <w:szCs w:val="32"/>
          <w:lang w:val="en-US" w:eastAsia="zh-CN"/>
        </w:rPr>
        <w:t>2.</w:t>
      </w:r>
      <w:r>
        <w:rPr>
          <w:rFonts w:hint="eastAsia" w:ascii="楷体_GB2312" w:eastAsia="楷体_GB2312"/>
          <w:color w:val="auto"/>
          <w:sz w:val="32"/>
          <w:szCs w:val="32"/>
          <w:lang w:val="zh-CN"/>
        </w:rPr>
        <w:t>项目管理</w:t>
      </w:r>
    </w:p>
    <w:p w14:paraId="1203DC68">
      <w:pPr>
        <w:spacing w:line="560" w:lineRule="exact"/>
        <w:ind w:firstLine="720"/>
        <w:rPr>
          <w:rFonts w:hint="eastAsia" w:ascii="仿宋_GB2312" w:hAnsi="仿宋_GB2312" w:eastAsia="仿宋_GB2312" w:cs="仿宋_GB2312"/>
          <w:color w:val="auto"/>
          <w:spacing w:val="6"/>
          <w:sz w:val="32"/>
          <w:szCs w:val="32"/>
          <w:shd w:val="clear" w:color="auto" w:fill="FFFFFF"/>
          <w:lang w:eastAsia="zh-CN"/>
        </w:rPr>
      </w:pPr>
      <w:r>
        <w:rPr>
          <w:rFonts w:hint="eastAsia" w:ascii="仿宋_GB2312" w:hAnsi="仿宋_GB2312" w:eastAsia="仿宋_GB2312" w:cs="仿宋_GB2312"/>
          <w:color w:val="auto"/>
          <w:spacing w:val="6"/>
          <w:sz w:val="32"/>
          <w:szCs w:val="32"/>
          <w:shd w:val="clear" w:color="auto" w:fill="FFFFFF"/>
          <w:lang w:eastAsia="zh-CN"/>
        </w:rPr>
        <w:t>凉山州科学技术协会科普专项资金严格执行《四川省科普专项资金管理办法》（川财教〔2020〕83号）、《凉山州科技计划项目专项资金管理办法》（凉财规〔2020〕2号）及凉山州各部门相关配套科普专项资金管理办法和我部门财务管理制度。并接受审计、财政部门的监督。</w:t>
      </w:r>
    </w:p>
    <w:p w14:paraId="65E9187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320" w:firstLineChars="100"/>
        <w:textAlignment w:val="auto"/>
        <w:rPr>
          <w:rFonts w:hint="eastAsia" w:eastAsia="仿宋_GB2312"/>
          <w:color w:val="FF0000"/>
          <w:sz w:val="32"/>
          <w:szCs w:val="32"/>
          <w:lang w:val="zh-CN"/>
        </w:rPr>
      </w:pPr>
      <w:r>
        <w:rPr>
          <w:rFonts w:hint="eastAsia" w:ascii="楷体_GB2312" w:eastAsia="楷体_GB2312"/>
          <w:color w:val="auto"/>
          <w:sz w:val="32"/>
          <w:szCs w:val="32"/>
          <w:lang w:val="en-US" w:eastAsia="zh-CN"/>
        </w:rPr>
        <w:t>3.</w:t>
      </w:r>
      <w:r>
        <w:rPr>
          <w:rFonts w:hint="eastAsia" w:ascii="楷体_GB2312" w:eastAsia="楷体_GB2312"/>
          <w:color w:val="auto"/>
          <w:sz w:val="32"/>
          <w:szCs w:val="32"/>
          <w:lang w:val="zh-CN"/>
        </w:rPr>
        <w:t>项目实施</w:t>
      </w:r>
    </w:p>
    <w:p w14:paraId="7467FF29">
      <w:pPr>
        <w:keepNext w:val="0"/>
        <w:keepLines w:val="0"/>
        <w:pageBreakBefore w:val="0"/>
        <w:widowControl/>
        <w:kinsoku/>
        <w:wordWrap/>
        <w:overflowPunct/>
        <w:topLinePunct w:val="0"/>
        <w:autoSpaceDE/>
        <w:autoSpaceDN/>
        <w:bidi w:val="0"/>
        <w:adjustRightInd w:val="0"/>
        <w:snapToGrid w:val="0"/>
        <w:spacing w:line="560" w:lineRule="exact"/>
        <w:ind w:firstLine="664" w:firstLineChars="200"/>
        <w:textAlignment w:val="baseline"/>
        <w:rPr>
          <w:rFonts w:hint="eastAsia" w:ascii="仿宋_GB2312" w:hAnsi="仿宋_GB2312" w:eastAsia="仿宋_GB2312" w:cs="仿宋_GB2312"/>
          <w:color w:val="auto"/>
          <w:spacing w:val="6"/>
          <w:sz w:val="32"/>
          <w:szCs w:val="32"/>
          <w:shd w:val="clear" w:color="auto" w:fill="FFFFFF"/>
          <w:lang w:val="en-US" w:eastAsia="zh-CN" w:bidi="ar-SA"/>
        </w:rPr>
      </w:pPr>
      <w:r>
        <w:rPr>
          <w:rFonts w:hint="eastAsia" w:ascii="仿宋_GB2312" w:hAnsi="仿宋_GB2312" w:eastAsia="仿宋_GB2312" w:cs="仿宋_GB2312"/>
          <w:color w:val="auto"/>
          <w:spacing w:val="6"/>
          <w:sz w:val="32"/>
          <w:szCs w:val="32"/>
          <w:shd w:val="clear" w:color="auto" w:fill="FFFFFF"/>
          <w:lang w:val="en-US" w:eastAsia="zh-CN" w:bidi="ar-SA"/>
        </w:rPr>
        <w:t>项目于2023年5月启动，中共凉山州委组织部、凉山州人力资源和社会保障局、凉山州科学技术局和凉山州科学技术协会联合印发《关于开展凉山州第十一届自然科学优秀学术论文评选活动的通知》凉科协﹝2023﹞16号文。活动共征集申报作品182篇，经过自行申报、初审、小组评审、专家复审及终审等程序评出一、二、三等奖58项。并于2023年12月8日—14日，在凉山日报上进行公示。学术交流活动业务项目资金主要用于开展第十一届自然科学优秀学术论文评选活动。其中发放获奖人员奖金7.42万元、专家评审费3.6万元、凉山日报公示费0.98万元，共计12万元。于2023年12月圆满完成所有项目任务和专项资金的支付。执行情况良好，预算执行率100%。</w:t>
      </w:r>
    </w:p>
    <w:p w14:paraId="1F9DEB13">
      <w:pPr>
        <w:numPr>
          <w:ilvl w:val="0"/>
          <w:numId w:val="0"/>
        </w:numPr>
        <w:ind w:firstLine="640" w:firstLineChars="200"/>
        <w:rPr>
          <w:rFonts w:hint="eastAsia" w:eastAsia="仿宋_GB2312"/>
          <w:color w:val="FF0000"/>
          <w:sz w:val="32"/>
          <w:szCs w:val="32"/>
          <w:lang w:val="zh-CN"/>
        </w:rPr>
      </w:pPr>
      <w:r>
        <w:rPr>
          <w:rFonts w:hint="eastAsia" w:ascii="楷体_GB2312" w:eastAsia="楷体_GB2312"/>
          <w:color w:val="auto"/>
          <w:sz w:val="32"/>
          <w:szCs w:val="32"/>
          <w:lang w:val="en-US" w:eastAsia="zh-CN"/>
        </w:rPr>
        <w:t>4.</w:t>
      </w:r>
      <w:r>
        <w:rPr>
          <w:rFonts w:hint="eastAsia" w:ascii="楷体_GB2312" w:eastAsia="楷体_GB2312"/>
          <w:color w:val="auto"/>
          <w:sz w:val="32"/>
          <w:szCs w:val="32"/>
          <w:lang w:val="zh-CN"/>
        </w:rPr>
        <w:t>项目结果</w:t>
      </w:r>
    </w:p>
    <w:p w14:paraId="25E1176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color w:val="auto"/>
          <w:spacing w:val="6"/>
          <w:sz w:val="32"/>
          <w:szCs w:val="32"/>
          <w:shd w:val="clear" w:color="auto" w:fill="FFFFFF"/>
          <w:lang w:val="en-US" w:eastAsia="zh-CN" w:bidi="ar-SA"/>
        </w:rPr>
      </w:pPr>
      <w:r>
        <w:rPr>
          <w:rFonts w:hint="eastAsia" w:ascii="仿宋_GB2312" w:hAnsi="仿宋_GB2312" w:eastAsia="仿宋_GB2312" w:cs="仿宋_GB2312"/>
          <w:color w:val="auto"/>
          <w:spacing w:val="6"/>
          <w:sz w:val="32"/>
          <w:szCs w:val="32"/>
          <w:shd w:val="clear" w:color="auto" w:fill="FFFFFF"/>
          <w:lang w:val="en-US" w:eastAsia="zh-CN" w:bidi="ar-SA"/>
        </w:rPr>
        <w:t>项目于2023年5月启动，活动共征集申报作品182篇，经过自行申报、初审、小组评审、专家复审及终审等程序评出一、二、三等奖58项，并在凉山日报上进行公示。于2023年12月圆满完成所有项目任务和专项资金的支付。该项目的完成能够大力推动和实施创新驱动发展战略，大力营造“尊重劳动、尊重知识、尊重人才”的良好社会氛围，鼓励全州广大科技工作者开展科学研究，探求真理， 促进科学技术的繁荣和发展，为推动全州的科技创新和科技进步做贡献。</w:t>
      </w:r>
    </w:p>
    <w:p w14:paraId="43C2FBED">
      <w:pPr>
        <w:ind w:firstLine="643" w:firstLineChars="200"/>
        <w:rPr>
          <w:rFonts w:eastAsia="仿宋_GB2312"/>
          <w:color w:val="FF0000"/>
          <w:sz w:val="32"/>
          <w:szCs w:val="32"/>
          <w:lang w:val="zh-CN"/>
        </w:rPr>
      </w:pPr>
      <w:r>
        <w:rPr>
          <w:rFonts w:hint="eastAsia" w:ascii="楷体_GB2312" w:eastAsia="楷体_GB2312"/>
          <w:b/>
          <w:color w:val="auto"/>
          <w:sz w:val="32"/>
          <w:szCs w:val="32"/>
          <w:lang w:val="zh-CN"/>
        </w:rPr>
        <w:t>（二）专用指标绩效分析</w:t>
      </w:r>
    </w:p>
    <w:p w14:paraId="705BE968">
      <w:pPr>
        <w:ind w:firstLine="640" w:firstLineChars="200"/>
        <w:rPr>
          <w:rFonts w:hint="eastAsia" w:eastAsia="仿宋_GB2312"/>
          <w:color w:val="auto"/>
          <w:sz w:val="32"/>
          <w:szCs w:val="32"/>
          <w:lang w:val="zh-CN"/>
        </w:rPr>
      </w:pPr>
      <w:r>
        <w:rPr>
          <w:rFonts w:hint="eastAsia" w:ascii="楷体_GB2312" w:eastAsia="楷体_GB2312"/>
          <w:color w:val="auto"/>
          <w:sz w:val="32"/>
          <w:szCs w:val="32"/>
          <w:lang w:val="en-US" w:eastAsia="zh-CN"/>
        </w:rPr>
        <w:t>1</w:t>
      </w:r>
      <w:r>
        <w:rPr>
          <w:rFonts w:hint="eastAsia" w:ascii="楷体_GB2312" w:eastAsia="楷体_GB2312"/>
          <w:color w:val="auto"/>
          <w:sz w:val="32"/>
          <w:szCs w:val="32"/>
          <w:lang w:val="zh-CN"/>
        </w:rPr>
        <w:t>.行政运转</w:t>
      </w:r>
    </w:p>
    <w:p w14:paraId="18ECF431">
      <w:pPr>
        <w:pStyle w:val="3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eastAsia="仿宋_GB2312"/>
          <w:color w:val="auto"/>
          <w:sz w:val="32"/>
          <w:szCs w:val="32"/>
          <w:lang w:val="en-US" w:eastAsia="zh-CN"/>
        </w:rPr>
      </w:pPr>
      <w:r>
        <w:rPr>
          <w:rFonts w:hint="eastAsia"/>
          <w:color w:val="auto"/>
          <w:sz w:val="32"/>
          <w:szCs w:val="32"/>
          <w:lang w:val="en-US" w:eastAsia="zh-CN"/>
        </w:rPr>
        <w:t>项目经</w:t>
      </w:r>
      <w:r>
        <w:rPr>
          <w:rFonts w:hint="eastAsia" w:ascii="仿宋_GB2312" w:hAnsi="仿宋_GB2312" w:eastAsia="仿宋_GB2312" w:cs="仿宋_GB2312"/>
          <w:color w:val="auto"/>
          <w:spacing w:val="6"/>
          <w:sz w:val="32"/>
          <w:szCs w:val="32"/>
          <w:shd w:val="clear" w:color="auto" w:fill="FFFFFF"/>
          <w:lang w:val="en-US" w:eastAsia="zh-CN" w:bidi="ar-SA"/>
        </w:rPr>
        <w:t>中共凉山州委组织部、凉山州人力资源和社会保障局、凉山州科学技术局和凉山州科学技术协会联合印发《关于开展凉山州第十一届自然科学优秀学术论文评选活动的通知》凉科协﹝2023﹞16号文。活动共征集申报作品182篇，经过自行申报、初审、小组评审、专家复审及终审等程序评出一、二、三等奖58项。并在凉山日报上进行公示。于2023年12月圆满完成所有项目任务和专项资金</w:t>
      </w:r>
      <w:r>
        <w:rPr>
          <w:rFonts w:hint="eastAsia" w:hAnsi="仿宋_GB2312" w:cs="仿宋_GB2312"/>
          <w:color w:val="auto"/>
          <w:spacing w:val="6"/>
          <w:sz w:val="32"/>
          <w:szCs w:val="32"/>
          <w:shd w:val="clear" w:color="auto" w:fill="FFFFFF"/>
          <w:lang w:val="en-US" w:eastAsia="zh-CN" w:bidi="ar-SA"/>
        </w:rPr>
        <w:t>12万元</w:t>
      </w:r>
      <w:r>
        <w:rPr>
          <w:rFonts w:hint="eastAsia" w:ascii="仿宋_GB2312" w:hAnsi="仿宋_GB2312" w:eastAsia="仿宋_GB2312" w:cs="仿宋_GB2312"/>
          <w:color w:val="auto"/>
          <w:spacing w:val="6"/>
          <w:sz w:val="32"/>
          <w:szCs w:val="32"/>
          <w:shd w:val="clear" w:color="auto" w:fill="FFFFFF"/>
          <w:lang w:val="en-US" w:eastAsia="zh-CN" w:bidi="ar-SA"/>
        </w:rPr>
        <w:t>的支付。预算执行率100%。</w:t>
      </w:r>
      <w:r>
        <w:rPr>
          <w:rFonts w:hint="eastAsia" w:eastAsia="仿宋_GB2312"/>
          <w:color w:val="auto"/>
          <w:sz w:val="32"/>
          <w:szCs w:val="32"/>
          <w:lang w:val="en-US" w:eastAsia="zh-CN"/>
        </w:rPr>
        <w:t>因此项目资金</w:t>
      </w:r>
      <w:r>
        <w:rPr>
          <w:rFonts w:hint="eastAsia" w:eastAsia="仿宋_GB2312"/>
          <w:color w:val="auto"/>
          <w:sz w:val="32"/>
          <w:szCs w:val="32"/>
          <w:lang w:val="zh-CN"/>
        </w:rPr>
        <w:t>用途、</w:t>
      </w:r>
      <w:r>
        <w:rPr>
          <w:rFonts w:hint="eastAsia"/>
          <w:color w:val="auto"/>
          <w:sz w:val="32"/>
          <w:szCs w:val="32"/>
          <w:lang w:val="zh-CN"/>
        </w:rPr>
        <w:t>评选</w:t>
      </w:r>
      <w:r>
        <w:rPr>
          <w:rFonts w:hint="eastAsia" w:eastAsia="仿宋_GB2312"/>
          <w:color w:val="auto"/>
          <w:sz w:val="32"/>
          <w:szCs w:val="32"/>
          <w:lang w:val="zh-CN"/>
        </w:rPr>
        <w:t>程序、</w:t>
      </w:r>
      <w:r>
        <w:rPr>
          <w:rFonts w:hint="eastAsia"/>
          <w:color w:val="auto"/>
          <w:sz w:val="32"/>
          <w:szCs w:val="32"/>
          <w:lang w:val="zh-CN"/>
        </w:rPr>
        <w:t>评选</w:t>
      </w:r>
      <w:r>
        <w:rPr>
          <w:rFonts w:hint="eastAsia" w:eastAsia="仿宋_GB2312"/>
          <w:color w:val="auto"/>
          <w:sz w:val="32"/>
          <w:szCs w:val="32"/>
          <w:lang w:val="zh-CN"/>
        </w:rPr>
        <w:t>标准等均体现其合规性。</w:t>
      </w:r>
    </w:p>
    <w:p w14:paraId="6E05D558">
      <w:pPr>
        <w:numPr>
          <w:ilvl w:val="0"/>
          <w:numId w:val="0"/>
        </w:numPr>
        <w:ind w:firstLine="643" w:firstLineChars="200"/>
        <w:rPr>
          <w:rFonts w:hint="eastAsia" w:eastAsia="仿宋_GB2312"/>
          <w:color w:val="FF0000"/>
          <w:sz w:val="32"/>
          <w:szCs w:val="32"/>
          <w:lang w:val="zh-CN"/>
        </w:rPr>
      </w:pPr>
      <w:r>
        <w:rPr>
          <w:rFonts w:hint="eastAsia" w:ascii="楷体_GB2312" w:eastAsia="楷体_GB2312"/>
          <w:b/>
          <w:color w:val="auto"/>
          <w:sz w:val="32"/>
          <w:szCs w:val="32"/>
          <w:lang w:val="zh-CN"/>
        </w:rPr>
        <w:t>（三）个性指标绩效分析</w:t>
      </w:r>
    </w:p>
    <w:p w14:paraId="63305F5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color w:val="auto"/>
          <w:spacing w:val="6"/>
          <w:sz w:val="32"/>
          <w:szCs w:val="32"/>
          <w:shd w:val="clear" w:color="auto" w:fill="FFFFFF"/>
          <w:lang w:val="en-US" w:eastAsia="zh-CN" w:bidi="ar-SA"/>
        </w:rPr>
      </w:pPr>
      <w:r>
        <w:rPr>
          <w:rFonts w:hint="eastAsia" w:ascii="仿宋_GB2312" w:hAnsi="仿宋_GB2312" w:eastAsia="仿宋_GB2312" w:cs="仿宋_GB2312"/>
          <w:color w:val="auto"/>
          <w:spacing w:val="6"/>
          <w:sz w:val="32"/>
          <w:szCs w:val="32"/>
          <w:shd w:val="clear" w:color="auto" w:fill="FFFFFF"/>
          <w:lang w:val="zh-CN" w:eastAsia="zh-CN" w:bidi="ar-SA"/>
        </w:rPr>
        <w:t>州科协学会部承担着组织协调综合性、多学科重点课题的学术研讨、学术交流；组织发动学会（协会）和科技人员参与科学研究、决策论证、科技攻关；指导州级学会（协会）、县（科协）的学术交流工作；搭建学术交流平台，开展自然科学优秀学术论文评选活动；协调各部门并组织完成凉山州院士（专家）工作站建站审议评定任务，慰问具有影响力的科技人才等等。此次</w:t>
      </w:r>
      <w:r>
        <w:rPr>
          <w:rFonts w:hint="eastAsia" w:ascii="仿宋_GB2312" w:hAnsi="仿宋_GB2312" w:eastAsia="仿宋_GB2312" w:cs="仿宋_GB2312"/>
          <w:color w:val="auto"/>
          <w:spacing w:val="6"/>
          <w:sz w:val="32"/>
          <w:szCs w:val="32"/>
          <w:shd w:val="clear" w:color="auto" w:fill="FFFFFF"/>
          <w:lang w:val="en-US" w:eastAsia="zh-CN" w:bidi="ar-SA"/>
        </w:rPr>
        <w:t>开展凉山州第十一届自然科学优秀学术论文评选活动，我们依据中共凉山州委组织部、凉山州人力资源和社会保障局、凉山州科学技术局和凉山州科学技术协会联合印发《关于开展凉山州第十一届自然科学优秀学术论文评选活动的通知》凉科协﹝2023﹞16号文组织实施，</w:t>
      </w:r>
      <w:r>
        <w:rPr>
          <w:rFonts w:hint="eastAsia" w:ascii="仿宋_GB2312" w:hAnsi="仿宋_GB2312" w:eastAsia="仿宋_GB2312" w:cs="仿宋_GB2312"/>
          <w:color w:val="auto"/>
          <w:spacing w:val="6"/>
          <w:sz w:val="32"/>
          <w:szCs w:val="32"/>
          <w:shd w:val="clear" w:color="auto" w:fill="FFFFFF"/>
          <w:lang w:val="zh-CN" w:eastAsia="zh-CN" w:bidi="ar-SA"/>
        </w:rPr>
        <w:t>项目与</w:t>
      </w:r>
      <w:r>
        <w:rPr>
          <w:rFonts w:hint="eastAsia" w:ascii="仿宋_GB2312" w:hAnsi="仿宋_GB2312" w:eastAsia="仿宋_GB2312" w:cs="仿宋_GB2312"/>
          <w:color w:val="auto"/>
          <w:spacing w:val="6"/>
          <w:sz w:val="32"/>
          <w:szCs w:val="32"/>
          <w:shd w:val="clear" w:color="auto" w:fill="FFFFFF"/>
          <w:lang w:val="en-US" w:eastAsia="zh-CN" w:bidi="ar-SA"/>
        </w:rPr>
        <w:t>2023年5月启动，12月全面结束，共征集自然科学优秀学术论文182篇、经过自行申报、初审、小组评审、专家复审及终审等程序评出一、二、三等奖58项，并在凉山日报上进行公示。其中产生专家评审费、优秀学术论文一、二、三等奖获奖作者奖金、凉山日报进行公示费、印制优秀学术论文集200册等费用共计12万元。参与自然科学优秀学术论文评选的科技人员满意度达96%以上。项目的完成能够</w:t>
      </w:r>
      <w:r>
        <w:rPr>
          <w:rFonts w:hint="eastAsia" w:ascii="仿宋_GB2312" w:hAnsi="仿宋_GB2312" w:eastAsia="仿宋_GB2312" w:cs="仿宋_GB2312"/>
          <w:color w:val="auto"/>
          <w:spacing w:val="6"/>
          <w:sz w:val="32"/>
          <w:szCs w:val="32"/>
          <w:shd w:val="clear" w:color="auto" w:fill="FFFFFF"/>
          <w:lang w:val="zh-CN" w:eastAsia="zh-CN" w:bidi="ar-SA"/>
        </w:rPr>
        <w:t>推进科普建设、科技创新，推动科技成果向现实生产力转化，为全州各级政府决策，充分发挥科技资源优势，助力乡村振兴</w:t>
      </w:r>
      <w:r>
        <w:rPr>
          <w:rFonts w:hint="eastAsia" w:ascii="仿宋_GB2312" w:hAnsi="仿宋_GB2312" w:eastAsia="仿宋_GB2312" w:cs="仿宋_GB2312"/>
          <w:color w:val="auto"/>
          <w:spacing w:val="6"/>
          <w:sz w:val="32"/>
          <w:szCs w:val="32"/>
          <w:shd w:val="clear" w:color="auto" w:fill="FFFFFF"/>
          <w:lang w:val="en-US" w:eastAsia="zh-CN" w:bidi="ar-SA"/>
        </w:rPr>
        <w:t>。</w:t>
      </w:r>
    </w:p>
    <w:p w14:paraId="74C8BD80">
      <w:pPr>
        <w:ind w:firstLine="640" w:firstLineChars="200"/>
        <w:textAlignment w:val="baseline"/>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1D76F73A">
      <w:pPr>
        <w:pStyle w:val="38"/>
        <w:keepNext w:val="0"/>
        <w:keepLines w:val="0"/>
        <w:pageBreakBefore w:val="0"/>
        <w:widowControl/>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color w:val="auto"/>
          <w:spacing w:val="6"/>
          <w:sz w:val="32"/>
          <w:szCs w:val="32"/>
          <w:shd w:val="clear" w:color="auto" w:fill="FFFFFF"/>
          <w:lang w:val="zh-CN" w:eastAsia="zh-CN" w:bidi="ar-SA"/>
        </w:rPr>
      </w:pPr>
      <w:r>
        <w:rPr>
          <w:rFonts w:hint="eastAsia" w:ascii="仿宋_GB2312" w:hAnsi="仿宋_GB2312" w:eastAsia="仿宋_GB2312" w:cs="仿宋_GB2312"/>
          <w:color w:val="auto"/>
          <w:spacing w:val="6"/>
          <w:sz w:val="32"/>
          <w:szCs w:val="32"/>
          <w:shd w:val="clear" w:color="auto" w:fill="FFFFFF"/>
          <w:lang w:val="en-US" w:eastAsia="zh-CN" w:bidi="ar-SA"/>
        </w:rPr>
        <w:t>凉山州第十一届自然科学优秀学术论文评选活动</w:t>
      </w:r>
      <w:r>
        <w:rPr>
          <w:rFonts w:hint="eastAsia" w:ascii="仿宋_GB2312" w:hAnsi="仿宋_GB2312" w:eastAsia="仿宋_GB2312" w:cs="仿宋_GB2312"/>
          <w:kern w:val="0"/>
          <w:sz w:val="32"/>
          <w:szCs w:val="32"/>
        </w:rPr>
        <w:t>大力推动和实施创新驱动发展战略，大力营造“尊重劳动、尊重知识、尊重人才”的良好社会氛围，鼓励全州广大科技工作者开展科学研究，探求真理， 促进科学技术的繁荣和发展，为推动全州的科技创新和科技进步做贡献。</w:t>
      </w:r>
      <w:r>
        <w:rPr>
          <w:rFonts w:hint="eastAsia" w:ascii="仿宋_GB2312" w:hAnsi="仿宋_GB2312" w:eastAsia="仿宋_GB2312" w:cs="仿宋_GB2312"/>
          <w:kern w:val="0"/>
          <w:sz w:val="32"/>
          <w:szCs w:val="32"/>
          <w:lang w:val="zh-CN"/>
        </w:rPr>
        <w:t>本次项目实施过程规范、有序，取得了显著成效，达到了预期目标。</w:t>
      </w:r>
      <w:r>
        <w:rPr>
          <w:rFonts w:hint="eastAsia" w:ascii="仿宋_GB2312" w:hAnsi="仿宋_GB2312" w:eastAsia="仿宋_GB2312" w:cs="仿宋_GB2312"/>
          <w:color w:val="000000" w:themeColor="text1"/>
          <w:kern w:val="0"/>
          <w:sz w:val="32"/>
          <w:szCs w:val="32"/>
          <w:lang w:val="zh-CN"/>
        </w:rPr>
        <w:t>我们从产出、效益、满意度指标等进行了逐项认真的打分，预算执行率100%，执行情况良好，自评得分</w:t>
      </w:r>
      <w:r>
        <w:rPr>
          <w:rFonts w:hint="eastAsia" w:ascii="仿宋_GB2312" w:hAnsi="仿宋_GB2312" w:eastAsia="仿宋_GB2312" w:cs="仿宋_GB2312"/>
          <w:color w:val="000000" w:themeColor="text1"/>
          <w:kern w:val="0"/>
          <w:sz w:val="32"/>
          <w:szCs w:val="32"/>
        </w:rPr>
        <w:t>98</w:t>
      </w:r>
      <w:r>
        <w:rPr>
          <w:rFonts w:hint="eastAsia" w:ascii="仿宋_GB2312" w:hAnsi="仿宋_GB2312" w:eastAsia="仿宋_GB2312" w:cs="仿宋_GB2312"/>
          <w:color w:val="000000" w:themeColor="text1"/>
          <w:kern w:val="0"/>
          <w:sz w:val="32"/>
          <w:szCs w:val="32"/>
          <w:lang w:val="zh-CN"/>
        </w:rPr>
        <w:t>分。</w:t>
      </w:r>
    </w:p>
    <w:p w14:paraId="63DD893F">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11AF9558">
      <w:pPr>
        <w:adjustRightInd w:val="0"/>
        <w:snapToGrid w:val="0"/>
        <w:spacing w:line="578"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按照惯例，凉山州自然科学优秀学术论文评选结果由州委办和州政府办发文进行通报，本届评选活动改由州委组织部、州人社局、州科技局和州科协发文进行通报。降低了个别科技工作者的满意度。</w:t>
      </w:r>
    </w:p>
    <w:p w14:paraId="6FCF57E1">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1B8B5A30">
      <w:pPr>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州科协学会部积极将向省科协和其他兄弟市州查找发文依据，争取自然科学优秀学术论文评选结果由州委办和州政府办发文进行通报，增强科技工作者的满意度。</w:t>
      </w:r>
    </w:p>
    <w:p w14:paraId="0A25DA03">
      <w:pPr>
        <w:adjustRightInd w:val="0"/>
        <w:snapToGrid w:val="0"/>
        <w:spacing w:line="578" w:lineRule="exact"/>
        <w:ind w:firstLine="4480" w:firstLineChars="1400"/>
        <w:rPr>
          <w:rFonts w:hint="eastAsia" w:ascii="仿宋_GB2312" w:hAnsi="仿宋_GB2312" w:eastAsia="仿宋_GB2312" w:cs="仿宋_GB2312"/>
          <w:kern w:val="0"/>
          <w:sz w:val="32"/>
          <w:szCs w:val="32"/>
        </w:rPr>
      </w:pPr>
    </w:p>
    <w:p w14:paraId="48C7E7A2">
      <w:pPr>
        <w:adjustRightInd w:val="0"/>
        <w:snapToGrid w:val="0"/>
        <w:spacing w:line="578" w:lineRule="exact"/>
        <w:ind w:firstLine="4480" w:firstLineChars="1400"/>
        <w:rPr>
          <w:rFonts w:hint="eastAsia" w:ascii="仿宋_GB2312" w:hAnsi="仿宋_GB2312" w:eastAsia="仿宋_GB2312" w:cs="仿宋_GB2312"/>
          <w:kern w:val="0"/>
          <w:sz w:val="32"/>
          <w:szCs w:val="32"/>
        </w:rPr>
      </w:pPr>
    </w:p>
    <w:p w14:paraId="0319E5DE">
      <w:pPr>
        <w:adjustRightInd w:val="0"/>
        <w:snapToGrid w:val="0"/>
        <w:spacing w:line="578" w:lineRule="exact"/>
        <w:ind w:firstLine="4480" w:firstLineChars="1400"/>
        <w:rPr>
          <w:rFonts w:hint="eastAsia" w:ascii="仿宋_GB2312" w:hAnsi="仿宋_GB2312" w:eastAsia="仿宋_GB2312" w:cs="仿宋_GB2312"/>
          <w:kern w:val="0"/>
          <w:sz w:val="32"/>
          <w:szCs w:val="32"/>
        </w:rPr>
      </w:pPr>
    </w:p>
    <w:p w14:paraId="41D00097">
      <w:pPr>
        <w:adjustRightInd w:val="0"/>
        <w:snapToGrid w:val="0"/>
        <w:spacing w:line="578" w:lineRule="exact"/>
        <w:ind w:firstLine="4480" w:firstLineChars="14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2024年6月30日</w:t>
      </w:r>
    </w:p>
    <w:p w14:paraId="1532D8F8">
      <w:pPr>
        <w:adjustRightInd w:val="0"/>
        <w:snapToGrid w:val="0"/>
        <w:spacing w:line="578" w:lineRule="exact"/>
        <w:rPr>
          <w:rFonts w:hint="eastAsia" w:eastAsia="仿宋_GB2312"/>
          <w:sz w:val="32"/>
          <w:szCs w:val="32"/>
          <w:lang w:val="zh-CN"/>
        </w:rPr>
      </w:pPr>
    </w:p>
    <w:p w14:paraId="12610C8B">
      <w:pPr>
        <w:adjustRightInd w:val="0"/>
        <w:snapToGrid w:val="0"/>
        <w:spacing w:line="578" w:lineRule="exact"/>
        <w:rPr>
          <w:rFonts w:hint="eastAsia" w:eastAsia="仿宋_GB2312"/>
          <w:sz w:val="32"/>
          <w:szCs w:val="32"/>
          <w:lang w:val="zh-CN"/>
        </w:rPr>
      </w:pPr>
    </w:p>
    <w:p w14:paraId="68B9621D">
      <w:pPr>
        <w:adjustRightInd w:val="0"/>
        <w:snapToGrid w:val="0"/>
        <w:spacing w:line="578" w:lineRule="exact"/>
        <w:rPr>
          <w:rFonts w:hint="eastAsia" w:eastAsia="仿宋_GB2312"/>
          <w:sz w:val="32"/>
          <w:szCs w:val="32"/>
          <w:lang w:val="zh-CN"/>
        </w:rPr>
      </w:pPr>
    </w:p>
    <w:p w14:paraId="111542FE">
      <w:pPr>
        <w:adjustRightInd w:val="0"/>
        <w:snapToGrid w:val="0"/>
        <w:spacing w:line="578" w:lineRule="exact"/>
        <w:rPr>
          <w:rFonts w:hint="eastAsia" w:eastAsia="仿宋_GB2312"/>
          <w:sz w:val="32"/>
          <w:szCs w:val="32"/>
          <w:lang w:val="zh-CN"/>
        </w:rPr>
      </w:pPr>
    </w:p>
    <w:p w14:paraId="1D5EDE1F">
      <w:pPr>
        <w:adjustRightInd w:val="0"/>
        <w:snapToGrid w:val="0"/>
        <w:spacing w:line="578" w:lineRule="exact"/>
        <w:rPr>
          <w:rFonts w:hint="eastAsia" w:eastAsia="仿宋_GB2312"/>
          <w:sz w:val="32"/>
          <w:szCs w:val="32"/>
          <w:lang w:val="zh-CN"/>
        </w:rPr>
      </w:pPr>
    </w:p>
    <w:p w14:paraId="2EDCD6CA">
      <w:pPr>
        <w:adjustRightInd w:val="0"/>
        <w:snapToGrid w:val="0"/>
        <w:spacing w:line="578" w:lineRule="exact"/>
        <w:rPr>
          <w:rFonts w:hint="eastAsia" w:eastAsia="仿宋_GB2312"/>
          <w:sz w:val="32"/>
          <w:szCs w:val="32"/>
          <w:lang w:val="zh-CN"/>
        </w:rPr>
      </w:pPr>
    </w:p>
    <w:p w14:paraId="1CFA811A">
      <w:pPr>
        <w:adjustRightInd w:val="0"/>
        <w:snapToGrid w:val="0"/>
        <w:spacing w:line="578" w:lineRule="exact"/>
        <w:rPr>
          <w:rFonts w:hint="eastAsia" w:eastAsia="仿宋_GB2312"/>
          <w:sz w:val="32"/>
          <w:szCs w:val="32"/>
          <w:lang w:val="zh-CN"/>
        </w:rPr>
      </w:pPr>
    </w:p>
    <w:p w14:paraId="3A40AFC1">
      <w:pPr>
        <w:adjustRightInd w:val="0"/>
        <w:snapToGrid w:val="0"/>
        <w:spacing w:line="578" w:lineRule="exact"/>
        <w:rPr>
          <w:rFonts w:hint="eastAsia" w:eastAsia="仿宋_GB2312"/>
          <w:sz w:val="32"/>
          <w:szCs w:val="32"/>
          <w:lang w:val="zh-CN"/>
        </w:rPr>
      </w:pPr>
    </w:p>
    <w:p w14:paraId="304A45A8">
      <w:pPr>
        <w:adjustRightInd w:val="0"/>
        <w:snapToGrid w:val="0"/>
        <w:spacing w:line="578" w:lineRule="exact"/>
        <w:ind w:firstLine="320" w:firstLineChars="100"/>
        <w:rPr>
          <w:rFonts w:hint="eastAsia" w:eastAsia="仿宋_GB2312"/>
          <w:sz w:val="32"/>
          <w:szCs w:val="32"/>
          <w:lang w:val="zh-CN"/>
        </w:rPr>
      </w:pPr>
    </w:p>
    <w:p w14:paraId="2A8A5F9A">
      <w:pPr>
        <w:adjustRightInd w:val="0"/>
        <w:snapToGrid w:val="0"/>
        <w:spacing w:line="578" w:lineRule="exact"/>
        <w:ind w:firstLine="320" w:firstLineChars="100"/>
        <w:rPr>
          <w:rFonts w:hint="eastAsia" w:eastAsia="仿宋_GB2312"/>
          <w:sz w:val="32"/>
          <w:szCs w:val="32"/>
          <w:lang w:val="zh-CN"/>
        </w:rPr>
      </w:pPr>
    </w:p>
    <w:p w14:paraId="1DEC2175">
      <w:pPr>
        <w:adjustRightInd w:val="0"/>
        <w:snapToGrid w:val="0"/>
        <w:spacing w:line="578" w:lineRule="exact"/>
        <w:ind w:firstLine="320" w:firstLineChars="100"/>
        <w:rPr>
          <w:rFonts w:hint="eastAsia" w:eastAsia="仿宋_GB2312"/>
          <w:sz w:val="32"/>
          <w:szCs w:val="32"/>
          <w:lang w:val="zh-CN"/>
        </w:rPr>
      </w:pPr>
    </w:p>
    <w:p w14:paraId="24E2F363">
      <w:pPr>
        <w:adjustRightInd w:val="0"/>
        <w:snapToGrid w:val="0"/>
        <w:spacing w:line="578" w:lineRule="exact"/>
        <w:ind w:firstLine="321" w:firstLineChars="100"/>
        <w:rPr>
          <w:rFonts w:hint="default"/>
          <w:b/>
          <w:bCs/>
          <w:lang w:val="en-US" w:eastAsia="zh-CN"/>
        </w:rPr>
      </w:pPr>
      <w:r>
        <w:rPr>
          <w:rFonts w:hint="eastAsia" w:eastAsia="仿宋_GB2312"/>
          <w:b/>
          <w:bCs/>
          <w:sz w:val="32"/>
          <w:szCs w:val="32"/>
          <w:lang w:val="zh-CN"/>
        </w:rPr>
        <w:t>附表：部门预算项目支出绩效自评表（2023年度）</w:t>
      </w:r>
    </w:p>
    <w:p w14:paraId="0436F4F5">
      <w:pPr>
        <w:pStyle w:val="10"/>
        <w:rPr>
          <w:rFonts w:hint="default"/>
          <w:lang w:val="en-US" w:eastAsia="zh-CN"/>
        </w:rPr>
      </w:pPr>
    </w:p>
    <w:tbl>
      <w:tblPr>
        <w:tblStyle w:val="18"/>
        <w:tblW w:w="10699" w:type="dxa"/>
        <w:tblInd w:w="-10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
        <w:gridCol w:w="624"/>
        <w:gridCol w:w="109"/>
        <w:gridCol w:w="71"/>
        <w:gridCol w:w="399"/>
        <w:gridCol w:w="270"/>
        <w:gridCol w:w="238"/>
        <w:gridCol w:w="500"/>
        <w:gridCol w:w="51"/>
        <w:gridCol w:w="73"/>
        <w:gridCol w:w="65"/>
        <w:gridCol w:w="99"/>
        <w:gridCol w:w="647"/>
        <w:gridCol w:w="28"/>
        <w:gridCol w:w="50"/>
        <w:gridCol w:w="220"/>
        <w:gridCol w:w="957"/>
        <w:gridCol w:w="298"/>
        <w:gridCol w:w="274"/>
        <w:gridCol w:w="54"/>
        <w:gridCol w:w="39"/>
        <w:gridCol w:w="62"/>
        <w:gridCol w:w="84"/>
        <w:gridCol w:w="148"/>
        <w:gridCol w:w="26"/>
        <w:gridCol w:w="114"/>
        <w:gridCol w:w="90"/>
        <w:gridCol w:w="9"/>
        <w:gridCol w:w="10"/>
        <w:gridCol w:w="17"/>
        <w:gridCol w:w="41"/>
        <w:gridCol w:w="348"/>
        <w:gridCol w:w="97"/>
        <w:gridCol w:w="28"/>
        <w:gridCol w:w="20"/>
        <w:gridCol w:w="172"/>
        <w:gridCol w:w="240"/>
        <w:gridCol w:w="48"/>
        <w:gridCol w:w="18"/>
        <w:gridCol w:w="188"/>
        <w:gridCol w:w="121"/>
        <w:gridCol w:w="172"/>
        <w:gridCol w:w="241"/>
        <w:gridCol w:w="73"/>
        <w:gridCol w:w="80"/>
        <w:gridCol w:w="25"/>
        <w:gridCol w:w="154"/>
        <w:gridCol w:w="167"/>
        <w:gridCol w:w="61"/>
        <w:gridCol w:w="65"/>
        <w:gridCol w:w="75"/>
        <w:gridCol w:w="66"/>
        <w:gridCol w:w="2"/>
        <w:gridCol w:w="57"/>
        <w:gridCol w:w="161"/>
        <w:gridCol w:w="149"/>
        <w:gridCol w:w="18"/>
        <w:gridCol w:w="1632"/>
        <w:gridCol w:w="58"/>
      </w:tblGrid>
      <w:tr w14:paraId="65F3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17" w:hRule="atLeast"/>
        </w:trPr>
        <w:tc>
          <w:tcPr>
            <w:tcW w:w="10641" w:type="dxa"/>
            <w:gridSpan w:val="58"/>
            <w:tcBorders>
              <w:top w:val="single" w:color="000000" w:sz="4" w:space="0"/>
              <w:left w:val="single" w:color="000000" w:sz="4" w:space="0"/>
              <w:bottom w:val="single" w:color="000000" w:sz="4" w:space="0"/>
              <w:right w:val="single" w:color="000000" w:sz="4" w:space="0"/>
            </w:tcBorders>
            <w:noWrap w:val="0"/>
            <w:vAlign w:val="center"/>
          </w:tcPr>
          <w:p w14:paraId="3C98D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黑体" w:hAnsi="宋体" w:eastAsia="黑体" w:cs="黑体"/>
                <w:b/>
                <w:bCs/>
                <w:i w:val="0"/>
                <w:iCs w:val="0"/>
                <w:color w:val="000000"/>
                <w:kern w:val="0"/>
                <w:sz w:val="30"/>
                <w:szCs w:val="30"/>
                <w:u w:val="none"/>
                <w:lang w:val="en-US" w:eastAsia="zh-CN" w:bidi="ar"/>
              </w:rPr>
            </w:pPr>
          </w:p>
          <w:p w14:paraId="00097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1807" w:firstLineChars="600"/>
              <w:jc w:val="both"/>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C81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9" w:hRule="atLeast"/>
        </w:trPr>
        <w:tc>
          <w:tcPr>
            <w:tcW w:w="2758" w:type="dxa"/>
            <w:gridSpan w:val="9"/>
            <w:tcBorders>
              <w:top w:val="single" w:color="000000" w:sz="4" w:space="0"/>
              <w:left w:val="single" w:color="000000" w:sz="4" w:space="0"/>
              <w:bottom w:val="single" w:color="000000" w:sz="4" w:space="0"/>
              <w:right w:val="single" w:color="000000" w:sz="4" w:space="0"/>
            </w:tcBorders>
            <w:noWrap w:val="0"/>
            <w:vAlign w:val="center"/>
          </w:tcPr>
          <w:p w14:paraId="152E56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4"/>
                <w:szCs w:val="24"/>
                <w:u w:val="none"/>
              </w:rPr>
            </w:pPr>
            <w:r>
              <w:rPr>
                <w:rFonts w:hint="default" w:ascii="宋体" w:hAnsi="宋体" w:eastAsia="宋体" w:cs="宋体"/>
                <w:i w:val="0"/>
                <w:iCs w:val="0"/>
                <w:color w:val="000000"/>
                <w:kern w:val="0"/>
                <w:sz w:val="24"/>
                <w:szCs w:val="24"/>
                <w:u w:val="none"/>
                <w:lang w:val="en-US" w:eastAsia="zh-CN" w:bidi="ar"/>
              </w:rPr>
              <w:t>项目名称</w:t>
            </w:r>
          </w:p>
        </w:tc>
        <w:tc>
          <w:tcPr>
            <w:tcW w:w="7883" w:type="dxa"/>
            <w:gridSpan w:val="49"/>
            <w:tcBorders>
              <w:top w:val="single" w:color="000000" w:sz="4" w:space="0"/>
              <w:left w:val="single" w:color="000000" w:sz="4" w:space="0"/>
              <w:bottom w:val="single" w:color="000000" w:sz="4" w:space="0"/>
              <w:right w:val="single" w:color="000000" w:sz="4" w:space="0"/>
            </w:tcBorders>
            <w:noWrap w:val="0"/>
            <w:vAlign w:val="center"/>
          </w:tcPr>
          <w:p w14:paraId="4E6BC4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4"/>
                <w:szCs w:val="24"/>
                <w:u w:val="none"/>
              </w:rPr>
            </w:pPr>
            <w:r>
              <w:rPr>
                <w:rFonts w:hint="default" w:ascii="宋体" w:hAnsi="宋体" w:eastAsia="宋体" w:cs="宋体"/>
                <w:i w:val="0"/>
                <w:iCs w:val="0"/>
                <w:color w:val="000000"/>
                <w:kern w:val="0"/>
                <w:sz w:val="24"/>
                <w:szCs w:val="24"/>
                <w:u w:val="none"/>
                <w:lang w:val="en-US" w:eastAsia="zh-CN" w:bidi="ar"/>
              </w:rPr>
              <w:t>51340021R000000033292-州本级单位缴费</w:t>
            </w:r>
          </w:p>
        </w:tc>
      </w:tr>
      <w:tr w14:paraId="5144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720" w:hRule="atLeast"/>
        </w:trPr>
        <w:tc>
          <w:tcPr>
            <w:tcW w:w="2758" w:type="dxa"/>
            <w:gridSpan w:val="9"/>
            <w:tcBorders>
              <w:top w:val="single" w:color="000000" w:sz="4" w:space="0"/>
              <w:left w:val="single" w:color="000000" w:sz="4" w:space="0"/>
              <w:bottom w:val="single" w:color="000000" w:sz="4" w:space="0"/>
              <w:right w:val="single" w:color="000000" w:sz="4" w:space="0"/>
            </w:tcBorders>
            <w:noWrap w:val="0"/>
            <w:vAlign w:val="center"/>
          </w:tcPr>
          <w:p w14:paraId="6BDBB5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405" w:type="dxa"/>
            <w:gridSpan w:val="22"/>
            <w:tcBorders>
              <w:top w:val="single" w:color="000000" w:sz="4" w:space="0"/>
              <w:left w:val="single" w:color="000000" w:sz="4" w:space="0"/>
              <w:bottom w:val="single" w:color="000000" w:sz="4" w:space="0"/>
              <w:right w:val="single" w:color="000000" w:sz="4" w:space="0"/>
            </w:tcBorders>
            <w:noWrap w:val="0"/>
            <w:vAlign w:val="center"/>
          </w:tcPr>
          <w:p w14:paraId="753DE0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280" w:type="dxa"/>
            <w:gridSpan w:val="10"/>
            <w:tcBorders>
              <w:top w:val="nil"/>
              <w:left w:val="nil"/>
              <w:bottom w:val="nil"/>
              <w:right w:val="nil"/>
            </w:tcBorders>
            <w:noWrap w:val="0"/>
            <w:vAlign w:val="center"/>
          </w:tcPr>
          <w:p w14:paraId="004DF8B3">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8" w:type="dxa"/>
            <w:gridSpan w:val="17"/>
            <w:tcBorders>
              <w:top w:val="single" w:color="000000" w:sz="4" w:space="0"/>
              <w:left w:val="single" w:color="000000" w:sz="4" w:space="0"/>
              <w:bottom w:val="single" w:color="000000" w:sz="4" w:space="0"/>
              <w:right w:val="single" w:color="000000" w:sz="4" w:space="0"/>
            </w:tcBorders>
            <w:noWrap w:val="0"/>
            <w:vAlign w:val="center"/>
          </w:tcPr>
          <w:p w14:paraId="73D55F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B43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9"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00EE7A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59"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0B64CC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405" w:type="dxa"/>
            <w:gridSpan w:val="22"/>
            <w:tcBorders>
              <w:top w:val="single" w:color="000000" w:sz="4" w:space="0"/>
              <w:left w:val="single" w:color="000000" w:sz="4" w:space="0"/>
              <w:bottom w:val="single" w:color="000000" w:sz="4" w:space="0"/>
              <w:right w:val="single" w:color="000000" w:sz="4" w:space="0"/>
            </w:tcBorders>
            <w:noWrap w:val="0"/>
            <w:vAlign w:val="center"/>
          </w:tcPr>
          <w:p w14:paraId="2E92F3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8" w:type="dxa"/>
            <w:gridSpan w:val="27"/>
            <w:tcBorders>
              <w:top w:val="single" w:color="000000" w:sz="4" w:space="0"/>
              <w:left w:val="single" w:color="000000" w:sz="4" w:space="0"/>
              <w:bottom w:val="single" w:color="000000" w:sz="4" w:space="0"/>
              <w:right w:val="single" w:color="000000" w:sz="4" w:space="0"/>
            </w:tcBorders>
            <w:noWrap w:val="0"/>
            <w:vAlign w:val="center"/>
          </w:tcPr>
          <w:p w14:paraId="13C80027">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9EE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8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C9A036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9"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6487528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05" w:type="dxa"/>
            <w:gridSpan w:val="22"/>
            <w:tcBorders>
              <w:top w:val="single" w:color="000000" w:sz="4" w:space="0"/>
              <w:left w:val="single" w:color="000000" w:sz="4" w:space="0"/>
              <w:bottom w:val="single" w:color="000000" w:sz="4" w:space="0"/>
              <w:right w:val="single" w:color="000000" w:sz="4" w:space="0"/>
            </w:tcBorders>
            <w:noWrap w:val="0"/>
            <w:vAlign w:val="center"/>
          </w:tcPr>
          <w:p w14:paraId="31A7D0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8" w:type="dxa"/>
            <w:gridSpan w:val="27"/>
            <w:tcBorders>
              <w:top w:val="single" w:color="000000" w:sz="4" w:space="0"/>
              <w:left w:val="single" w:color="000000" w:sz="4" w:space="0"/>
              <w:bottom w:val="single" w:color="000000" w:sz="4" w:space="0"/>
              <w:right w:val="single" w:color="000000" w:sz="4" w:space="0"/>
            </w:tcBorders>
            <w:noWrap w:val="0"/>
            <w:vAlign w:val="center"/>
          </w:tcPr>
          <w:p w14:paraId="07B040F4">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sz w:val="18"/>
                <w:szCs w:val="18"/>
              </w:rPr>
              <w:t>严格执行相关政策，年度内完成了足额缴纳职工五险一金，预算编制科学合理，及时清算调出调进等情况，减少结余资金。</w:t>
            </w:r>
          </w:p>
        </w:tc>
      </w:tr>
      <w:tr w14:paraId="5721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95"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36E70A9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60DED7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883" w:type="dxa"/>
            <w:gridSpan w:val="49"/>
            <w:tcBorders>
              <w:top w:val="single" w:color="000000" w:sz="4" w:space="0"/>
              <w:left w:val="single" w:color="000000" w:sz="4" w:space="0"/>
              <w:bottom w:val="single" w:color="000000" w:sz="4" w:space="0"/>
              <w:right w:val="single" w:color="000000" w:sz="4" w:space="0"/>
            </w:tcBorders>
            <w:noWrap w:val="0"/>
            <w:vAlign w:val="center"/>
          </w:tcPr>
          <w:p w14:paraId="4C4E5AB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default"/>
                <w:sz w:val="18"/>
                <w:szCs w:val="18"/>
              </w:rPr>
              <w:t>预算执行中按照政策依法依规确保职工五险一金及时清算调出调进等情况并足额全部缴纳。年度内不存在无故缓缴错缴职工养老、医疗、住房公积金等情况发生，也无超范围缴交等违纪记录情况发生。年度用于人员类项目按照配置定额，逐人核定编制执行。</w:t>
            </w:r>
          </w:p>
        </w:tc>
      </w:tr>
      <w:tr w14:paraId="5C01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4DCD57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70900F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61C6CB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430D56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1B25BD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6E68E3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414437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063349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09A4D2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60CD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52"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19D22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46C569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7770F8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68.42</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5D526D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86.50</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34D1C9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86.50</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4E3BD3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2AFB56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54A11ABB">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60"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14:paraId="4391D766">
            <w:pPr>
              <w:keepNext w:val="0"/>
              <w:keepLines w:val="0"/>
              <w:suppressLineNumbers w:val="0"/>
              <w:spacing w:before="0" w:beforeAutospacing="0" w:after="0" w:afterAutospacing="0"/>
              <w:ind w:left="0" w:right="0"/>
              <w:rPr>
                <w:rFonts w:hint="eastAsia" w:ascii="Calibri" w:hAnsi="Calibri" w:eastAsia="宋体" w:cs="Times New Roman"/>
                <w:kern w:val="2"/>
                <w:sz w:val="18"/>
                <w:szCs w:val="18"/>
                <w:lang w:val="en-US" w:eastAsia="zh-CN" w:bidi="ar-SA"/>
              </w:rPr>
            </w:pPr>
            <w:r>
              <w:rPr>
                <w:rFonts w:hint="eastAsia"/>
                <w:sz w:val="18"/>
                <w:szCs w:val="18"/>
              </w:rPr>
              <w:t>按照相关政策调整基数增加、逐人核定编制执行清算调出调进增加。</w:t>
            </w:r>
          </w:p>
        </w:tc>
      </w:tr>
      <w:tr w14:paraId="0635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9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6DCDA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7B95ED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244B2E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68.42</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370F37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86.50</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55047E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86.50</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094B54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1A0CEE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37DA34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6684CFD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B90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69752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7E361A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493FDD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6DF41A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66E7C0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57DD98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2743D5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3D1751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19345518">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518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6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9D748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72106D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33DB2A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355F88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371746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17A287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0F8BEE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516FD6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34A62A31">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F1C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D0B72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1FB182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645F27F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282B821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674D8E6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203AAE7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08CCCA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6053F8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1479AAE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3BE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34"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692205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6E57AC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5D870D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15C4DE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26" w:type="dxa"/>
            <w:gridSpan w:val="3"/>
            <w:tcBorders>
              <w:top w:val="single" w:color="000000" w:sz="4" w:space="0"/>
              <w:left w:val="single" w:color="000000" w:sz="4" w:space="0"/>
              <w:bottom w:val="single" w:color="000000" w:sz="4" w:space="0"/>
              <w:right w:val="single" w:color="000000" w:sz="4" w:space="0"/>
            </w:tcBorders>
            <w:noWrap w:val="0"/>
            <w:vAlign w:val="center"/>
          </w:tcPr>
          <w:p w14:paraId="1BB9A8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640" w:type="dxa"/>
            <w:gridSpan w:val="11"/>
            <w:tcBorders>
              <w:top w:val="single" w:color="000000" w:sz="4" w:space="0"/>
              <w:left w:val="single" w:color="000000" w:sz="4" w:space="0"/>
              <w:bottom w:val="single" w:color="000000" w:sz="4" w:space="0"/>
              <w:right w:val="single" w:color="000000" w:sz="4" w:space="0"/>
            </w:tcBorders>
            <w:noWrap w:val="0"/>
            <w:vAlign w:val="center"/>
          </w:tcPr>
          <w:p w14:paraId="1A5BEB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65" w:type="dxa"/>
            <w:gridSpan w:val="5"/>
            <w:tcBorders>
              <w:top w:val="single" w:color="000000" w:sz="4" w:space="0"/>
              <w:left w:val="single" w:color="000000" w:sz="4" w:space="0"/>
              <w:bottom w:val="single" w:color="000000" w:sz="4" w:space="0"/>
              <w:right w:val="single" w:color="000000" w:sz="4" w:space="0"/>
            </w:tcBorders>
            <w:noWrap w:val="0"/>
            <w:vAlign w:val="center"/>
          </w:tcPr>
          <w:p w14:paraId="577C55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615" w:type="dxa"/>
            <w:gridSpan w:val="5"/>
            <w:tcBorders>
              <w:top w:val="single" w:color="000000" w:sz="4" w:space="0"/>
              <w:left w:val="single" w:color="000000" w:sz="4" w:space="0"/>
              <w:bottom w:val="single" w:color="000000" w:sz="4" w:space="0"/>
              <w:right w:val="single" w:color="000000" w:sz="4" w:space="0"/>
            </w:tcBorders>
            <w:noWrap w:val="0"/>
            <w:vAlign w:val="center"/>
          </w:tcPr>
          <w:p w14:paraId="2D2076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1596A7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7622B4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596D05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08AB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45"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E3F30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434D57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6B823B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100588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626" w:type="dxa"/>
            <w:gridSpan w:val="3"/>
            <w:tcBorders>
              <w:top w:val="single" w:color="000000" w:sz="4" w:space="0"/>
              <w:left w:val="single" w:color="000000" w:sz="4" w:space="0"/>
              <w:bottom w:val="single" w:color="000000" w:sz="4" w:space="0"/>
              <w:right w:val="single" w:color="000000" w:sz="4" w:space="0"/>
            </w:tcBorders>
            <w:noWrap w:val="0"/>
            <w:vAlign w:val="center"/>
          </w:tcPr>
          <w:p w14:paraId="3E94CE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40" w:type="dxa"/>
            <w:gridSpan w:val="11"/>
            <w:tcBorders>
              <w:top w:val="single" w:color="000000" w:sz="4" w:space="0"/>
              <w:left w:val="single" w:color="000000" w:sz="4" w:space="0"/>
              <w:bottom w:val="single" w:color="000000" w:sz="4" w:space="0"/>
              <w:right w:val="single" w:color="000000" w:sz="4" w:space="0"/>
            </w:tcBorders>
            <w:noWrap w:val="0"/>
            <w:vAlign w:val="center"/>
          </w:tcPr>
          <w:p w14:paraId="466D92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5" w:type="dxa"/>
            <w:gridSpan w:val="5"/>
            <w:tcBorders>
              <w:top w:val="single" w:color="000000" w:sz="4" w:space="0"/>
              <w:left w:val="single" w:color="000000" w:sz="4" w:space="0"/>
              <w:bottom w:val="single" w:color="000000" w:sz="4" w:space="0"/>
              <w:right w:val="single" w:color="000000" w:sz="4" w:space="0"/>
            </w:tcBorders>
            <w:noWrap w:val="0"/>
            <w:vAlign w:val="center"/>
          </w:tcPr>
          <w:p w14:paraId="23E381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5" w:type="dxa"/>
            <w:gridSpan w:val="5"/>
            <w:tcBorders>
              <w:top w:val="single" w:color="000000" w:sz="4" w:space="0"/>
              <w:left w:val="single" w:color="000000" w:sz="4" w:space="0"/>
              <w:bottom w:val="single" w:color="000000" w:sz="4" w:space="0"/>
              <w:right w:val="single" w:color="000000" w:sz="4" w:space="0"/>
            </w:tcBorders>
            <w:noWrap w:val="0"/>
            <w:vAlign w:val="center"/>
          </w:tcPr>
          <w:p w14:paraId="6DD12F1F">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066397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54D0983F">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5B1FFF9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C02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45"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60C5B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375813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680AFD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1A3637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626" w:type="dxa"/>
            <w:gridSpan w:val="3"/>
            <w:tcBorders>
              <w:top w:val="single" w:color="000000" w:sz="4" w:space="0"/>
              <w:left w:val="single" w:color="000000" w:sz="4" w:space="0"/>
              <w:bottom w:val="single" w:color="000000" w:sz="4" w:space="0"/>
              <w:right w:val="single" w:color="000000" w:sz="4" w:space="0"/>
            </w:tcBorders>
            <w:noWrap w:val="0"/>
            <w:vAlign w:val="center"/>
          </w:tcPr>
          <w:p w14:paraId="0CB157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40" w:type="dxa"/>
            <w:gridSpan w:val="11"/>
            <w:tcBorders>
              <w:top w:val="single" w:color="000000" w:sz="4" w:space="0"/>
              <w:left w:val="single" w:color="000000" w:sz="4" w:space="0"/>
              <w:bottom w:val="single" w:color="000000" w:sz="4" w:space="0"/>
              <w:right w:val="single" w:color="000000" w:sz="4" w:space="0"/>
            </w:tcBorders>
            <w:noWrap w:val="0"/>
            <w:vAlign w:val="center"/>
          </w:tcPr>
          <w:p w14:paraId="63F947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5" w:type="dxa"/>
            <w:gridSpan w:val="5"/>
            <w:tcBorders>
              <w:top w:val="single" w:color="000000" w:sz="4" w:space="0"/>
              <w:left w:val="single" w:color="000000" w:sz="4" w:space="0"/>
              <w:bottom w:val="single" w:color="000000" w:sz="4" w:space="0"/>
              <w:right w:val="single" w:color="000000" w:sz="4" w:space="0"/>
            </w:tcBorders>
            <w:noWrap w:val="0"/>
            <w:vAlign w:val="center"/>
          </w:tcPr>
          <w:p w14:paraId="7D56BA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5" w:type="dxa"/>
            <w:gridSpan w:val="5"/>
            <w:tcBorders>
              <w:top w:val="single" w:color="000000" w:sz="4" w:space="0"/>
              <w:left w:val="single" w:color="000000" w:sz="4" w:space="0"/>
              <w:bottom w:val="single" w:color="000000" w:sz="4" w:space="0"/>
              <w:right w:val="single" w:color="000000" w:sz="4" w:space="0"/>
            </w:tcBorders>
            <w:noWrap w:val="0"/>
            <w:vAlign w:val="center"/>
          </w:tcPr>
          <w:p w14:paraId="19C98B2A">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2A5639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0C9910C9">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184A3F7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1F7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9" w:hRule="atLeast"/>
        </w:trPr>
        <w:tc>
          <w:tcPr>
            <w:tcW w:w="7443" w:type="dxa"/>
            <w:gridSpan w:val="41"/>
            <w:tcBorders>
              <w:top w:val="single" w:color="000000" w:sz="4" w:space="0"/>
              <w:left w:val="single" w:color="000000" w:sz="4" w:space="0"/>
              <w:bottom w:val="single" w:color="000000" w:sz="4" w:space="0"/>
              <w:right w:val="single" w:color="000000" w:sz="4" w:space="0"/>
            </w:tcBorders>
            <w:noWrap w:val="0"/>
            <w:vAlign w:val="center"/>
          </w:tcPr>
          <w:p w14:paraId="1E353F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31873D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5B5E0436">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7EFFE3C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3F08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743AC3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441FEE59">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sz w:val="18"/>
                <w:szCs w:val="18"/>
              </w:rPr>
              <w:t>预算执行中按照政策依法依规确保职工五险一金及时清算调出调进等情况并足额全部缴纳。年度用于人员类项目按照配置定额，逐人核定编制执行。年度内不存在无故缓缴错缴职工养老、医疗、住房公积金等情况发生，也无超范围缴交等违纪记录情况发生。从产出、效益、满意度指标等进行了以上打分，预算执行率100%，执行情况良好，自评得分100分。</w:t>
            </w:r>
          </w:p>
        </w:tc>
      </w:tr>
      <w:tr w14:paraId="23EB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33CF4F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34E26197">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2A8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36"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0D65E4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0DEB714F">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217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9" w:hRule="atLeast"/>
        </w:trPr>
        <w:tc>
          <w:tcPr>
            <w:tcW w:w="5523" w:type="dxa"/>
            <w:gridSpan w:val="20"/>
            <w:tcBorders>
              <w:top w:val="single" w:color="000000" w:sz="4" w:space="0"/>
              <w:left w:val="single" w:color="000000" w:sz="4" w:space="0"/>
              <w:bottom w:val="single" w:color="000000" w:sz="4" w:space="0"/>
              <w:right w:val="single" w:color="000000" w:sz="4" w:space="0"/>
            </w:tcBorders>
            <w:noWrap w:val="0"/>
            <w:vAlign w:val="center"/>
          </w:tcPr>
          <w:p w14:paraId="46BA61EB">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5118" w:type="dxa"/>
            <w:gridSpan w:val="38"/>
            <w:tcBorders>
              <w:top w:val="single" w:color="000000" w:sz="4" w:space="0"/>
              <w:left w:val="single" w:color="000000" w:sz="4" w:space="0"/>
              <w:bottom w:val="single" w:color="000000" w:sz="4" w:space="0"/>
              <w:right w:val="single" w:color="000000" w:sz="4" w:space="0"/>
            </w:tcBorders>
            <w:noWrap w:val="0"/>
            <w:vAlign w:val="center"/>
          </w:tcPr>
          <w:p w14:paraId="7B62B59A">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r w14:paraId="038F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58" w:hRule="atLeast"/>
        </w:trPr>
        <w:tc>
          <w:tcPr>
            <w:tcW w:w="10641" w:type="dxa"/>
            <w:gridSpan w:val="58"/>
            <w:tcBorders>
              <w:top w:val="single" w:color="000000" w:sz="4" w:space="0"/>
              <w:left w:val="single" w:color="000000" w:sz="4" w:space="0"/>
              <w:bottom w:val="single" w:color="000000" w:sz="4" w:space="0"/>
              <w:right w:val="single" w:color="000000" w:sz="4" w:space="0"/>
            </w:tcBorders>
            <w:noWrap w:val="0"/>
            <w:vAlign w:val="center"/>
          </w:tcPr>
          <w:p w14:paraId="5E5CF1B0">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235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9" w:hRule="atLeast"/>
        </w:trPr>
        <w:tc>
          <w:tcPr>
            <w:tcW w:w="2758" w:type="dxa"/>
            <w:gridSpan w:val="9"/>
            <w:tcBorders>
              <w:top w:val="single" w:color="000000" w:sz="4" w:space="0"/>
              <w:left w:val="single" w:color="000000" w:sz="4" w:space="0"/>
              <w:bottom w:val="single" w:color="000000" w:sz="4" w:space="0"/>
              <w:right w:val="single" w:color="000000" w:sz="4" w:space="0"/>
            </w:tcBorders>
            <w:noWrap w:val="0"/>
            <w:vAlign w:val="center"/>
          </w:tcPr>
          <w:p w14:paraId="6C26A3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项目名称</w:t>
            </w:r>
          </w:p>
        </w:tc>
        <w:tc>
          <w:tcPr>
            <w:tcW w:w="7883" w:type="dxa"/>
            <w:gridSpan w:val="49"/>
            <w:tcBorders>
              <w:top w:val="single" w:color="000000" w:sz="4" w:space="0"/>
              <w:left w:val="single" w:color="000000" w:sz="4" w:space="0"/>
              <w:bottom w:val="single" w:color="000000" w:sz="4" w:space="0"/>
              <w:right w:val="single" w:color="000000" w:sz="4" w:space="0"/>
            </w:tcBorders>
            <w:noWrap w:val="0"/>
            <w:vAlign w:val="center"/>
          </w:tcPr>
          <w:p w14:paraId="4450A2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51340021R000000033787-州本级离退休医疗缴费</w:t>
            </w:r>
          </w:p>
        </w:tc>
      </w:tr>
      <w:tr w14:paraId="739F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2758" w:type="dxa"/>
            <w:gridSpan w:val="9"/>
            <w:tcBorders>
              <w:top w:val="single" w:color="000000" w:sz="4" w:space="0"/>
              <w:left w:val="single" w:color="000000" w:sz="4" w:space="0"/>
              <w:bottom w:val="single" w:color="000000" w:sz="4" w:space="0"/>
              <w:right w:val="single" w:color="000000" w:sz="4" w:space="0"/>
            </w:tcBorders>
            <w:noWrap w:val="0"/>
            <w:vAlign w:val="center"/>
          </w:tcPr>
          <w:p w14:paraId="5FF0BF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405" w:type="dxa"/>
            <w:gridSpan w:val="22"/>
            <w:tcBorders>
              <w:top w:val="single" w:color="000000" w:sz="4" w:space="0"/>
              <w:left w:val="single" w:color="000000" w:sz="4" w:space="0"/>
              <w:bottom w:val="single" w:color="000000" w:sz="4" w:space="0"/>
              <w:right w:val="single" w:color="000000" w:sz="4" w:space="0"/>
            </w:tcBorders>
            <w:noWrap w:val="0"/>
            <w:vAlign w:val="center"/>
          </w:tcPr>
          <w:p w14:paraId="1D57C4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280" w:type="dxa"/>
            <w:gridSpan w:val="10"/>
            <w:tcBorders>
              <w:top w:val="nil"/>
              <w:left w:val="nil"/>
              <w:bottom w:val="nil"/>
              <w:right w:val="nil"/>
            </w:tcBorders>
            <w:noWrap w:val="0"/>
            <w:vAlign w:val="center"/>
          </w:tcPr>
          <w:p w14:paraId="405B8192">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8" w:type="dxa"/>
            <w:gridSpan w:val="17"/>
            <w:tcBorders>
              <w:top w:val="single" w:color="000000" w:sz="4" w:space="0"/>
              <w:left w:val="single" w:color="000000" w:sz="4" w:space="0"/>
              <w:bottom w:val="single" w:color="000000" w:sz="4" w:space="0"/>
              <w:right w:val="single" w:color="000000" w:sz="4" w:space="0"/>
            </w:tcBorders>
            <w:noWrap w:val="0"/>
            <w:vAlign w:val="center"/>
          </w:tcPr>
          <w:p w14:paraId="74ED66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3050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9"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170F52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59"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79729F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405" w:type="dxa"/>
            <w:gridSpan w:val="22"/>
            <w:tcBorders>
              <w:top w:val="single" w:color="000000" w:sz="4" w:space="0"/>
              <w:left w:val="single" w:color="000000" w:sz="4" w:space="0"/>
              <w:bottom w:val="single" w:color="000000" w:sz="4" w:space="0"/>
              <w:right w:val="single" w:color="000000" w:sz="4" w:space="0"/>
            </w:tcBorders>
            <w:noWrap w:val="0"/>
            <w:vAlign w:val="center"/>
          </w:tcPr>
          <w:p w14:paraId="46FA4E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8" w:type="dxa"/>
            <w:gridSpan w:val="27"/>
            <w:tcBorders>
              <w:top w:val="single" w:color="000000" w:sz="4" w:space="0"/>
              <w:left w:val="single" w:color="000000" w:sz="4" w:space="0"/>
              <w:bottom w:val="single" w:color="000000" w:sz="4" w:space="0"/>
              <w:right w:val="single" w:color="000000" w:sz="4" w:space="0"/>
            </w:tcBorders>
            <w:noWrap w:val="0"/>
            <w:vAlign w:val="center"/>
          </w:tcPr>
          <w:p w14:paraId="07367F64">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746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710"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284BA8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9"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3D76F0C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05" w:type="dxa"/>
            <w:gridSpan w:val="22"/>
            <w:tcBorders>
              <w:top w:val="single" w:color="000000" w:sz="4" w:space="0"/>
              <w:left w:val="single" w:color="000000" w:sz="4" w:space="0"/>
              <w:bottom w:val="single" w:color="000000" w:sz="4" w:space="0"/>
              <w:right w:val="single" w:color="000000" w:sz="4" w:space="0"/>
            </w:tcBorders>
            <w:noWrap w:val="0"/>
            <w:vAlign w:val="center"/>
          </w:tcPr>
          <w:p w14:paraId="1AB7B9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8" w:type="dxa"/>
            <w:gridSpan w:val="27"/>
            <w:tcBorders>
              <w:top w:val="single" w:color="000000" w:sz="4" w:space="0"/>
              <w:left w:val="single" w:color="000000" w:sz="4" w:space="0"/>
              <w:bottom w:val="single" w:color="000000" w:sz="4" w:space="0"/>
              <w:right w:val="single" w:color="000000" w:sz="4" w:space="0"/>
            </w:tcBorders>
            <w:noWrap w:val="0"/>
            <w:vAlign w:val="center"/>
          </w:tcPr>
          <w:p w14:paraId="49F130DA">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sz w:val="18"/>
                <w:szCs w:val="18"/>
              </w:rPr>
              <w:t>严格执行相关政策，年度内完成了离退休医疗缴费及时、足额缴纳，预算编制科学合理，减少结余资金。</w:t>
            </w:r>
          </w:p>
        </w:tc>
      </w:tr>
      <w:tr w14:paraId="6476F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95"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74DEAA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6963FB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883" w:type="dxa"/>
            <w:gridSpan w:val="49"/>
            <w:tcBorders>
              <w:top w:val="single" w:color="000000" w:sz="4" w:space="0"/>
              <w:left w:val="single" w:color="000000" w:sz="4" w:space="0"/>
              <w:bottom w:val="single" w:color="000000" w:sz="4" w:space="0"/>
              <w:right w:val="single" w:color="000000" w:sz="4" w:space="0"/>
            </w:tcBorders>
            <w:noWrap w:val="0"/>
            <w:vAlign w:val="center"/>
          </w:tcPr>
          <w:p w14:paraId="4CFE343A">
            <w:pPr>
              <w:keepNext w:val="0"/>
              <w:keepLines w:val="0"/>
              <w:suppressLineNumbers w:val="0"/>
              <w:spacing w:before="0" w:beforeAutospacing="0" w:after="0" w:afterAutospacing="0"/>
              <w:ind w:left="0" w:right="0"/>
              <w:rPr>
                <w:rFonts w:hint="eastAsia" w:ascii="Calibri" w:hAnsi="Calibri" w:eastAsia="宋体" w:cs="Times New Roman"/>
                <w:kern w:val="2"/>
                <w:sz w:val="18"/>
                <w:szCs w:val="18"/>
                <w:lang w:val="en-US" w:eastAsia="zh-CN" w:bidi="ar-SA"/>
              </w:rPr>
            </w:pPr>
            <w:r>
              <w:rPr>
                <w:rFonts w:hint="default"/>
                <w:sz w:val="18"/>
                <w:szCs w:val="18"/>
              </w:rPr>
              <w:t>严格执行相关政策，保障离退休医疗缴费及时、足额缴纳，预算编制科学合理，减少结余资金。年度用于人员类项目按照配置定额，逐人核定编制执行。年度内不存在无故缓缴错缴离退休医疗缴费情况发生，也无超范围缴交等违纪记录情况发生。</w:t>
            </w:r>
          </w:p>
        </w:tc>
      </w:tr>
      <w:tr w14:paraId="4581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5F4FFF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483CB2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17A190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7BBACB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68B70B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4E6D50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53C77B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419891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5ABB5A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108D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52"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C84B7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61F2A4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61042A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6.65</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5A3E80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6.23</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382A88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6.23</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1C89CD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400F61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1C494405">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60"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14:paraId="577A3509">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sz w:val="18"/>
                <w:szCs w:val="18"/>
                <w:lang w:eastAsia="zh-CN"/>
              </w:rPr>
              <w:t>退休人员病故</w:t>
            </w:r>
            <w:r>
              <w:rPr>
                <w:rFonts w:hint="eastAsia"/>
                <w:sz w:val="18"/>
                <w:szCs w:val="18"/>
              </w:rPr>
              <w:t>调整</w:t>
            </w:r>
            <w:r>
              <w:rPr>
                <w:rFonts w:hint="eastAsia"/>
                <w:sz w:val="18"/>
                <w:szCs w:val="18"/>
                <w:lang w:eastAsia="zh-CN"/>
              </w:rPr>
              <w:t>减少缴交</w:t>
            </w:r>
            <w:r>
              <w:rPr>
                <w:rFonts w:hint="eastAsia"/>
                <w:sz w:val="18"/>
                <w:szCs w:val="18"/>
              </w:rPr>
              <w:t>基数。</w:t>
            </w:r>
          </w:p>
        </w:tc>
      </w:tr>
      <w:tr w14:paraId="7174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9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AD763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678BD4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40EA06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6.65</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246F67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6.23</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25EC13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6.23</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5B7EF1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398DB6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288179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1C20E701">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481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9A917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05F20B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1CAE7B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413A2F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558DD3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43BE24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621B13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62889C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2AAD4A4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BFD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6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3473E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368048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58A8CE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1A928A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0A7358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67E010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39F054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2F60F0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4712B0F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423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714"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DE4A8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3F1CA2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7AC24FC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687D029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5135E28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62D0C7C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188138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5F6B5B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1862BC90">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F84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44"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3F4828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41E0E4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5ED11B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6A005A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26" w:type="dxa"/>
            <w:gridSpan w:val="3"/>
            <w:tcBorders>
              <w:top w:val="single" w:color="000000" w:sz="4" w:space="0"/>
              <w:left w:val="single" w:color="000000" w:sz="4" w:space="0"/>
              <w:bottom w:val="single" w:color="000000" w:sz="4" w:space="0"/>
              <w:right w:val="single" w:color="000000" w:sz="4" w:space="0"/>
            </w:tcBorders>
            <w:noWrap w:val="0"/>
            <w:vAlign w:val="center"/>
          </w:tcPr>
          <w:p w14:paraId="5C8E14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640" w:type="dxa"/>
            <w:gridSpan w:val="11"/>
            <w:tcBorders>
              <w:top w:val="single" w:color="000000" w:sz="4" w:space="0"/>
              <w:left w:val="single" w:color="000000" w:sz="4" w:space="0"/>
              <w:bottom w:val="single" w:color="000000" w:sz="4" w:space="0"/>
              <w:right w:val="single" w:color="000000" w:sz="4" w:space="0"/>
            </w:tcBorders>
            <w:noWrap w:val="0"/>
            <w:vAlign w:val="center"/>
          </w:tcPr>
          <w:p w14:paraId="255326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65" w:type="dxa"/>
            <w:gridSpan w:val="5"/>
            <w:tcBorders>
              <w:top w:val="single" w:color="000000" w:sz="4" w:space="0"/>
              <w:left w:val="single" w:color="000000" w:sz="4" w:space="0"/>
              <w:bottom w:val="single" w:color="000000" w:sz="4" w:space="0"/>
              <w:right w:val="single" w:color="000000" w:sz="4" w:space="0"/>
            </w:tcBorders>
            <w:noWrap w:val="0"/>
            <w:vAlign w:val="center"/>
          </w:tcPr>
          <w:p w14:paraId="4E722F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615" w:type="dxa"/>
            <w:gridSpan w:val="5"/>
            <w:tcBorders>
              <w:top w:val="single" w:color="000000" w:sz="4" w:space="0"/>
              <w:left w:val="single" w:color="000000" w:sz="4" w:space="0"/>
              <w:bottom w:val="single" w:color="000000" w:sz="4" w:space="0"/>
              <w:right w:val="single" w:color="000000" w:sz="4" w:space="0"/>
            </w:tcBorders>
            <w:noWrap w:val="0"/>
            <w:vAlign w:val="center"/>
          </w:tcPr>
          <w:p w14:paraId="5B981F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0FB3EB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5997BD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567A85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4C6F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45"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4C854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5C0DD2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4437AA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4A2D40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626" w:type="dxa"/>
            <w:gridSpan w:val="3"/>
            <w:tcBorders>
              <w:top w:val="single" w:color="000000" w:sz="4" w:space="0"/>
              <w:left w:val="single" w:color="000000" w:sz="4" w:space="0"/>
              <w:bottom w:val="single" w:color="000000" w:sz="4" w:space="0"/>
              <w:right w:val="single" w:color="000000" w:sz="4" w:space="0"/>
            </w:tcBorders>
            <w:noWrap w:val="0"/>
            <w:vAlign w:val="center"/>
          </w:tcPr>
          <w:p w14:paraId="08A622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40" w:type="dxa"/>
            <w:gridSpan w:val="11"/>
            <w:tcBorders>
              <w:top w:val="single" w:color="000000" w:sz="4" w:space="0"/>
              <w:left w:val="single" w:color="000000" w:sz="4" w:space="0"/>
              <w:bottom w:val="single" w:color="000000" w:sz="4" w:space="0"/>
              <w:right w:val="single" w:color="000000" w:sz="4" w:space="0"/>
            </w:tcBorders>
            <w:noWrap w:val="0"/>
            <w:vAlign w:val="center"/>
          </w:tcPr>
          <w:p w14:paraId="37D9FE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5" w:type="dxa"/>
            <w:gridSpan w:val="5"/>
            <w:tcBorders>
              <w:top w:val="single" w:color="000000" w:sz="4" w:space="0"/>
              <w:left w:val="single" w:color="000000" w:sz="4" w:space="0"/>
              <w:bottom w:val="single" w:color="000000" w:sz="4" w:space="0"/>
              <w:right w:val="single" w:color="000000" w:sz="4" w:space="0"/>
            </w:tcBorders>
            <w:noWrap w:val="0"/>
            <w:vAlign w:val="center"/>
          </w:tcPr>
          <w:p w14:paraId="3A7683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5" w:type="dxa"/>
            <w:gridSpan w:val="5"/>
            <w:tcBorders>
              <w:top w:val="single" w:color="000000" w:sz="4" w:space="0"/>
              <w:left w:val="single" w:color="000000" w:sz="4" w:space="0"/>
              <w:bottom w:val="single" w:color="000000" w:sz="4" w:space="0"/>
              <w:right w:val="single" w:color="000000" w:sz="4" w:space="0"/>
            </w:tcBorders>
            <w:noWrap w:val="0"/>
            <w:vAlign w:val="center"/>
          </w:tcPr>
          <w:p w14:paraId="7E7687AE">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2D28C1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0B4B0116">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2059D3D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4E5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45"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2A97F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4F6D89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1ABB2B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77CED2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626" w:type="dxa"/>
            <w:gridSpan w:val="3"/>
            <w:tcBorders>
              <w:top w:val="single" w:color="000000" w:sz="4" w:space="0"/>
              <w:left w:val="single" w:color="000000" w:sz="4" w:space="0"/>
              <w:bottom w:val="single" w:color="000000" w:sz="4" w:space="0"/>
              <w:right w:val="single" w:color="000000" w:sz="4" w:space="0"/>
            </w:tcBorders>
            <w:noWrap w:val="0"/>
            <w:vAlign w:val="center"/>
          </w:tcPr>
          <w:p w14:paraId="60FD40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40" w:type="dxa"/>
            <w:gridSpan w:val="11"/>
            <w:tcBorders>
              <w:top w:val="single" w:color="000000" w:sz="4" w:space="0"/>
              <w:left w:val="single" w:color="000000" w:sz="4" w:space="0"/>
              <w:bottom w:val="single" w:color="000000" w:sz="4" w:space="0"/>
              <w:right w:val="single" w:color="000000" w:sz="4" w:space="0"/>
            </w:tcBorders>
            <w:noWrap w:val="0"/>
            <w:vAlign w:val="center"/>
          </w:tcPr>
          <w:p w14:paraId="5BDB5A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5" w:type="dxa"/>
            <w:gridSpan w:val="5"/>
            <w:tcBorders>
              <w:top w:val="single" w:color="000000" w:sz="4" w:space="0"/>
              <w:left w:val="single" w:color="000000" w:sz="4" w:space="0"/>
              <w:bottom w:val="single" w:color="000000" w:sz="4" w:space="0"/>
              <w:right w:val="single" w:color="000000" w:sz="4" w:space="0"/>
            </w:tcBorders>
            <w:noWrap w:val="0"/>
            <w:vAlign w:val="center"/>
          </w:tcPr>
          <w:p w14:paraId="57C843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5" w:type="dxa"/>
            <w:gridSpan w:val="5"/>
            <w:tcBorders>
              <w:top w:val="single" w:color="000000" w:sz="4" w:space="0"/>
              <w:left w:val="single" w:color="000000" w:sz="4" w:space="0"/>
              <w:bottom w:val="single" w:color="000000" w:sz="4" w:space="0"/>
              <w:right w:val="single" w:color="000000" w:sz="4" w:space="0"/>
            </w:tcBorders>
            <w:noWrap w:val="0"/>
            <w:vAlign w:val="center"/>
          </w:tcPr>
          <w:p w14:paraId="02D9811A">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2D584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5866FDD2">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1E5098E8">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1A81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9" w:hRule="atLeast"/>
        </w:trPr>
        <w:tc>
          <w:tcPr>
            <w:tcW w:w="7443" w:type="dxa"/>
            <w:gridSpan w:val="41"/>
            <w:tcBorders>
              <w:top w:val="single" w:color="000000" w:sz="4" w:space="0"/>
              <w:left w:val="single" w:color="000000" w:sz="4" w:space="0"/>
              <w:bottom w:val="single" w:color="000000" w:sz="4" w:space="0"/>
              <w:right w:val="single" w:color="000000" w:sz="4" w:space="0"/>
            </w:tcBorders>
            <w:noWrap w:val="0"/>
            <w:vAlign w:val="center"/>
          </w:tcPr>
          <w:p w14:paraId="1FBB36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73FB1F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64C72EEF">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3DEFC32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49F0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7E9520C7">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评价结论</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5793FE37">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保障离退休医疗缴费及时、足额缴纳，预算编制科学合理，减少结余资金。年度用于人员类项目按照配置定额，逐人核定编制执行。年度内不存在无故缓缴错缴离退休医疗缴费情况发生，也无超范围缴交等违纪记录情况发生。从产出、效益、满意度指标等进行了以上打分，预算执行率100%，执行情况良好，自评得分100分。</w:t>
            </w:r>
          </w:p>
        </w:tc>
      </w:tr>
      <w:tr w14:paraId="48AE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24908117">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存在问题</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04961BB3">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无</w:t>
            </w:r>
          </w:p>
        </w:tc>
      </w:tr>
      <w:tr w14:paraId="2AED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26"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53F519AB">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改进措施</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14CAD11F">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无</w:t>
            </w:r>
          </w:p>
        </w:tc>
      </w:tr>
      <w:tr w14:paraId="4EED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02" w:hRule="atLeast"/>
        </w:trPr>
        <w:tc>
          <w:tcPr>
            <w:tcW w:w="6086" w:type="dxa"/>
            <w:gridSpan w:val="27"/>
            <w:tcBorders>
              <w:top w:val="single" w:color="000000" w:sz="4" w:space="0"/>
              <w:left w:val="single" w:color="000000" w:sz="4" w:space="0"/>
              <w:bottom w:val="single" w:color="000000" w:sz="4" w:space="0"/>
              <w:right w:val="single" w:color="000000" w:sz="4" w:space="0"/>
            </w:tcBorders>
            <w:noWrap w:val="0"/>
            <w:vAlign w:val="center"/>
          </w:tcPr>
          <w:p w14:paraId="0509E7EE">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r>
              <w:rPr>
                <w:rFonts w:hint="eastAsia"/>
                <w:sz w:val="18"/>
                <w:szCs w:val="18"/>
              </w:rPr>
              <w:t>项目负责人：张舒雁</w:t>
            </w:r>
          </w:p>
        </w:tc>
        <w:tc>
          <w:tcPr>
            <w:tcW w:w="4555" w:type="dxa"/>
            <w:gridSpan w:val="31"/>
            <w:tcBorders>
              <w:top w:val="single" w:color="000000" w:sz="4" w:space="0"/>
              <w:left w:val="single" w:color="000000" w:sz="4" w:space="0"/>
              <w:bottom w:val="single" w:color="000000" w:sz="4" w:space="0"/>
              <w:right w:val="single" w:color="000000" w:sz="4" w:space="0"/>
            </w:tcBorders>
            <w:noWrap w:val="0"/>
            <w:vAlign w:val="center"/>
          </w:tcPr>
          <w:p w14:paraId="7AC99386">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r>
              <w:rPr>
                <w:rFonts w:hint="eastAsia"/>
                <w:sz w:val="18"/>
                <w:szCs w:val="18"/>
              </w:rPr>
              <w:t>财务负责人：毛正华</w:t>
            </w:r>
          </w:p>
        </w:tc>
      </w:tr>
      <w:tr w14:paraId="7382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9" w:hRule="atLeast"/>
        </w:trPr>
        <w:tc>
          <w:tcPr>
            <w:tcW w:w="1699" w:type="dxa"/>
            <w:gridSpan w:val="5"/>
            <w:tcBorders>
              <w:top w:val="nil"/>
              <w:left w:val="nil"/>
              <w:bottom w:val="nil"/>
              <w:right w:val="nil"/>
            </w:tcBorders>
            <w:noWrap w:val="0"/>
            <w:vAlign w:val="center"/>
          </w:tcPr>
          <w:p w14:paraId="257A913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01B0BB8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7343BF2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9" w:type="dxa"/>
            <w:gridSpan w:val="4"/>
            <w:tcBorders>
              <w:top w:val="nil"/>
              <w:left w:val="nil"/>
              <w:bottom w:val="nil"/>
              <w:right w:val="nil"/>
            </w:tcBorders>
            <w:noWrap w:val="0"/>
            <w:vAlign w:val="center"/>
          </w:tcPr>
          <w:p w14:paraId="747EDB4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62" w:type="dxa"/>
            <w:gridSpan w:val="6"/>
            <w:tcBorders>
              <w:top w:val="nil"/>
              <w:left w:val="nil"/>
              <w:bottom w:val="nil"/>
              <w:right w:val="nil"/>
            </w:tcBorders>
            <w:noWrap w:val="0"/>
            <w:vAlign w:val="center"/>
          </w:tcPr>
          <w:p w14:paraId="52A3783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77" w:type="dxa"/>
            <w:gridSpan w:val="2"/>
            <w:tcBorders>
              <w:top w:val="nil"/>
              <w:left w:val="nil"/>
              <w:bottom w:val="nil"/>
              <w:right w:val="nil"/>
            </w:tcBorders>
            <w:noWrap w:val="0"/>
            <w:vAlign w:val="center"/>
          </w:tcPr>
          <w:p w14:paraId="1D9CBAF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6" w:type="dxa"/>
            <w:gridSpan w:val="3"/>
            <w:tcBorders>
              <w:top w:val="nil"/>
              <w:left w:val="nil"/>
              <w:bottom w:val="nil"/>
              <w:right w:val="nil"/>
            </w:tcBorders>
            <w:noWrap w:val="0"/>
            <w:vAlign w:val="center"/>
          </w:tcPr>
          <w:p w14:paraId="1D096A7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0" w:type="dxa"/>
            <w:gridSpan w:val="11"/>
            <w:tcBorders>
              <w:top w:val="nil"/>
              <w:left w:val="nil"/>
              <w:bottom w:val="nil"/>
              <w:right w:val="nil"/>
            </w:tcBorders>
            <w:noWrap w:val="0"/>
            <w:vAlign w:val="center"/>
          </w:tcPr>
          <w:p w14:paraId="0884D6D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5" w:type="dxa"/>
            <w:gridSpan w:val="5"/>
            <w:tcBorders>
              <w:top w:val="nil"/>
              <w:left w:val="nil"/>
              <w:bottom w:val="nil"/>
              <w:right w:val="nil"/>
            </w:tcBorders>
            <w:noWrap w:val="0"/>
            <w:vAlign w:val="center"/>
          </w:tcPr>
          <w:p w14:paraId="2600D13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5" w:type="dxa"/>
            <w:gridSpan w:val="5"/>
            <w:tcBorders>
              <w:top w:val="nil"/>
              <w:left w:val="nil"/>
              <w:bottom w:val="nil"/>
              <w:right w:val="nil"/>
            </w:tcBorders>
            <w:noWrap w:val="0"/>
            <w:vAlign w:val="center"/>
          </w:tcPr>
          <w:p w14:paraId="5D9547A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86" w:type="dxa"/>
            <w:gridSpan w:val="3"/>
            <w:tcBorders>
              <w:top w:val="nil"/>
              <w:left w:val="nil"/>
              <w:bottom w:val="nil"/>
              <w:right w:val="nil"/>
            </w:tcBorders>
            <w:noWrap w:val="0"/>
            <w:vAlign w:val="center"/>
          </w:tcPr>
          <w:p w14:paraId="5498286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52" w:type="dxa"/>
            <w:gridSpan w:val="6"/>
            <w:tcBorders>
              <w:top w:val="nil"/>
              <w:left w:val="nil"/>
              <w:bottom w:val="nil"/>
              <w:right w:val="nil"/>
            </w:tcBorders>
            <w:noWrap w:val="0"/>
            <w:vAlign w:val="center"/>
          </w:tcPr>
          <w:p w14:paraId="1A53D6B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160" w:type="dxa"/>
            <w:gridSpan w:val="8"/>
            <w:tcBorders>
              <w:top w:val="nil"/>
              <w:left w:val="nil"/>
              <w:bottom w:val="nil"/>
              <w:right w:val="nil"/>
            </w:tcBorders>
            <w:noWrap w:val="0"/>
            <w:vAlign w:val="center"/>
          </w:tcPr>
          <w:p w14:paraId="525CE7B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046E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0" w:hRule="atLeast"/>
        </w:trPr>
        <w:tc>
          <w:tcPr>
            <w:tcW w:w="10641" w:type="dxa"/>
            <w:gridSpan w:val="58"/>
            <w:tcBorders>
              <w:top w:val="single" w:color="000000" w:sz="4" w:space="0"/>
              <w:left w:val="single" w:color="000000" w:sz="4" w:space="0"/>
              <w:bottom w:val="single" w:color="000000" w:sz="4" w:space="0"/>
              <w:right w:val="single" w:color="000000" w:sz="4" w:space="0"/>
            </w:tcBorders>
            <w:noWrap w:val="0"/>
            <w:vAlign w:val="center"/>
          </w:tcPr>
          <w:p w14:paraId="46950D26">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FFF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62" w:hRule="atLeast"/>
        </w:trPr>
        <w:tc>
          <w:tcPr>
            <w:tcW w:w="2758" w:type="dxa"/>
            <w:gridSpan w:val="9"/>
            <w:tcBorders>
              <w:top w:val="single" w:color="000000" w:sz="4" w:space="0"/>
              <w:left w:val="single" w:color="000000" w:sz="4" w:space="0"/>
              <w:bottom w:val="single" w:color="000000" w:sz="4" w:space="0"/>
              <w:right w:val="single" w:color="000000" w:sz="4" w:space="0"/>
            </w:tcBorders>
            <w:noWrap w:val="0"/>
            <w:vAlign w:val="center"/>
          </w:tcPr>
          <w:p w14:paraId="03555D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项目名称</w:t>
            </w:r>
          </w:p>
        </w:tc>
        <w:tc>
          <w:tcPr>
            <w:tcW w:w="7883" w:type="dxa"/>
            <w:gridSpan w:val="49"/>
            <w:tcBorders>
              <w:top w:val="single" w:color="000000" w:sz="4" w:space="0"/>
              <w:left w:val="single" w:color="000000" w:sz="4" w:space="0"/>
              <w:bottom w:val="single" w:color="000000" w:sz="4" w:space="0"/>
              <w:right w:val="single" w:color="000000" w:sz="4" w:space="0"/>
            </w:tcBorders>
            <w:noWrap w:val="0"/>
            <w:vAlign w:val="center"/>
          </w:tcPr>
          <w:p w14:paraId="60EDB0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51340021R000000033799-州本级离退休费支出</w:t>
            </w:r>
          </w:p>
        </w:tc>
      </w:tr>
      <w:tr w14:paraId="20AF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2758" w:type="dxa"/>
            <w:gridSpan w:val="9"/>
            <w:tcBorders>
              <w:top w:val="single" w:color="000000" w:sz="4" w:space="0"/>
              <w:left w:val="single" w:color="000000" w:sz="4" w:space="0"/>
              <w:bottom w:val="single" w:color="000000" w:sz="4" w:space="0"/>
              <w:right w:val="single" w:color="000000" w:sz="4" w:space="0"/>
            </w:tcBorders>
            <w:noWrap w:val="0"/>
            <w:vAlign w:val="center"/>
          </w:tcPr>
          <w:p w14:paraId="106A16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405" w:type="dxa"/>
            <w:gridSpan w:val="22"/>
            <w:tcBorders>
              <w:top w:val="single" w:color="000000" w:sz="4" w:space="0"/>
              <w:left w:val="single" w:color="000000" w:sz="4" w:space="0"/>
              <w:bottom w:val="single" w:color="000000" w:sz="4" w:space="0"/>
              <w:right w:val="single" w:color="000000" w:sz="4" w:space="0"/>
            </w:tcBorders>
            <w:noWrap w:val="0"/>
            <w:vAlign w:val="center"/>
          </w:tcPr>
          <w:p w14:paraId="245425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280" w:type="dxa"/>
            <w:gridSpan w:val="10"/>
            <w:tcBorders>
              <w:top w:val="nil"/>
              <w:left w:val="nil"/>
              <w:bottom w:val="nil"/>
              <w:right w:val="nil"/>
            </w:tcBorders>
            <w:noWrap w:val="0"/>
            <w:vAlign w:val="center"/>
          </w:tcPr>
          <w:p w14:paraId="44DAA2B0">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8" w:type="dxa"/>
            <w:gridSpan w:val="17"/>
            <w:tcBorders>
              <w:top w:val="single" w:color="000000" w:sz="4" w:space="0"/>
              <w:left w:val="single" w:color="000000" w:sz="4" w:space="0"/>
              <w:bottom w:val="single" w:color="000000" w:sz="4" w:space="0"/>
              <w:right w:val="single" w:color="000000" w:sz="4" w:space="0"/>
            </w:tcBorders>
            <w:noWrap w:val="0"/>
            <w:vAlign w:val="center"/>
          </w:tcPr>
          <w:p w14:paraId="45601E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0BF2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9"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30E5DA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59"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2D5AA6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405" w:type="dxa"/>
            <w:gridSpan w:val="22"/>
            <w:tcBorders>
              <w:top w:val="single" w:color="000000" w:sz="4" w:space="0"/>
              <w:left w:val="single" w:color="000000" w:sz="4" w:space="0"/>
              <w:bottom w:val="single" w:color="000000" w:sz="4" w:space="0"/>
              <w:right w:val="single" w:color="000000" w:sz="4" w:space="0"/>
            </w:tcBorders>
            <w:noWrap w:val="0"/>
            <w:vAlign w:val="center"/>
          </w:tcPr>
          <w:p w14:paraId="6757D9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8" w:type="dxa"/>
            <w:gridSpan w:val="27"/>
            <w:tcBorders>
              <w:top w:val="single" w:color="000000" w:sz="4" w:space="0"/>
              <w:left w:val="single" w:color="000000" w:sz="4" w:space="0"/>
              <w:bottom w:val="single" w:color="000000" w:sz="4" w:space="0"/>
              <w:right w:val="single" w:color="000000" w:sz="4" w:space="0"/>
            </w:tcBorders>
            <w:noWrap w:val="0"/>
            <w:vAlign w:val="center"/>
          </w:tcPr>
          <w:p w14:paraId="7D811BE8">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711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710"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7EA686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9"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265038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05" w:type="dxa"/>
            <w:gridSpan w:val="22"/>
            <w:tcBorders>
              <w:top w:val="single" w:color="000000" w:sz="4" w:space="0"/>
              <w:left w:val="single" w:color="000000" w:sz="4" w:space="0"/>
              <w:bottom w:val="single" w:color="000000" w:sz="4" w:space="0"/>
              <w:right w:val="single" w:color="000000" w:sz="4" w:space="0"/>
            </w:tcBorders>
            <w:noWrap w:val="0"/>
            <w:vAlign w:val="center"/>
          </w:tcPr>
          <w:p w14:paraId="4F0CEE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8" w:type="dxa"/>
            <w:gridSpan w:val="27"/>
            <w:tcBorders>
              <w:top w:val="single" w:color="000000" w:sz="4" w:space="0"/>
              <w:left w:val="single" w:color="000000" w:sz="4" w:space="0"/>
              <w:bottom w:val="single" w:color="000000" w:sz="4" w:space="0"/>
              <w:right w:val="single" w:color="000000" w:sz="4" w:space="0"/>
            </w:tcBorders>
            <w:noWrap w:val="0"/>
            <w:vAlign w:val="center"/>
          </w:tcPr>
          <w:p w14:paraId="2E2269D7">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sz w:val="18"/>
                <w:szCs w:val="18"/>
              </w:rPr>
              <w:t>严格执行相关政策，年度内完成了离退休费及时、足额发放。预算编制科学合理，减少结余资金。</w:t>
            </w:r>
          </w:p>
        </w:tc>
      </w:tr>
      <w:tr w14:paraId="521D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95"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287410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128542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883" w:type="dxa"/>
            <w:gridSpan w:val="49"/>
            <w:tcBorders>
              <w:top w:val="single" w:color="000000" w:sz="4" w:space="0"/>
              <w:left w:val="single" w:color="000000" w:sz="4" w:space="0"/>
              <w:bottom w:val="single" w:color="000000" w:sz="4" w:space="0"/>
              <w:right w:val="single" w:color="000000" w:sz="4" w:space="0"/>
            </w:tcBorders>
            <w:noWrap w:val="0"/>
            <w:vAlign w:val="center"/>
          </w:tcPr>
          <w:p w14:paraId="4E1B7EA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default"/>
                <w:sz w:val="18"/>
                <w:szCs w:val="18"/>
              </w:rPr>
              <w:t>严格执行相关政策，保障离退休费及时、足额发放。预算编制科学合理，减少结余资金。年度用于人员类项目按照配置定额，逐人核定编制执行。年度内不存在无故拖延发放离退休费情况发生，也无超范围支付离退休费等违纪记录情况发生。</w:t>
            </w:r>
          </w:p>
        </w:tc>
      </w:tr>
      <w:tr w14:paraId="5FB4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5B37CF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0DC695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12FB2B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474FEC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5853CA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4CA5BB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358DC2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49F026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3D7BA5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7054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52"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32E02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1C122E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4C3F03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22.58</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7A92E0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22.87</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6099E3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22.87</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059340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06F3D3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2074280F">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60"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14:paraId="674812AD">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sz w:val="18"/>
                <w:szCs w:val="18"/>
              </w:rPr>
              <w:t>按照相关政策逐人核定编制执行，调整增加离退休费。</w:t>
            </w:r>
          </w:p>
        </w:tc>
      </w:tr>
      <w:tr w14:paraId="52EE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9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030D20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74E394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65A503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22.58</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696F84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22.87</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3FE2CD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22.87</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6FF03D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718262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0441EC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735A97D0">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136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6531F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10B151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31796E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623D30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18D9C5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140F70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145565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6955BF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4D570E4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890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6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1E183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76E317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121F12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7CE6DF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4D9F52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4865C6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5328D5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19296C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4C315A61">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6E2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50"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475CB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264433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3C9CFCD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1C13E0F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266" w:type="dxa"/>
            <w:gridSpan w:val="14"/>
            <w:tcBorders>
              <w:top w:val="single" w:color="000000" w:sz="4" w:space="0"/>
              <w:left w:val="single" w:color="000000" w:sz="4" w:space="0"/>
              <w:bottom w:val="single" w:color="000000" w:sz="4" w:space="0"/>
              <w:right w:val="single" w:color="000000" w:sz="4" w:space="0"/>
            </w:tcBorders>
            <w:noWrap w:val="0"/>
            <w:vAlign w:val="center"/>
          </w:tcPr>
          <w:p w14:paraId="6A768C3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280" w:type="dxa"/>
            <w:gridSpan w:val="10"/>
            <w:tcBorders>
              <w:top w:val="single" w:color="000000" w:sz="4" w:space="0"/>
              <w:left w:val="single" w:color="000000" w:sz="4" w:space="0"/>
              <w:bottom w:val="single" w:color="000000" w:sz="4" w:space="0"/>
              <w:right w:val="single" w:color="000000" w:sz="4" w:space="0"/>
            </w:tcBorders>
            <w:noWrap w:val="0"/>
            <w:vAlign w:val="center"/>
          </w:tcPr>
          <w:p w14:paraId="4377B3B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1F2171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4550FC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1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AA09EC3">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0EE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44"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0DA42E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747B1B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4EFEC3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0C2AA9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26" w:type="dxa"/>
            <w:gridSpan w:val="3"/>
            <w:tcBorders>
              <w:top w:val="single" w:color="000000" w:sz="4" w:space="0"/>
              <w:left w:val="single" w:color="000000" w:sz="4" w:space="0"/>
              <w:bottom w:val="single" w:color="000000" w:sz="4" w:space="0"/>
              <w:right w:val="single" w:color="000000" w:sz="4" w:space="0"/>
            </w:tcBorders>
            <w:noWrap w:val="0"/>
            <w:vAlign w:val="center"/>
          </w:tcPr>
          <w:p w14:paraId="347628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640" w:type="dxa"/>
            <w:gridSpan w:val="11"/>
            <w:tcBorders>
              <w:top w:val="single" w:color="000000" w:sz="4" w:space="0"/>
              <w:left w:val="single" w:color="000000" w:sz="4" w:space="0"/>
              <w:bottom w:val="single" w:color="000000" w:sz="4" w:space="0"/>
              <w:right w:val="single" w:color="000000" w:sz="4" w:space="0"/>
            </w:tcBorders>
            <w:noWrap w:val="0"/>
            <w:vAlign w:val="center"/>
          </w:tcPr>
          <w:p w14:paraId="49605D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65" w:type="dxa"/>
            <w:gridSpan w:val="5"/>
            <w:tcBorders>
              <w:top w:val="single" w:color="000000" w:sz="4" w:space="0"/>
              <w:left w:val="single" w:color="000000" w:sz="4" w:space="0"/>
              <w:bottom w:val="single" w:color="000000" w:sz="4" w:space="0"/>
              <w:right w:val="single" w:color="000000" w:sz="4" w:space="0"/>
            </w:tcBorders>
            <w:noWrap w:val="0"/>
            <w:vAlign w:val="center"/>
          </w:tcPr>
          <w:p w14:paraId="5A7D62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615" w:type="dxa"/>
            <w:gridSpan w:val="5"/>
            <w:tcBorders>
              <w:top w:val="single" w:color="000000" w:sz="4" w:space="0"/>
              <w:left w:val="single" w:color="000000" w:sz="4" w:space="0"/>
              <w:bottom w:val="single" w:color="000000" w:sz="4" w:space="0"/>
              <w:right w:val="single" w:color="000000" w:sz="4" w:space="0"/>
            </w:tcBorders>
            <w:noWrap w:val="0"/>
            <w:vAlign w:val="center"/>
          </w:tcPr>
          <w:p w14:paraId="61E405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5DC04A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554464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685F3B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20B9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45"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A7558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66B08B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507174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11FDC6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626" w:type="dxa"/>
            <w:gridSpan w:val="3"/>
            <w:tcBorders>
              <w:top w:val="single" w:color="000000" w:sz="4" w:space="0"/>
              <w:left w:val="single" w:color="000000" w:sz="4" w:space="0"/>
              <w:bottom w:val="single" w:color="000000" w:sz="4" w:space="0"/>
              <w:right w:val="single" w:color="000000" w:sz="4" w:space="0"/>
            </w:tcBorders>
            <w:noWrap w:val="0"/>
            <w:vAlign w:val="center"/>
          </w:tcPr>
          <w:p w14:paraId="3B38BB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40" w:type="dxa"/>
            <w:gridSpan w:val="11"/>
            <w:tcBorders>
              <w:top w:val="single" w:color="000000" w:sz="4" w:space="0"/>
              <w:left w:val="single" w:color="000000" w:sz="4" w:space="0"/>
              <w:bottom w:val="single" w:color="000000" w:sz="4" w:space="0"/>
              <w:right w:val="single" w:color="000000" w:sz="4" w:space="0"/>
            </w:tcBorders>
            <w:noWrap w:val="0"/>
            <w:vAlign w:val="center"/>
          </w:tcPr>
          <w:p w14:paraId="1E6109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5" w:type="dxa"/>
            <w:gridSpan w:val="5"/>
            <w:tcBorders>
              <w:top w:val="single" w:color="000000" w:sz="4" w:space="0"/>
              <w:left w:val="single" w:color="000000" w:sz="4" w:space="0"/>
              <w:bottom w:val="single" w:color="000000" w:sz="4" w:space="0"/>
              <w:right w:val="single" w:color="000000" w:sz="4" w:space="0"/>
            </w:tcBorders>
            <w:noWrap w:val="0"/>
            <w:vAlign w:val="center"/>
          </w:tcPr>
          <w:p w14:paraId="1CA7B7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5" w:type="dxa"/>
            <w:gridSpan w:val="5"/>
            <w:tcBorders>
              <w:top w:val="single" w:color="000000" w:sz="4" w:space="0"/>
              <w:left w:val="single" w:color="000000" w:sz="4" w:space="0"/>
              <w:bottom w:val="single" w:color="000000" w:sz="4" w:space="0"/>
              <w:right w:val="single" w:color="000000" w:sz="4" w:space="0"/>
            </w:tcBorders>
            <w:noWrap w:val="0"/>
            <w:vAlign w:val="center"/>
          </w:tcPr>
          <w:p w14:paraId="60FCA562">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754469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753F4361">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2425F92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50F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45"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092A8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noWrap w:val="0"/>
            <w:vAlign w:val="center"/>
          </w:tcPr>
          <w:p w14:paraId="7D7422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62" w:type="dxa"/>
            <w:gridSpan w:val="6"/>
            <w:tcBorders>
              <w:top w:val="single" w:color="000000" w:sz="4" w:space="0"/>
              <w:left w:val="single" w:color="000000" w:sz="4" w:space="0"/>
              <w:bottom w:val="single" w:color="000000" w:sz="4" w:space="0"/>
              <w:right w:val="single" w:color="000000" w:sz="4" w:space="0"/>
            </w:tcBorders>
            <w:noWrap w:val="0"/>
            <w:vAlign w:val="center"/>
          </w:tcPr>
          <w:p w14:paraId="148CB5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58AAE3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626" w:type="dxa"/>
            <w:gridSpan w:val="3"/>
            <w:tcBorders>
              <w:top w:val="single" w:color="000000" w:sz="4" w:space="0"/>
              <w:left w:val="single" w:color="000000" w:sz="4" w:space="0"/>
              <w:bottom w:val="single" w:color="000000" w:sz="4" w:space="0"/>
              <w:right w:val="single" w:color="000000" w:sz="4" w:space="0"/>
            </w:tcBorders>
            <w:noWrap w:val="0"/>
            <w:vAlign w:val="center"/>
          </w:tcPr>
          <w:p w14:paraId="05F6AF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40" w:type="dxa"/>
            <w:gridSpan w:val="11"/>
            <w:tcBorders>
              <w:top w:val="single" w:color="000000" w:sz="4" w:space="0"/>
              <w:left w:val="single" w:color="000000" w:sz="4" w:space="0"/>
              <w:bottom w:val="single" w:color="000000" w:sz="4" w:space="0"/>
              <w:right w:val="single" w:color="000000" w:sz="4" w:space="0"/>
            </w:tcBorders>
            <w:noWrap w:val="0"/>
            <w:vAlign w:val="center"/>
          </w:tcPr>
          <w:p w14:paraId="4EFC39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5" w:type="dxa"/>
            <w:gridSpan w:val="5"/>
            <w:tcBorders>
              <w:top w:val="single" w:color="000000" w:sz="4" w:space="0"/>
              <w:left w:val="single" w:color="000000" w:sz="4" w:space="0"/>
              <w:bottom w:val="single" w:color="000000" w:sz="4" w:space="0"/>
              <w:right w:val="single" w:color="000000" w:sz="4" w:space="0"/>
            </w:tcBorders>
            <w:noWrap w:val="0"/>
            <w:vAlign w:val="center"/>
          </w:tcPr>
          <w:p w14:paraId="04122D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5" w:type="dxa"/>
            <w:gridSpan w:val="5"/>
            <w:tcBorders>
              <w:top w:val="single" w:color="000000" w:sz="4" w:space="0"/>
              <w:left w:val="single" w:color="000000" w:sz="4" w:space="0"/>
              <w:bottom w:val="single" w:color="000000" w:sz="4" w:space="0"/>
              <w:right w:val="single" w:color="000000" w:sz="4" w:space="0"/>
            </w:tcBorders>
            <w:noWrap w:val="0"/>
            <w:vAlign w:val="center"/>
          </w:tcPr>
          <w:p w14:paraId="121B6796">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26C684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08C04DE5">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05D9B63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B6B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9" w:hRule="atLeast"/>
        </w:trPr>
        <w:tc>
          <w:tcPr>
            <w:tcW w:w="7443" w:type="dxa"/>
            <w:gridSpan w:val="41"/>
            <w:tcBorders>
              <w:top w:val="single" w:color="000000" w:sz="4" w:space="0"/>
              <w:left w:val="single" w:color="000000" w:sz="4" w:space="0"/>
              <w:bottom w:val="single" w:color="000000" w:sz="4" w:space="0"/>
              <w:right w:val="single" w:color="000000" w:sz="4" w:space="0"/>
            </w:tcBorders>
            <w:noWrap w:val="0"/>
            <w:vAlign w:val="center"/>
          </w:tcPr>
          <w:p w14:paraId="0B0D0F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86" w:type="dxa"/>
            <w:gridSpan w:val="3"/>
            <w:tcBorders>
              <w:top w:val="single" w:color="000000" w:sz="4" w:space="0"/>
              <w:left w:val="single" w:color="000000" w:sz="4" w:space="0"/>
              <w:bottom w:val="single" w:color="000000" w:sz="4" w:space="0"/>
              <w:right w:val="single" w:color="000000" w:sz="4" w:space="0"/>
            </w:tcBorders>
            <w:noWrap w:val="0"/>
            <w:vAlign w:val="center"/>
          </w:tcPr>
          <w:p w14:paraId="1B6CC3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52" w:type="dxa"/>
            <w:gridSpan w:val="6"/>
            <w:tcBorders>
              <w:top w:val="single" w:color="000000" w:sz="4" w:space="0"/>
              <w:left w:val="single" w:color="000000" w:sz="4" w:space="0"/>
              <w:bottom w:val="single" w:color="000000" w:sz="4" w:space="0"/>
              <w:right w:val="single" w:color="000000" w:sz="4" w:space="0"/>
            </w:tcBorders>
            <w:noWrap w:val="0"/>
            <w:vAlign w:val="center"/>
          </w:tcPr>
          <w:p w14:paraId="33E108B3">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160" w:type="dxa"/>
            <w:gridSpan w:val="8"/>
            <w:tcBorders>
              <w:top w:val="single" w:color="000000" w:sz="4" w:space="0"/>
              <w:left w:val="single" w:color="000000" w:sz="4" w:space="0"/>
              <w:bottom w:val="single" w:color="000000" w:sz="4" w:space="0"/>
              <w:right w:val="single" w:color="000000" w:sz="4" w:space="0"/>
            </w:tcBorders>
            <w:noWrap w:val="0"/>
            <w:vAlign w:val="center"/>
          </w:tcPr>
          <w:p w14:paraId="499ADC6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62D8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652ACAB3">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评价结论</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0B31479A">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严格执行相关政策，保障离退休费及时、足额发放。预算编制科学合理，减少结余资金。年度用于人员类项目按照配置定额，逐人核定编制执行。年度内不存在无故拖延发放离退休费情况发生，也无超范围支付离退休费等违纪记录情况发生。从产出、效益、满意度指标等进行了以上打分，预算执行率100%，执行情况良好，自评得分100分。</w:t>
            </w:r>
          </w:p>
        </w:tc>
      </w:tr>
      <w:tr w14:paraId="6DA4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7"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3BE05A23">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存在问题</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26B1577B">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无</w:t>
            </w:r>
          </w:p>
        </w:tc>
      </w:tr>
      <w:tr w14:paraId="1085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36"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0B52927C">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改进措施</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7C84E27C">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无</w:t>
            </w:r>
          </w:p>
        </w:tc>
      </w:tr>
      <w:tr w14:paraId="7DC3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9" w:hRule="atLeast"/>
        </w:trPr>
        <w:tc>
          <w:tcPr>
            <w:tcW w:w="5523" w:type="dxa"/>
            <w:gridSpan w:val="20"/>
            <w:tcBorders>
              <w:top w:val="single" w:color="000000" w:sz="4" w:space="0"/>
              <w:left w:val="single" w:color="000000" w:sz="4" w:space="0"/>
              <w:bottom w:val="single" w:color="000000" w:sz="4" w:space="0"/>
              <w:right w:val="single" w:color="000000" w:sz="4" w:space="0"/>
            </w:tcBorders>
            <w:noWrap w:val="0"/>
            <w:vAlign w:val="center"/>
          </w:tcPr>
          <w:p w14:paraId="4705F0FD">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r>
              <w:rPr>
                <w:rFonts w:hint="eastAsia"/>
                <w:sz w:val="18"/>
                <w:szCs w:val="18"/>
              </w:rPr>
              <w:t>项目负责人：张舒雁</w:t>
            </w:r>
          </w:p>
        </w:tc>
        <w:tc>
          <w:tcPr>
            <w:tcW w:w="5118" w:type="dxa"/>
            <w:gridSpan w:val="38"/>
            <w:tcBorders>
              <w:top w:val="single" w:color="000000" w:sz="4" w:space="0"/>
              <w:left w:val="single" w:color="000000" w:sz="4" w:space="0"/>
              <w:bottom w:val="single" w:color="000000" w:sz="4" w:space="0"/>
              <w:right w:val="single" w:color="000000" w:sz="4" w:space="0"/>
            </w:tcBorders>
            <w:noWrap w:val="0"/>
            <w:vAlign w:val="center"/>
          </w:tcPr>
          <w:p w14:paraId="6814BEDF">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r w14:paraId="1966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9" w:hRule="atLeast"/>
        </w:trPr>
        <w:tc>
          <w:tcPr>
            <w:tcW w:w="10641" w:type="dxa"/>
            <w:gridSpan w:val="58"/>
            <w:tcBorders>
              <w:top w:val="single" w:color="000000" w:sz="4" w:space="0"/>
              <w:left w:val="single" w:color="000000" w:sz="4" w:space="0"/>
              <w:bottom w:val="single" w:color="000000" w:sz="4" w:space="0"/>
              <w:right w:val="single" w:color="000000" w:sz="4" w:space="0"/>
            </w:tcBorders>
            <w:noWrap w:val="0"/>
            <w:vAlign w:val="center"/>
          </w:tcPr>
          <w:p w14:paraId="3DDBA8F6">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71A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39" w:hRule="atLeast"/>
        </w:trPr>
        <w:tc>
          <w:tcPr>
            <w:tcW w:w="2707" w:type="dxa"/>
            <w:gridSpan w:val="8"/>
            <w:tcBorders>
              <w:top w:val="single" w:color="000000" w:sz="4" w:space="0"/>
              <w:left w:val="single" w:color="000000" w:sz="4" w:space="0"/>
              <w:bottom w:val="single" w:color="000000" w:sz="4" w:space="0"/>
              <w:right w:val="single" w:color="000000" w:sz="4" w:space="0"/>
            </w:tcBorders>
            <w:noWrap w:val="0"/>
            <w:vAlign w:val="center"/>
          </w:tcPr>
          <w:p w14:paraId="0537EE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项目名称</w:t>
            </w:r>
          </w:p>
        </w:tc>
        <w:tc>
          <w:tcPr>
            <w:tcW w:w="7934" w:type="dxa"/>
            <w:gridSpan w:val="50"/>
            <w:tcBorders>
              <w:top w:val="single" w:color="000000" w:sz="4" w:space="0"/>
              <w:left w:val="single" w:color="000000" w:sz="4" w:space="0"/>
              <w:bottom w:val="single" w:color="000000" w:sz="4" w:space="0"/>
              <w:right w:val="single" w:color="000000" w:sz="4" w:space="0"/>
            </w:tcBorders>
            <w:noWrap w:val="0"/>
            <w:vAlign w:val="center"/>
          </w:tcPr>
          <w:p w14:paraId="5DDD86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51340021R000000033807-州本级其他补助支出</w:t>
            </w:r>
          </w:p>
        </w:tc>
      </w:tr>
      <w:tr w14:paraId="6B9B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2707" w:type="dxa"/>
            <w:gridSpan w:val="8"/>
            <w:tcBorders>
              <w:top w:val="single" w:color="000000" w:sz="4" w:space="0"/>
              <w:left w:val="single" w:color="000000" w:sz="4" w:space="0"/>
              <w:bottom w:val="single" w:color="000000" w:sz="4" w:space="0"/>
              <w:right w:val="single" w:color="000000" w:sz="4" w:space="0"/>
            </w:tcBorders>
            <w:noWrap w:val="0"/>
            <w:vAlign w:val="center"/>
          </w:tcPr>
          <w:p w14:paraId="3DB163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4BA753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007" w:type="dxa"/>
            <w:gridSpan w:val="9"/>
            <w:tcBorders>
              <w:top w:val="nil"/>
              <w:left w:val="nil"/>
              <w:bottom w:val="nil"/>
              <w:right w:val="nil"/>
            </w:tcBorders>
            <w:noWrap w:val="0"/>
            <w:vAlign w:val="center"/>
          </w:tcPr>
          <w:p w14:paraId="3658B648">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26" w:type="dxa"/>
            <w:gridSpan w:val="16"/>
            <w:tcBorders>
              <w:top w:val="single" w:color="000000" w:sz="4" w:space="0"/>
              <w:left w:val="single" w:color="000000" w:sz="4" w:space="0"/>
              <w:bottom w:val="single" w:color="000000" w:sz="4" w:space="0"/>
              <w:right w:val="single" w:color="000000" w:sz="4" w:space="0"/>
            </w:tcBorders>
            <w:noWrap w:val="0"/>
            <w:vAlign w:val="center"/>
          </w:tcPr>
          <w:p w14:paraId="284EB2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34C4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27AA8B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1A265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1CBD76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33" w:type="dxa"/>
            <w:gridSpan w:val="25"/>
            <w:tcBorders>
              <w:top w:val="single" w:color="000000" w:sz="4" w:space="0"/>
              <w:left w:val="single" w:color="000000" w:sz="4" w:space="0"/>
              <w:bottom w:val="single" w:color="000000" w:sz="4" w:space="0"/>
              <w:right w:val="single" w:color="000000" w:sz="4" w:space="0"/>
            </w:tcBorders>
            <w:noWrap w:val="0"/>
            <w:vAlign w:val="center"/>
          </w:tcPr>
          <w:p w14:paraId="32759A7F">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42E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18"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1BDE34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7DE828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0EFF66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033" w:type="dxa"/>
            <w:gridSpan w:val="25"/>
            <w:tcBorders>
              <w:top w:val="single" w:color="000000" w:sz="4" w:space="0"/>
              <w:left w:val="single" w:color="000000" w:sz="4" w:space="0"/>
              <w:bottom w:val="single" w:color="000000" w:sz="4" w:space="0"/>
              <w:right w:val="single" w:color="000000" w:sz="4" w:space="0"/>
            </w:tcBorders>
            <w:noWrap w:val="0"/>
            <w:vAlign w:val="center"/>
          </w:tcPr>
          <w:p w14:paraId="2A9E203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sz w:val="18"/>
                <w:szCs w:val="18"/>
              </w:rPr>
              <w:t>严格执行相关政策，年度内完成了离退休费及时、足额发放。预算编制科学合理，减少结余资金。</w:t>
            </w:r>
          </w:p>
        </w:tc>
      </w:tr>
      <w:tr w14:paraId="2C0B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503DC9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59ECD2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34" w:type="dxa"/>
            <w:gridSpan w:val="50"/>
            <w:tcBorders>
              <w:top w:val="single" w:color="000000" w:sz="4" w:space="0"/>
              <w:left w:val="single" w:color="000000" w:sz="4" w:space="0"/>
              <w:bottom w:val="single" w:color="000000" w:sz="4" w:space="0"/>
              <w:right w:val="single" w:color="000000" w:sz="4" w:space="0"/>
            </w:tcBorders>
            <w:noWrap w:val="0"/>
            <w:vAlign w:val="center"/>
          </w:tcPr>
          <w:p w14:paraId="081707E8">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r>
              <w:rPr>
                <w:rFonts w:hint="default"/>
                <w:sz w:val="18"/>
                <w:szCs w:val="18"/>
              </w:rPr>
              <w:t>严格执行相关政策，及时</w:t>
            </w:r>
            <w:r>
              <w:rPr>
                <w:rFonts w:hint="eastAsia"/>
                <w:sz w:val="18"/>
                <w:szCs w:val="18"/>
                <w:lang w:eastAsia="zh-CN"/>
              </w:rPr>
              <w:t>清算行政退休人员病故丧葬抚恤费等</w:t>
            </w:r>
            <w:r>
              <w:rPr>
                <w:rFonts w:hint="default"/>
                <w:sz w:val="18"/>
                <w:szCs w:val="18"/>
              </w:rPr>
              <w:t>、足额发放。预算编制科学合理，减少结余资金。年度内不存在无故拖延发放离退休费情况发生，也无超范围支付离退休费等违纪记录情况发生。</w:t>
            </w:r>
          </w:p>
        </w:tc>
      </w:tr>
      <w:tr w14:paraId="6942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738E49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74C901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ADBD8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5E2C83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57302F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52CAA0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3C2B36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39EE47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5A9C2D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5ABB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8"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1E6F1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6959F9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679D9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4B95D9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31.82</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11FD10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31.82</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0683D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690593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19897218">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2B8F2F4D">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sz w:val="18"/>
                <w:szCs w:val="18"/>
              </w:rPr>
              <w:t>按照相关政策核定</w:t>
            </w:r>
            <w:r>
              <w:rPr>
                <w:rFonts w:hint="eastAsia"/>
                <w:sz w:val="18"/>
                <w:szCs w:val="18"/>
                <w:lang w:eastAsia="zh-CN"/>
              </w:rPr>
              <w:t>行政退休人员病故丧葬抚恤费等，故</w:t>
            </w:r>
            <w:r>
              <w:rPr>
                <w:rFonts w:hint="eastAsia"/>
                <w:sz w:val="18"/>
                <w:szCs w:val="18"/>
              </w:rPr>
              <w:t>调整增加</w:t>
            </w:r>
            <w:r>
              <w:rPr>
                <w:rFonts w:hint="default" w:ascii="宋体" w:hAnsi="宋体" w:eastAsia="宋体" w:cs="宋体"/>
                <w:i w:val="0"/>
                <w:iCs w:val="0"/>
                <w:color w:val="000000"/>
                <w:kern w:val="0"/>
                <w:sz w:val="18"/>
                <w:szCs w:val="18"/>
                <w:u w:val="none"/>
                <w:lang w:val="en-US" w:eastAsia="zh-CN" w:bidi="ar"/>
              </w:rPr>
              <w:t>其他补助支出</w:t>
            </w:r>
            <w:r>
              <w:rPr>
                <w:rFonts w:hint="eastAsia"/>
                <w:sz w:val="18"/>
                <w:szCs w:val="18"/>
              </w:rPr>
              <w:t>。</w:t>
            </w:r>
          </w:p>
        </w:tc>
      </w:tr>
      <w:tr w14:paraId="23FC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2"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538DF1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5C1546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260867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2EE594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31.82</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07684B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31.82</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C5924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06CF0A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3D27CB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6BAED421">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7BB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80018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075974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62C68C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588191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0D7E72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4233D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33D342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402780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0BE089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2E4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87ADA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2E92CD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E9205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326072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46575E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2BFDE7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4CB9C7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2E8B48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69B3EDC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DA1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F2693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74EFC8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73B7787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5A3BFDC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6DDBBA6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65DFC32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1B7502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3F73E9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52F3CAD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488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81"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47B715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578185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7EC88C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2A6268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086E69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722E77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476161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6F7555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4FB840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73448E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7B6F72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52FC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3C617F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71BB43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04E515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7225FD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5C9789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7747B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74D8B1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359508FB">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7EEC70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2F9EF6BC">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6784227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D51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EAFE1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4338A2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BEFE8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3D33D4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187A04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711070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6FCC0C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0D4F30E6">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0FB9A3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1FE45D92">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391A44F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ED7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7615" w:type="dxa"/>
            <w:gridSpan w:val="42"/>
            <w:tcBorders>
              <w:top w:val="single" w:color="000000" w:sz="4" w:space="0"/>
              <w:left w:val="single" w:color="000000" w:sz="4" w:space="0"/>
              <w:bottom w:val="single" w:color="000000" w:sz="4" w:space="0"/>
              <w:right w:val="single" w:color="000000" w:sz="4" w:space="0"/>
            </w:tcBorders>
            <w:noWrap w:val="0"/>
            <w:vAlign w:val="center"/>
          </w:tcPr>
          <w:p w14:paraId="2AE8DD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03C525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0B25FFB0">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17E304E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78E0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51753E08">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评价结论</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17F01908">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严格执行相关政策，保障离退休费及时、足额发放。预算编制科学合理，减少结余资金。年度用于人员类项目按照配置定额，逐人核定编制执行。年度内不存在无故拖延发放离退休费情况发生，也无超范围支付离退休费等违纪记录情况发生。从产出、效益、满意度指标等进行了以上打分，预算执行率100%，执行情况良好，自评得分100分。</w:t>
            </w:r>
          </w:p>
        </w:tc>
      </w:tr>
      <w:tr w14:paraId="781E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68"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71D5CDB0">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存在问题</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67BD4851">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无</w:t>
            </w:r>
          </w:p>
        </w:tc>
      </w:tr>
      <w:tr w14:paraId="14C6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69"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49D3F602">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改进措施</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10DD64CE">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无</w:t>
            </w:r>
          </w:p>
        </w:tc>
      </w:tr>
      <w:tr w14:paraId="6E91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02" w:hRule="atLeast"/>
        </w:trPr>
        <w:tc>
          <w:tcPr>
            <w:tcW w:w="5708" w:type="dxa"/>
            <w:gridSpan w:val="23"/>
            <w:tcBorders>
              <w:top w:val="single" w:color="000000" w:sz="4" w:space="0"/>
              <w:left w:val="single" w:color="000000" w:sz="4" w:space="0"/>
              <w:bottom w:val="single" w:color="000000" w:sz="4" w:space="0"/>
              <w:right w:val="single" w:color="000000" w:sz="4" w:space="0"/>
            </w:tcBorders>
            <w:noWrap w:val="0"/>
            <w:vAlign w:val="center"/>
          </w:tcPr>
          <w:p w14:paraId="2D4D7D3B">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r>
              <w:rPr>
                <w:rFonts w:hint="eastAsia"/>
                <w:sz w:val="18"/>
                <w:szCs w:val="18"/>
              </w:rPr>
              <w:t>项目负责人：张舒雁</w:t>
            </w:r>
          </w:p>
        </w:tc>
        <w:tc>
          <w:tcPr>
            <w:tcW w:w="4933" w:type="dxa"/>
            <w:gridSpan w:val="35"/>
            <w:tcBorders>
              <w:top w:val="single" w:color="000000" w:sz="4" w:space="0"/>
              <w:left w:val="single" w:color="000000" w:sz="4" w:space="0"/>
              <w:bottom w:val="single" w:color="000000" w:sz="4" w:space="0"/>
              <w:right w:val="single" w:color="000000" w:sz="4" w:space="0"/>
            </w:tcBorders>
            <w:noWrap w:val="0"/>
            <w:vAlign w:val="center"/>
          </w:tcPr>
          <w:p w14:paraId="3FB80471">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r w14:paraId="728A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1699" w:type="dxa"/>
            <w:gridSpan w:val="5"/>
            <w:tcBorders>
              <w:top w:val="nil"/>
              <w:left w:val="nil"/>
              <w:bottom w:val="nil"/>
              <w:right w:val="nil"/>
            </w:tcBorders>
            <w:noWrap w:val="0"/>
            <w:vAlign w:val="center"/>
          </w:tcPr>
          <w:p w14:paraId="03DC2A5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1CE540A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7496961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05F0DC3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17382821">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2835281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tcBorders>
              <w:top w:val="nil"/>
              <w:left w:val="nil"/>
              <w:bottom w:val="nil"/>
              <w:right w:val="nil"/>
            </w:tcBorders>
            <w:noWrap w:val="0"/>
            <w:vAlign w:val="center"/>
          </w:tcPr>
          <w:p w14:paraId="4A00B26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63" w:type="dxa"/>
            <w:gridSpan w:val="6"/>
            <w:tcBorders>
              <w:top w:val="nil"/>
              <w:left w:val="nil"/>
              <w:bottom w:val="nil"/>
              <w:right w:val="nil"/>
            </w:tcBorders>
            <w:noWrap w:val="0"/>
            <w:vAlign w:val="center"/>
          </w:tcPr>
          <w:p w14:paraId="208E576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38" w:type="dxa"/>
            <w:gridSpan w:val="9"/>
            <w:tcBorders>
              <w:top w:val="nil"/>
              <w:left w:val="nil"/>
              <w:bottom w:val="nil"/>
              <w:right w:val="nil"/>
            </w:tcBorders>
            <w:noWrap w:val="0"/>
            <w:vAlign w:val="center"/>
          </w:tcPr>
          <w:p w14:paraId="03D12B6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87" w:type="dxa"/>
            <w:gridSpan w:val="5"/>
            <w:tcBorders>
              <w:top w:val="nil"/>
              <w:left w:val="nil"/>
              <w:bottom w:val="nil"/>
              <w:right w:val="nil"/>
            </w:tcBorders>
            <w:noWrap w:val="0"/>
            <w:vAlign w:val="center"/>
          </w:tcPr>
          <w:p w14:paraId="67B54D4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13" w:type="dxa"/>
            <w:gridSpan w:val="5"/>
            <w:tcBorders>
              <w:top w:val="nil"/>
              <w:left w:val="nil"/>
              <w:bottom w:val="nil"/>
              <w:right w:val="nil"/>
            </w:tcBorders>
            <w:noWrap w:val="0"/>
            <w:vAlign w:val="center"/>
          </w:tcPr>
          <w:p w14:paraId="0F2DA291">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60" w:type="dxa"/>
            <w:gridSpan w:val="4"/>
            <w:tcBorders>
              <w:top w:val="nil"/>
              <w:left w:val="nil"/>
              <w:bottom w:val="nil"/>
              <w:right w:val="nil"/>
            </w:tcBorders>
            <w:noWrap w:val="0"/>
            <w:vAlign w:val="center"/>
          </w:tcPr>
          <w:p w14:paraId="539CDA6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47" w:type="dxa"/>
            <w:gridSpan w:val="5"/>
            <w:tcBorders>
              <w:top w:val="nil"/>
              <w:left w:val="nil"/>
              <w:bottom w:val="nil"/>
              <w:right w:val="nil"/>
            </w:tcBorders>
            <w:noWrap w:val="0"/>
            <w:vAlign w:val="center"/>
          </w:tcPr>
          <w:p w14:paraId="73FC24F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3" w:type="dxa"/>
            <w:gridSpan w:val="5"/>
            <w:tcBorders>
              <w:top w:val="nil"/>
              <w:left w:val="nil"/>
              <w:bottom w:val="nil"/>
              <w:right w:val="nil"/>
            </w:tcBorders>
            <w:noWrap w:val="0"/>
            <w:vAlign w:val="center"/>
          </w:tcPr>
          <w:p w14:paraId="1406292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36" w:type="dxa"/>
            <w:gridSpan w:val="6"/>
            <w:tcBorders>
              <w:top w:val="nil"/>
              <w:left w:val="nil"/>
              <w:bottom w:val="nil"/>
              <w:right w:val="nil"/>
            </w:tcBorders>
            <w:noWrap w:val="0"/>
            <w:vAlign w:val="center"/>
          </w:tcPr>
          <w:p w14:paraId="288D6C9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17" w:type="dxa"/>
            <w:gridSpan w:val="5"/>
            <w:tcBorders>
              <w:top w:val="nil"/>
              <w:left w:val="nil"/>
              <w:bottom w:val="nil"/>
              <w:right w:val="nil"/>
            </w:tcBorders>
            <w:noWrap w:val="0"/>
            <w:vAlign w:val="center"/>
          </w:tcPr>
          <w:p w14:paraId="0974767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0B40BC8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312F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77" w:hRule="atLeast"/>
        </w:trPr>
        <w:tc>
          <w:tcPr>
            <w:tcW w:w="10641" w:type="dxa"/>
            <w:gridSpan w:val="58"/>
            <w:tcBorders>
              <w:top w:val="single" w:color="000000" w:sz="4" w:space="0"/>
              <w:left w:val="single" w:color="000000" w:sz="4" w:space="0"/>
              <w:bottom w:val="single" w:color="000000" w:sz="4" w:space="0"/>
              <w:right w:val="single" w:color="000000" w:sz="4" w:space="0"/>
            </w:tcBorders>
            <w:noWrap w:val="0"/>
            <w:vAlign w:val="center"/>
          </w:tcPr>
          <w:p w14:paraId="283895F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D866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2707" w:type="dxa"/>
            <w:gridSpan w:val="8"/>
            <w:tcBorders>
              <w:top w:val="single" w:color="000000" w:sz="4" w:space="0"/>
              <w:left w:val="single" w:color="000000" w:sz="4" w:space="0"/>
              <w:bottom w:val="single" w:color="000000" w:sz="4" w:space="0"/>
              <w:right w:val="single" w:color="000000" w:sz="4" w:space="0"/>
            </w:tcBorders>
            <w:noWrap w:val="0"/>
            <w:vAlign w:val="center"/>
          </w:tcPr>
          <w:p w14:paraId="70DC23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项目名称</w:t>
            </w:r>
          </w:p>
        </w:tc>
        <w:tc>
          <w:tcPr>
            <w:tcW w:w="7934" w:type="dxa"/>
            <w:gridSpan w:val="50"/>
            <w:tcBorders>
              <w:top w:val="single" w:color="000000" w:sz="4" w:space="0"/>
              <w:left w:val="single" w:color="000000" w:sz="4" w:space="0"/>
              <w:bottom w:val="single" w:color="000000" w:sz="4" w:space="0"/>
              <w:right w:val="single" w:color="000000" w:sz="4" w:space="0"/>
            </w:tcBorders>
            <w:noWrap w:val="0"/>
            <w:vAlign w:val="center"/>
          </w:tcPr>
          <w:p w14:paraId="57E609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51340021R000000041105-州本级工资支出</w:t>
            </w:r>
          </w:p>
        </w:tc>
      </w:tr>
      <w:tr w14:paraId="32E6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54" w:hRule="atLeast"/>
        </w:trPr>
        <w:tc>
          <w:tcPr>
            <w:tcW w:w="2707" w:type="dxa"/>
            <w:gridSpan w:val="8"/>
            <w:tcBorders>
              <w:top w:val="single" w:color="000000" w:sz="4" w:space="0"/>
              <w:left w:val="single" w:color="000000" w:sz="4" w:space="0"/>
              <w:bottom w:val="single" w:color="000000" w:sz="4" w:space="0"/>
              <w:right w:val="single" w:color="000000" w:sz="4" w:space="0"/>
            </w:tcBorders>
            <w:noWrap w:val="0"/>
            <w:vAlign w:val="center"/>
          </w:tcPr>
          <w:p w14:paraId="0FE232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16EFAD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007" w:type="dxa"/>
            <w:gridSpan w:val="9"/>
            <w:tcBorders>
              <w:top w:val="nil"/>
              <w:left w:val="nil"/>
              <w:bottom w:val="nil"/>
              <w:right w:val="nil"/>
            </w:tcBorders>
            <w:noWrap w:val="0"/>
            <w:vAlign w:val="center"/>
          </w:tcPr>
          <w:p w14:paraId="0285B8D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26" w:type="dxa"/>
            <w:gridSpan w:val="16"/>
            <w:tcBorders>
              <w:top w:val="single" w:color="000000" w:sz="4" w:space="0"/>
              <w:left w:val="single" w:color="000000" w:sz="4" w:space="0"/>
              <w:bottom w:val="single" w:color="000000" w:sz="4" w:space="0"/>
              <w:right w:val="single" w:color="000000" w:sz="4" w:space="0"/>
            </w:tcBorders>
            <w:noWrap w:val="0"/>
            <w:vAlign w:val="center"/>
          </w:tcPr>
          <w:p w14:paraId="266C5F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455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0BF609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79C4D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6E7844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33" w:type="dxa"/>
            <w:gridSpan w:val="25"/>
            <w:tcBorders>
              <w:top w:val="single" w:color="000000" w:sz="4" w:space="0"/>
              <w:left w:val="single" w:color="000000" w:sz="4" w:space="0"/>
              <w:bottom w:val="single" w:color="000000" w:sz="4" w:space="0"/>
              <w:right w:val="single" w:color="000000" w:sz="4" w:space="0"/>
            </w:tcBorders>
            <w:noWrap w:val="0"/>
            <w:vAlign w:val="center"/>
          </w:tcPr>
          <w:p w14:paraId="56C65605">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25A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18"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1F6D05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DDFF80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7921E1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033" w:type="dxa"/>
            <w:gridSpan w:val="25"/>
            <w:tcBorders>
              <w:top w:val="single" w:color="000000" w:sz="4" w:space="0"/>
              <w:left w:val="single" w:color="000000" w:sz="4" w:space="0"/>
              <w:bottom w:val="single" w:color="000000" w:sz="4" w:space="0"/>
              <w:right w:val="single" w:color="000000" w:sz="4" w:space="0"/>
            </w:tcBorders>
            <w:noWrap w:val="0"/>
            <w:vAlign w:val="center"/>
          </w:tcPr>
          <w:p w14:paraId="1E2A4DF9">
            <w:pPr>
              <w:keepNext w:val="0"/>
              <w:keepLines w:val="0"/>
              <w:suppressLineNumbers w:val="0"/>
              <w:spacing w:before="0" w:beforeAutospacing="0" w:after="0" w:afterAutospacing="0"/>
              <w:ind w:left="0" w:right="0"/>
              <w:rPr>
                <w:rFonts w:hint="eastAsia" w:ascii="Calibri" w:hAnsi="Calibri" w:eastAsia="宋体" w:cs="Times New Roman"/>
                <w:kern w:val="2"/>
                <w:sz w:val="18"/>
                <w:szCs w:val="18"/>
                <w:lang w:val="en-US" w:eastAsia="zh-CN" w:bidi="ar-SA"/>
              </w:rPr>
            </w:pPr>
            <w:r>
              <w:rPr>
                <w:rFonts w:hint="eastAsia"/>
                <w:sz w:val="18"/>
                <w:szCs w:val="18"/>
              </w:rPr>
              <w:t>严格执行相关政策，用于人员类项目按照配置定额，逐人核定编制执行。年度内完成了保障职工工资及时、足额发放。预算编制科学合理，减少结余资金。</w:t>
            </w:r>
          </w:p>
        </w:tc>
      </w:tr>
      <w:tr w14:paraId="581D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F24316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619AC0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34" w:type="dxa"/>
            <w:gridSpan w:val="50"/>
            <w:tcBorders>
              <w:top w:val="single" w:color="000000" w:sz="4" w:space="0"/>
              <w:left w:val="single" w:color="000000" w:sz="4" w:space="0"/>
              <w:bottom w:val="single" w:color="000000" w:sz="4" w:space="0"/>
              <w:right w:val="single" w:color="000000" w:sz="4" w:space="0"/>
            </w:tcBorders>
            <w:noWrap w:val="0"/>
            <w:vAlign w:val="center"/>
          </w:tcPr>
          <w:p w14:paraId="09CD303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default"/>
                <w:sz w:val="18"/>
                <w:szCs w:val="18"/>
              </w:rPr>
              <w:t>保障职工工作及时、足额缴纳。预算编制科学合理，减少结余资金。年度用于人员类项目按照配置定额，逐人核定编制执行。年度内不存在无故拖延、错发、误发职工工资发等情况发生，也无超范围发放职工工资等违纪记录情况发生。</w:t>
            </w:r>
          </w:p>
        </w:tc>
      </w:tr>
      <w:tr w14:paraId="7DCB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3FA164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5A95E7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00D10E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4C822C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0F9931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7EF43D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51F154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06B9F8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6A8382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3300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29"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0D7A0C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480BC1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26FFBD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167.85</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62D161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191.41</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7A1746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191.41</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C6EB7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2E5E7C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05FE9664">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017"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51FBB940">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sz w:val="18"/>
                <w:szCs w:val="18"/>
              </w:rPr>
              <w:t>按照相关政策调整职工晋级工资增加、逐人核定编制执行清算调出调进增加。</w:t>
            </w:r>
          </w:p>
        </w:tc>
      </w:tr>
      <w:tr w14:paraId="4FE3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2"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632F4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32C74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6AAEA0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167.85</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2F3239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191.41</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2A1C74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191.41</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39660D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6CB543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2A9D78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01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A52F63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196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01426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649D38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6B2350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2F53E6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4F4788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D15B1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0A6C86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5D458E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01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51A06E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98D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84707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60FF5A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6D865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12CA7B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0EAEF9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0C7AC8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5516FE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36DCC2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01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EFDCE13">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1AC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91"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059A0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7614FA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FDA804A">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3193890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6D393CF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21DBBC9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31D290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6BFADC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01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0642BDAD">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405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81"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3D578C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70624A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52F7BB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7EFBF3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63BA18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0830A5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097057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181C90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71F997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6E449E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528CD3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33DC5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C89CD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1D2296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65B192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6EDC70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2C5FD1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2CB47D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5892F8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5BFA46EF">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1C497E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1B08F8CA">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513EE3B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168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32304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5CAE85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7F7F73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33AB88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48351E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29270D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1C0333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506BECBA">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76ED08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655FC698">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4AAA8A6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569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7615" w:type="dxa"/>
            <w:gridSpan w:val="42"/>
            <w:tcBorders>
              <w:top w:val="single" w:color="000000" w:sz="4" w:space="0"/>
              <w:left w:val="single" w:color="000000" w:sz="4" w:space="0"/>
              <w:bottom w:val="single" w:color="000000" w:sz="4" w:space="0"/>
              <w:right w:val="single" w:color="000000" w:sz="4" w:space="0"/>
            </w:tcBorders>
            <w:noWrap w:val="0"/>
            <w:vAlign w:val="center"/>
          </w:tcPr>
          <w:p w14:paraId="556B09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6F83B0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4D0901C8">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7C4546A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536D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5DB14361">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评价结论</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47353962">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保障职工工作及时、足额缴纳。预算编制科学合理，减少结余资金。年度用于人员类项目按照配置定额，逐人核定编制执行。年度内不存在无故拖延、错发、误发职工工资发等情况发生，也无超范围发放职工工资等违纪记录情况发生。从产出、效益、满意度指标等进行了以上打分，预算执行率100%，执行情况良好，自评得分100分。</w:t>
            </w:r>
          </w:p>
        </w:tc>
      </w:tr>
      <w:tr w14:paraId="2C48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0B68C305">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存在问题</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1AE67893">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无</w:t>
            </w:r>
          </w:p>
        </w:tc>
      </w:tr>
      <w:tr w14:paraId="4EA7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5"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67F3DC38">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改进措施</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0F33FB4A">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无</w:t>
            </w:r>
          </w:p>
        </w:tc>
      </w:tr>
      <w:tr w14:paraId="06AE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6105" w:type="dxa"/>
            <w:gridSpan w:val="29"/>
            <w:tcBorders>
              <w:top w:val="single" w:color="000000" w:sz="4" w:space="0"/>
              <w:left w:val="single" w:color="000000" w:sz="4" w:space="0"/>
              <w:bottom w:val="single" w:color="000000" w:sz="4" w:space="0"/>
              <w:right w:val="single" w:color="000000" w:sz="4" w:space="0"/>
            </w:tcBorders>
            <w:noWrap w:val="0"/>
            <w:vAlign w:val="center"/>
          </w:tcPr>
          <w:p w14:paraId="0AD7D9FE">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r>
              <w:rPr>
                <w:rFonts w:hint="eastAsia"/>
                <w:sz w:val="18"/>
                <w:szCs w:val="18"/>
              </w:rPr>
              <w:t>项目负责人：张舒雁</w:t>
            </w:r>
          </w:p>
        </w:tc>
        <w:tc>
          <w:tcPr>
            <w:tcW w:w="4536" w:type="dxa"/>
            <w:gridSpan w:val="29"/>
            <w:tcBorders>
              <w:top w:val="single" w:color="000000" w:sz="4" w:space="0"/>
              <w:left w:val="single" w:color="000000" w:sz="4" w:space="0"/>
              <w:bottom w:val="single" w:color="000000" w:sz="4" w:space="0"/>
              <w:right w:val="single" w:color="000000" w:sz="4" w:space="0"/>
            </w:tcBorders>
            <w:noWrap w:val="0"/>
            <w:vAlign w:val="center"/>
          </w:tcPr>
          <w:p w14:paraId="69123256">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r>
              <w:rPr>
                <w:rFonts w:hint="eastAsia"/>
                <w:sz w:val="18"/>
                <w:szCs w:val="18"/>
              </w:rPr>
              <w:t>财务负责人：毛正华</w:t>
            </w:r>
          </w:p>
        </w:tc>
      </w:tr>
      <w:tr w14:paraId="7B5A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1699" w:type="dxa"/>
            <w:gridSpan w:val="5"/>
            <w:tcBorders>
              <w:top w:val="nil"/>
              <w:left w:val="nil"/>
              <w:bottom w:val="nil"/>
              <w:right w:val="nil"/>
            </w:tcBorders>
            <w:noWrap w:val="0"/>
            <w:vAlign w:val="center"/>
          </w:tcPr>
          <w:p w14:paraId="5D81921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tcBorders>
              <w:top w:val="nil"/>
              <w:left w:val="nil"/>
              <w:bottom w:val="nil"/>
              <w:right w:val="nil"/>
            </w:tcBorders>
            <w:noWrap w:val="0"/>
            <w:vAlign w:val="center"/>
          </w:tcPr>
          <w:p w14:paraId="79257881">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63" w:type="dxa"/>
            <w:gridSpan w:val="6"/>
            <w:tcBorders>
              <w:top w:val="nil"/>
              <w:left w:val="nil"/>
              <w:bottom w:val="nil"/>
              <w:right w:val="nil"/>
            </w:tcBorders>
            <w:noWrap w:val="0"/>
            <w:vAlign w:val="center"/>
          </w:tcPr>
          <w:p w14:paraId="792F7BC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38" w:type="dxa"/>
            <w:gridSpan w:val="9"/>
            <w:tcBorders>
              <w:top w:val="nil"/>
              <w:left w:val="nil"/>
              <w:bottom w:val="nil"/>
              <w:right w:val="nil"/>
            </w:tcBorders>
            <w:noWrap w:val="0"/>
            <w:vAlign w:val="center"/>
          </w:tcPr>
          <w:p w14:paraId="1E63008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87" w:type="dxa"/>
            <w:gridSpan w:val="5"/>
            <w:tcBorders>
              <w:top w:val="nil"/>
              <w:left w:val="nil"/>
              <w:bottom w:val="nil"/>
              <w:right w:val="nil"/>
            </w:tcBorders>
            <w:noWrap w:val="0"/>
            <w:vAlign w:val="center"/>
          </w:tcPr>
          <w:p w14:paraId="6756E3C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13" w:type="dxa"/>
            <w:gridSpan w:val="5"/>
            <w:tcBorders>
              <w:top w:val="nil"/>
              <w:left w:val="nil"/>
              <w:bottom w:val="nil"/>
              <w:right w:val="nil"/>
            </w:tcBorders>
            <w:noWrap w:val="0"/>
            <w:vAlign w:val="center"/>
          </w:tcPr>
          <w:p w14:paraId="5F60880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60" w:type="dxa"/>
            <w:gridSpan w:val="4"/>
            <w:tcBorders>
              <w:top w:val="nil"/>
              <w:left w:val="nil"/>
              <w:bottom w:val="nil"/>
              <w:right w:val="nil"/>
            </w:tcBorders>
            <w:noWrap w:val="0"/>
            <w:vAlign w:val="center"/>
          </w:tcPr>
          <w:p w14:paraId="3A193AC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47" w:type="dxa"/>
            <w:gridSpan w:val="5"/>
            <w:tcBorders>
              <w:top w:val="nil"/>
              <w:left w:val="nil"/>
              <w:bottom w:val="nil"/>
              <w:right w:val="nil"/>
            </w:tcBorders>
            <w:noWrap w:val="0"/>
            <w:vAlign w:val="center"/>
          </w:tcPr>
          <w:p w14:paraId="045311A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3" w:type="dxa"/>
            <w:gridSpan w:val="5"/>
            <w:tcBorders>
              <w:top w:val="nil"/>
              <w:left w:val="nil"/>
              <w:bottom w:val="nil"/>
              <w:right w:val="nil"/>
            </w:tcBorders>
            <w:noWrap w:val="0"/>
            <w:vAlign w:val="center"/>
          </w:tcPr>
          <w:p w14:paraId="2F59C11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36" w:type="dxa"/>
            <w:gridSpan w:val="6"/>
            <w:tcBorders>
              <w:top w:val="nil"/>
              <w:left w:val="nil"/>
              <w:bottom w:val="nil"/>
              <w:right w:val="nil"/>
            </w:tcBorders>
            <w:noWrap w:val="0"/>
            <w:vAlign w:val="center"/>
          </w:tcPr>
          <w:p w14:paraId="3EF699D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17" w:type="dxa"/>
            <w:gridSpan w:val="5"/>
            <w:tcBorders>
              <w:top w:val="nil"/>
              <w:left w:val="nil"/>
              <w:bottom w:val="nil"/>
              <w:right w:val="nil"/>
            </w:tcBorders>
            <w:noWrap w:val="0"/>
            <w:vAlign w:val="center"/>
          </w:tcPr>
          <w:p w14:paraId="454B796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24F648E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5B1CCA5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7408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02" w:hRule="atLeast"/>
        </w:trPr>
        <w:tc>
          <w:tcPr>
            <w:tcW w:w="10641" w:type="dxa"/>
            <w:gridSpan w:val="58"/>
            <w:tcBorders>
              <w:top w:val="single" w:color="000000" w:sz="4" w:space="0"/>
              <w:left w:val="single" w:color="000000" w:sz="4" w:space="0"/>
              <w:bottom w:val="single" w:color="000000" w:sz="4" w:space="0"/>
              <w:right w:val="single" w:color="000000" w:sz="4" w:space="0"/>
            </w:tcBorders>
            <w:noWrap w:val="0"/>
            <w:vAlign w:val="center"/>
          </w:tcPr>
          <w:p w14:paraId="376B235A">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0CB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2707" w:type="dxa"/>
            <w:gridSpan w:val="8"/>
            <w:tcBorders>
              <w:top w:val="single" w:color="000000" w:sz="4" w:space="0"/>
              <w:left w:val="single" w:color="000000" w:sz="4" w:space="0"/>
              <w:bottom w:val="single" w:color="000000" w:sz="4" w:space="0"/>
              <w:right w:val="single" w:color="000000" w:sz="4" w:space="0"/>
            </w:tcBorders>
            <w:noWrap w:val="0"/>
            <w:vAlign w:val="center"/>
          </w:tcPr>
          <w:p w14:paraId="036545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项目名称</w:t>
            </w:r>
          </w:p>
        </w:tc>
        <w:tc>
          <w:tcPr>
            <w:tcW w:w="7934" w:type="dxa"/>
            <w:gridSpan w:val="50"/>
            <w:tcBorders>
              <w:top w:val="single" w:color="000000" w:sz="4" w:space="0"/>
              <w:left w:val="single" w:color="000000" w:sz="4" w:space="0"/>
              <w:bottom w:val="single" w:color="000000" w:sz="4" w:space="0"/>
              <w:right w:val="single" w:color="000000" w:sz="4" w:space="0"/>
            </w:tcBorders>
            <w:noWrap w:val="0"/>
            <w:vAlign w:val="center"/>
          </w:tcPr>
          <w:p w14:paraId="0545E4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51340021R000000052022-州本级目标绩效</w:t>
            </w:r>
          </w:p>
        </w:tc>
      </w:tr>
      <w:tr w14:paraId="0640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2707" w:type="dxa"/>
            <w:gridSpan w:val="8"/>
            <w:tcBorders>
              <w:top w:val="single" w:color="000000" w:sz="4" w:space="0"/>
              <w:left w:val="single" w:color="000000" w:sz="4" w:space="0"/>
              <w:bottom w:val="single" w:color="000000" w:sz="4" w:space="0"/>
              <w:right w:val="single" w:color="000000" w:sz="4" w:space="0"/>
            </w:tcBorders>
            <w:noWrap w:val="0"/>
            <w:vAlign w:val="center"/>
          </w:tcPr>
          <w:p w14:paraId="0C0B60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03B940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007" w:type="dxa"/>
            <w:gridSpan w:val="9"/>
            <w:tcBorders>
              <w:top w:val="nil"/>
              <w:left w:val="nil"/>
              <w:bottom w:val="nil"/>
              <w:right w:val="nil"/>
            </w:tcBorders>
            <w:noWrap w:val="0"/>
            <w:vAlign w:val="center"/>
          </w:tcPr>
          <w:p w14:paraId="70496F44">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26" w:type="dxa"/>
            <w:gridSpan w:val="16"/>
            <w:tcBorders>
              <w:top w:val="single" w:color="000000" w:sz="4" w:space="0"/>
              <w:left w:val="single" w:color="000000" w:sz="4" w:space="0"/>
              <w:bottom w:val="single" w:color="000000" w:sz="4" w:space="0"/>
              <w:right w:val="single" w:color="000000" w:sz="4" w:space="0"/>
            </w:tcBorders>
            <w:noWrap w:val="0"/>
            <w:vAlign w:val="center"/>
          </w:tcPr>
          <w:p w14:paraId="731973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284B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1B79A8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11F69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11F96F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33" w:type="dxa"/>
            <w:gridSpan w:val="25"/>
            <w:tcBorders>
              <w:top w:val="single" w:color="000000" w:sz="4" w:space="0"/>
              <w:left w:val="single" w:color="000000" w:sz="4" w:space="0"/>
              <w:bottom w:val="single" w:color="000000" w:sz="4" w:space="0"/>
              <w:right w:val="single" w:color="000000" w:sz="4" w:space="0"/>
            </w:tcBorders>
            <w:noWrap w:val="0"/>
            <w:vAlign w:val="center"/>
          </w:tcPr>
          <w:p w14:paraId="0CCF4C5A">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F2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18"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8B9E08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E21295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5E03A7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033" w:type="dxa"/>
            <w:gridSpan w:val="25"/>
            <w:tcBorders>
              <w:top w:val="single" w:color="000000" w:sz="4" w:space="0"/>
              <w:left w:val="single" w:color="000000" w:sz="4" w:space="0"/>
              <w:bottom w:val="single" w:color="000000" w:sz="4" w:space="0"/>
              <w:right w:val="single" w:color="000000" w:sz="4" w:space="0"/>
            </w:tcBorders>
            <w:noWrap w:val="0"/>
            <w:vAlign w:val="center"/>
          </w:tcPr>
          <w:p w14:paraId="329BDB9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sz w:val="18"/>
                <w:szCs w:val="18"/>
              </w:rPr>
              <w:t>严格执行相关政策，定额定编逐人核定。年度内完成了职工目标绩效及时、足额发放。预算编制科学合理，减少结余资金。</w:t>
            </w:r>
          </w:p>
        </w:tc>
      </w:tr>
      <w:tr w14:paraId="13B9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BAEBCF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729CEA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34" w:type="dxa"/>
            <w:gridSpan w:val="50"/>
            <w:tcBorders>
              <w:top w:val="single" w:color="000000" w:sz="4" w:space="0"/>
              <w:left w:val="single" w:color="000000" w:sz="4" w:space="0"/>
              <w:bottom w:val="single" w:color="000000" w:sz="4" w:space="0"/>
              <w:right w:val="single" w:color="000000" w:sz="4" w:space="0"/>
            </w:tcBorders>
            <w:noWrap w:val="0"/>
            <w:vAlign w:val="center"/>
          </w:tcPr>
          <w:p w14:paraId="61A3D4E3">
            <w:pPr>
              <w:keepNext w:val="0"/>
              <w:keepLines w:val="0"/>
              <w:suppressLineNumbers w:val="0"/>
              <w:spacing w:before="0" w:beforeAutospacing="0" w:after="0" w:afterAutospacing="0"/>
              <w:ind w:left="0" w:right="0"/>
              <w:rPr>
                <w:rFonts w:hint="eastAsia" w:ascii="Calibri" w:hAnsi="Calibri" w:eastAsia="宋体" w:cs="Times New Roman"/>
                <w:kern w:val="2"/>
                <w:sz w:val="18"/>
                <w:szCs w:val="18"/>
                <w:lang w:val="en-US" w:eastAsia="zh-CN" w:bidi="ar-SA"/>
              </w:rPr>
            </w:pPr>
            <w:r>
              <w:rPr>
                <w:rFonts w:hint="default"/>
                <w:sz w:val="18"/>
                <w:szCs w:val="18"/>
              </w:rPr>
              <w:t>严格执行相关政策，定额定编逐人核定。保障职工目标绩效及时、足额发放。预算执行中不存在无故拖延、错发、误发职工工目标绩效情况发生，也无超范围发放职工目标绩效等违纪记录情况发生。预算编制科学合理，减少结余资金。</w:t>
            </w:r>
          </w:p>
        </w:tc>
      </w:tr>
      <w:tr w14:paraId="5547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4348C4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58219C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099303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765B6C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488ADA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727A75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70FF65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0DE40F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7AE901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49A7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8"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4076A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2533BA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3F87B0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83.71</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5F3E1A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5E80ED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663F43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644F30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608D0515">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12D47607">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sz w:val="18"/>
                <w:szCs w:val="18"/>
              </w:rPr>
              <w:t>严格按照国家及地方职工目标绩效相关政策、逐人核定编制执行清算调出</w:t>
            </w:r>
            <w:r>
              <w:rPr>
                <w:rFonts w:hint="eastAsia"/>
                <w:sz w:val="18"/>
                <w:szCs w:val="18"/>
                <w:lang w:eastAsia="zh-CN"/>
              </w:rPr>
              <w:t>减少。</w:t>
            </w:r>
          </w:p>
        </w:tc>
      </w:tr>
      <w:tr w14:paraId="2C0B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2"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326DA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0589F4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7EC369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83.71</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09CAC6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459A44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3EC515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5BFA38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5A47AB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29B5A0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1CC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7F288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136B42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AE285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4C69C0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7F755B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DBC06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51E09E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2230EA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1F940E4E">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78C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109F0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63AA8D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728902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047836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7881F1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57E0C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0E8A4E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79D01A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3E6DE0D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8357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91"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085F11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5E20AC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3AAB1F83">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2646578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3ECA20D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2DF1EFB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17A148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6C05BB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687281F3">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767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81"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1980CA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586D9A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125E6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248CFF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756B12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270DA8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756900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5E5E83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1413C6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1DF0EC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47D2B5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19CE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39818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3537FF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3128D4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2E0ABF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6536A9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2C06A3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4917DD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4ED20125">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403CF6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5BEE4131">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64DD43D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4CEA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EF833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2D1AFE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68FC5C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2C5FDE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72C779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169A34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263CAB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3097A78B">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048D71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266786FB">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7662DEA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9D7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7615" w:type="dxa"/>
            <w:gridSpan w:val="42"/>
            <w:tcBorders>
              <w:top w:val="single" w:color="000000" w:sz="4" w:space="0"/>
              <w:left w:val="single" w:color="000000" w:sz="4" w:space="0"/>
              <w:bottom w:val="single" w:color="000000" w:sz="4" w:space="0"/>
              <w:right w:val="single" w:color="000000" w:sz="4" w:space="0"/>
            </w:tcBorders>
            <w:noWrap w:val="0"/>
            <w:vAlign w:val="center"/>
          </w:tcPr>
          <w:p w14:paraId="2EC1C5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687815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3ACF6A97">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1478844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50FE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483F8B51">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评价结论</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7A4AD85D">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严格执行相关政策，定额定编逐人核定。保障职工目标绩效及时、足额发放。预算执行中不存在无故拖延、错发、误发职工工目标绩效情况发生，也无超范围发放职工目标绩效等违纪记录情况发生。预算编制科学合理，减少结余资金。从产出、效益、满意度指标等进行了以上打分，预算执行率100%，执行情况良好，自评得分100分。</w:t>
            </w:r>
          </w:p>
        </w:tc>
      </w:tr>
      <w:tr w14:paraId="7B7E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22"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650D2099">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存在问题</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1DF5FDDE">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无</w:t>
            </w:r>
          </w:p>
        </w:tc>
      </w:tr>
      <w:tr w14:paraId="3C47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28"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04055573">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rPr>
            </w:pPr>
            <w:r>
              <w:rPr>
                <w:rFonts w:hint="default"/>
                <w:sz w:val="18"/>
                <w:szCs w:val="18"/>
              </w:rPr>
              <w:t>改进措施</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689032BC">
            <w:pPr>
              <w:keepNext w:val="0"/>
              <w:keepLines w:val="0"/>
              <w:suppressLineNumbers w:val="0"/>
              <w:spacing w:before="0" w:beforeAutospacing="0" w:after="0" w:afterAutospacing="0"/>
              <w:ind w:left="0" w:right="0"/>
              <w:rPr>
                <w:rFonts w:hint="eastAsia" w:ascii="微软雅黑" w:hAnsi="微软雅黑" w:eastAsia="微软雅黑" w:cs="微软雅黑"/>
                <w:i/>
                <w:iCs/>
                <w:color w:val="000000"/>
                <w:sz w:val="16"/>
                <w:szCs w:val="16"/>
                <w:u w:val="none"/>
              </w:rPr>
            </w:pPr>
            <w:r>
              <w:rPr>
                <w:rFonts w:hint="eastAsia"/>
                <w:sz w:val="18"/>
                <w:szCs w:val="18"/>
              </w:rPr>
              <w:t>无</w:t>
            </w:r>
          </w:p>
        </w:tc>
      </w:tr>
      <w:tr w14:paraId="6BEA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42" w:hRule="atLeast"/>
        </w:trPr>
        <w:tc>
          <w:tcPr>
            <w:tcW w:w="6105" w:type="dxa"/>
            <w:gridSpan w:val="29"/>
            <w:tcBorders>
              <w:top w:val="single" w:color="000000" w:sz="4" w:space="0"/>
              <w:left w:val="single" w:color="000000" w:sz="4" w:space="0"/>
              <w:bottom w:val="single" w:color="000000" w:sz="4" w:space="0"/>
              <w:right w:val="single" w:color="000000" w:sz="4" w:space="0"/>
            </w:tcBorders>
            <w:noWrap w:val="0"/>
            <w:vAlign w:val="center"/>
          </w:tcPr>
          <w:p w14:paraId="6ABEA038">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r>
              <w:rPr>
                <w:rFonts w:hint="eastAsia"/>
                <w:sz w:val="18"/>
                <w:szCs w:val="18"/>
              </w:rPr>
              <w:t>项目负责人：张舒雁</w:t>
            </w:r>
          </w:p>
        </w:tc>
        <w:tc>
          <w:tcPr>
            <w:tcW w:w="4536" w:type="dxa"/>
            <w:gridSpan w:val="29"/>
            <w:tcBorders>
              <w:top w:val="single" w:color="000000" w:sz="4" w:space="0"/>
              <w:left w:val="single" w:color="000000" w:sz="4" w:space="0"/>
              <w:bottom w:val="single" w:color="000000" w:sz="4" w:space="0"/>
              <w:right w:val="single" w:color="000000" w:sz="4" w:space="0"/>
            </w:tcBorders>
            <w:noWrap w:val="0"/>
            <w:vAlign w:val="center"/>
          </w:tcPr>
          <w:p w14:paraId="0601D779">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r>
              <w:rPr>
                <w:rFonts w:hint="eastAsia"/>
                <w:sz w:val="18"/>
                <w:szCs w:val="18"/>
              </w:rPr>
              <w:t>财务负责人：毛正华</w:t>
            </w:r>
          </w:p>
        </w:tc>
      </w:tr>
      <w:tr w14:paraId="4763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1699" w:type="dxa"/>
            <w:gridSpan w:val="5"/>
            <w:tcBorders>
              <w:top w:val="nil"/>
              <w:left w:val="nil"/>
              <w:bottom w:val="nil"/>
              <w:right w:val="nil"/>
            </w:tcBorders>
            <w:noWrap w:val="0"/>
            <w:vAlign w:val="center"/>
          </w:tcPr>
          <w:p w14:paraId="16F6953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005DFAD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0F0D5D3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38E4ADF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753D52C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6F0717F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tcBorders>
              <w:top w:val="nil"/>
              <w:left w:val="nil"/>
              <w:bottom w:val="nil"/>
              <w:right w:val="nil"/>
            </w:tcBorders>
            <w:noWrap w:val="0"/>
            <w:vAlign w:val="center"/>
          </w:tcPr>
          <w:p w14:paraId="6DA6400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63" w:type="dxa"/>
            <w:gridSpan w:val="6"/>
            <w:tcBorders>
              <w:top w:val="nil"/>
              <w:left w:val="nil"/>
              <w:bottom w:val="nil"/>
              <w:right w:val="nil"/>
            </w:tcBorders>
            <w:noWrap w:val="0"/>
            <w:vAlign w:val="center"/>
          </w:tcPr>
          <w:p w14:paraId="0A6ADD3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38" w:type="dxa"/>
            <w:gridSpan w:val="9"/>
            <w:tcBorders>
              <w:top w:val="nil"/>
              <w:left w:val="nil"/>
              <w:bottom w:val="nil"/>
              <w:right w:val="nil"/>
            </w:tcBorders>
            <w:noWrap w:val="0"/>
            <w:vAlign w:val="center"/>
          </w:tcPr>
          <w:p w14:paraId="783C35B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87" w:type="dxa"/>
            <w:gridSpan w:val="5"/>
            <w:tcBorders>
              <w:top w:val="nil"/>
              <w:left w:val="nil"/>
              <w:bottom w:val="nil"/>
              <w:right w:val="nil"/>
            </w:tcBorders>
            <w:noWrap w:val="0"/>
            <w:vAlign w:val="center"/>
          </w:tcPr>
          <w:p w14:paraId="23CF4D3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13" w:type="dxa"/>
            <w:gridSpan w:val="5"/>
            <w:tcBorders>
              <w:top w:val="nil"/>
              <w:left w:val="nil"/>
              <w:bottom w:val="nil"/>
              <w:right w:val="nil"/>
            </w:tcBorders>
            <w:noWrap w:val="0"/>
            <w:vAlign w:val="center"/>
          </w:tcPr>
          <w:p w14:paraId="55AD150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60" w:type="dxa"/>
            <w:gridSpan w:val="4"/>
            <w:tcBorders>
              <w:top w:val="nil"/>
              <w:left w:val="nil"/>
              <w:bottom w:val="nil"/>
              <w:right w:val="nil"/>
            </w:tcBorders>
            <w:noWrap w:val="0"/>
            <w:vAlign w:val="center"/>
          </w:tcPr>
          <w:p w14:paraId="5CDD244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47" w:type="dxa"/>
            <w:gridSpan w:val="5"/>
            <w:tcBorders>
              <w:top w:val="nil"/>
              <w:left w:val="nil"/>
              <w:bottom w:val="nil"/>
              <w:right w:val="nil"/>
            </w:tcBorders>
            <w:noWrap w:val="0"/>
            <w:vAlign w:val="center"/>
          </w:tcPr>
          <w:p w14:paraId="166FD42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3" w:type="dxa"/>
            <w:gridSpan w:val="5"/>
            <w:tcBorders>
              <w:top w:val="nil"/>
              <w:left w:val="nil"/>
              <w:bottom w:val="nil"/>
              <w:right w:val="nil"/>
            </w:tcBorders>
            <w:noWrap w:val="0"/>
            <w:vAlign w:val="center"/>
          </w:tcPr>
          <w:p w14:paraId="75BDEA8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36" w:type="dxa"/>
            <w:gridSpan w:val="6"/>
            <w:tcBorders>
              <w:top w:val="nil"/>
              <w:left w:val="nil"/>
              <w:bottom w:val="nil"/>
              <w:right w:val="nil"/>
            </w:tcBorders>
            <w:noWrap w:val="0"/>
            <w:vAlign w:val="center"/>
          </w:tcPr>
          <w:p w14:paraId="01E8D52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17" w:type="dxa"/>
            <w:gridSpan w:val="5"/>
            <w:tcBorders>
              <w:top w:val="nil"/>
              <w:left w:val="nil"/>
              <w:bottom w:val="nil"/>
              <w:right w:val="nil"/>
            </w:tcBorders>
            <w:noWrap w:val="0"/>
            <w:vAlign w:val="center"/>
          </w:tcPr>
          <w:p w14:paraId="391C87A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29E43B7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14:paraId="6913024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1696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68" w:hRule="atLeast"/>
        </w:trPr>
        <w:tc>
          <w:tcPr>
            <w:tcW w:w="10641" w:type="dxa"/>
            <w:gridSpan w:val="58"/>
            <w:tcBorders>
              <w:top w:val="single" w:color="000000" w:sz="4" w:space="0"/>
              <w:left w:val="single" w:color="000000" w:sz="4" w:space="0"/>
              <w:bottom w:val="single" w:color="000000" w:sz="4" w:space="0"/>
              <w:right w:val="single" w:color="000000" w:sz="4" w:space="0"/>
            </w:tcBorders>
            <w:noWrap w:val="0"/>
            <w:vAlign w:val="center"/>
          </w:tcPr>
          <w:p w14:paraId="60B6A8D4">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780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2707" w:type="dxa"/>
            <w:gridSpan w:val="8"/>
            <w:tcBorders>
              <w:top w:val="single" w:color="000000" w:sz="4" w:space="0"/>
              <w:left w:val="single" w:color="000000" w:sz="4" w:space="0"/>
              <w:bottom w:val="single" w:color="000000" w:sz="4" w:space="0"/>
              <w:right w:val="single" w:color="000000" w:sz="4" w:space="0"/>
            </w:tcBorders>
            <w:noWrap w:val="0"/>
            <w:vAlign w:val="center"/>
          </w:tcPr>
          <w:p w14:paraId="5960E6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项目名称</w:t>
            </w:r>
          </w:p>
        </w:tc>
        <w:tc>
          <w:tcPr>
            <w:tcW w:w="7934" w:type="dxa"/>
            <w:gridSpan w:val="50"/>
            <w:tcBorders>
              <w:top w:val="single" w:color="000000" w:sz="4" w:space="0"/>
              <w:left w:val="single" w:color="000000" w:sz="4" w:space="0"/>
              <w:bottom w:val="single" w:color="000000" w:sz="4" w:space="0"/>
              <w:right w:val="single" w:color="000000" w:sz="4" w:space="0"/>
            </w:tcBorders>
            <w:noWrap w:val="0"/>
            <w:vAlign w:val="center"/>
          </w:tcPr>
          <w:p w14:paraId="59DB02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51340021Y000000027027-州本级其他公用经费</w:t>
            </w:r>
          </w:p>
        </w:tc>
      </w:tr>
      <w:tr w14:paraId="1663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26" w:hRule="atLeast"/>
        </w:trPr>
        <w:tc>
          <w:tcPr>
            <w:tcW w:w="2707" w:type="dxa"/>
            <w:gridSpan w:val="8"/>
            <w:tcBorders>
              <w:top w:val="single" w:color="000000" w:sz="4" w:space="0"/>
              <w:left w:val="single" w:color="000000" w:sz="4" w:space="0"/>
              <w:bottom w:val="single" w:color="000000" w:sz="4" w:space="0"/>
              <w:right w:val="single" w:color="000000" w:sz="4" w:space="0"/>
            </w:tcBorders>
            <w:noWrap w:val="0"/>
            <w:vAlign w:val="center"/>
          </w:tcPr>
          <w:p w14:paraId="1360BD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2189E4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007" w:type="dxa"/>
            <w:gridSpan w:val="9"/>
            <w:tcBorders>
              <w:top w:val="nil"/>
              <w:left w:val="nil"/>
              <w:bottom w:val="nil"/>
              <w:right w:val="nil"/>
            </w:tcBorders>
            <w:noWrap w:val="0"/>
            <w:vAlign w:val="center"/>
          </w:tcPr>
          <w:p w14:paraId="0B4ED9A3">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26" w:type="dxa"/>
            <w:gridSpan w:val="16"/>
            <w:tcBorders>
              <w:top w:val="single" w:color="000000" w:sz="4" w:space="0"/>
              <w:left w:val="single" w:color="000000" w:sz="4" w:space="0"/>
              <w:bottom w:val="single" w:color="000000" w:sz="4" w:space="0"/>
              <w:right w:val="single" w:color="000000" w:sz="4" w:space="0"/>
            </w:tcBorders>
            <w:noWrap w:val="0"/>
            <w:vAlign w:val="center"/>
          </w:tcPr>
          <w:p w14:paraId="2435C3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9A5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5848FB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15A20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1AC044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33" w:type="dxa"/>
            <w:gridSpan w:val="25"/>
            <w:tcBorders>
              <w:top w:val="single" w:color="000000" w:sz="4" w:space="0"/>
              <w:left w:val="single" w:color="000000" w:sz="4" w:space="0"/>
              <w:bottom w:val="single" w:color="000000" w:sz="4" w:space="0"/>
              <w:right w:val="single" w:color="000000" w:sz="4" w:space="0"/>
            </w:tcBorders>
            <w:noWrap w:val="0"/>
            <w:vAlign w:val="center"/>
          </w:tcPr>
          <w:p w14:paraId="1FBEB559">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EC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88"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86B526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3A1393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75F274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033" w:type="dxa"/>
            <w:gridSpan w:val="25"/>
            <w:tcBorders>
              <w:top w:val="single" w:color="000000" w:sz="4" w:space="0"/>
              <w:left w:val="single" w:color="000000" w:sz="4" w:space="0"/>
              <w:bottom w:val="single" w:color="000000" w:sz="4" w:space="0"/>
              <w:right w:val="single" w:color="000000" w:sz="4" w:space="0"/>
            </w:tcBorders>
            <w:noWrap w:val="0"/>
            <w:vAlign w:val="center"/>
          </w:tcPr>
          <w:p w14:paraId="47F07176">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sz w:val="18"/>
                <w:szCs w:val="18"/>
              </w:rPr>
              <w:t>严格执行预算，年度内及时申请支用保障单位日常运转。</w:t>
            </w:r>
          </w:p>
        </w:tc>
      </w:tr>
      <w:tr w14:paraId="753A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72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455973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044AAB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34" w:type="dxa"/>
            <w:gridSpan w:val="50"/>
            <w:tcBorders>
              <w:top w:val="single" w:color="000000" w:sz="4" w:space="0"/>
              <w:left w:val="single" w:color="000000" w:sz="4" w:space="0"/>
              <w:bottom w:val="single" w:color="000000" w:sz="4" w:space="0"/>
              <w:right w:val="single" w:color="000000" w:sz="4" w:space="0"/>
            </w:tcBorders>
            <w:noWrap w:val="0"/>
            <w:vAlign w:val="center"/>
          </w:tcPr>
          <w:p w14:paraId="401CB271">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default"/>
                <w:sz w:val="18"/>
                <w:szCs w:val="18"/>
              </w:rPr>
              <w:t>严格执行预算，日常公用经费按照“总量控制、计划管理”的要求从严控制行政经费。及时申请支用保障单位日常运转。</w:t>
            </w:r>
          </w:p>
        </w:tc>
      </w:tr>
      <w:tr w14:paraId="18EC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7F1289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255A06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66B053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50A5AE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11EB82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0D7CB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2B8A2E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697EB3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052099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4832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8"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F7F7D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537474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780B9C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24.80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1B0EDD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26.45</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28B85B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26.45</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78F0F3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584848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69B67903">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017"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3BE19FB3">
            <w:pPr>
              <w:keepNext w:val="0"/>
              <w:keepLines w:val="0"/>
              <w:widowControl/>
              <w:suppressLineNumbers w:val="0"/>
              <w:spacing w:before="0" w:beforeAutospacing="0" w:after="0" w:afterAutospacing="0"/>
              <w:ind w:left="0" w:right="0"/>
              <w:jc w:val="left"/>
              <w:textAlignment w:val="center"/>
              <w:rPr>
                <w:rFonts w:hint="eastAsia" w:ascii="黑体" w:hAnsi="黑体" w:eastAsia="宋体" w:cs="黑体"/>
                <w:i/>
                <w:iCs/>
                <w:color w:val="000000"/>
                <w:sz w:val="18"/>
                <w:szCs w:val="18"/>
                <w:u w:val="none"/>
                <w:lang w:eastAsia="zh-CN"/>
              </w:rPr>
            </w:pPr>
            <w:r>
              <w:rPr>
                <w:rFonts w:hint="eastAsia"/>
                <w:sz w:val="18"/>
                <w:szCs w:val="18"/>
              </w:rPr>
              <w:t>严格执行财政相关政策，</w:t>
            </w:r>
            <w:r>
              <w:rPr>
                <w:rFonts w:hint="eastAsia"/>
                <w:sz w:val="18"/>
                <w:szCs w:val="18"/>
                <w:lang w:eastAsia="zh-CN"/>
              </w:rPr>
              <w:t>增加清算调进人员日常公用经费。</w:t>
            </w:r>
          </w:p>
        </w:tc>
      </w:tr>
      <w:tr w14:paraId="1911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2"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E30EB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0B2331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40C10A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24.80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78FE53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26.45</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11658C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26.45</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29A727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2E0A48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47A8B9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01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297DA3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C8F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7FA3B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34D89D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66F351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15A517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0FC49B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EC8AC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3E8874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0D2559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01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F57B4C0">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164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6C7EF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15C098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0CE012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5ADA7B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5725A2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6F964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70C684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3B9A9A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01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012D6FD">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C24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91"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4F2357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4C82FF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0EB2779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6D1127A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51584B1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569C21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4DDCF3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40B9F5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01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0D2AFBC">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C39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81"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5BFA97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44EDB0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BCC1A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5A0E43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2A4F2B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6B9D0A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47ED30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3D5671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071165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71EA0F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7F2DE7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53B8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60C6E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DA546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0A496A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293C17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2E79DD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2A9763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580B86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029109B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608463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1AD3A0EA">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4BA9DD5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724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8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919D0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FE51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03D2B6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0405C6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411C98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0CD28E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399BB0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2B3D30E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04AF12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4C1CBE90">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7B7F003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0FD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81"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E64F1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FA905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5C9BCD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3062A5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1BBF3C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1512F2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5734F6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65AFAA1A">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775806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24F0C77E">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2F93EA1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A91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33891B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E2871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4FDD4B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718F46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2888F1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353BD6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376B61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57DE70B0">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236D6D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595ECB89">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7F371BC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5DF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7615" w:type="dxa"/>
            <w:gridSpan w:val="42"/>
            <w:tcBorders>
              <w:top w:val="single" w:color="000000" w:sz="4" w:space="0"/>
              <w:left w:val="single" w:color="000000" w:sz="4" w:space="0"/>
              <w:bottom w:val="single" w:color="000000" w:sz="4" w:space="0"/>
              <w:right w:val="single" w:color="000000" w:sz="4" w:space="0"/>
            </w:tcBorders>
            <w:noWrap w:val="0"/>
            <w:vAlign w:val="center"/>
          </w:tcPr>
          <w:p w14:paraId="7D8453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7B2925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36" w:type="dxa"/>
            <w:gridSpan w:val="6"/>
            <w:tcBorders>
              <w:top w:val="single" w:color="000000" w:sz="4" w:space="0"/>
              <w:left w:val="single" w:color="000000" w:sz="4" w:space="0"/>
              <w:bottom w:val="single" w:color="000000" w:sz="4" w:space="0"/>
              <w:right w:val="single" w:color="000000" w:sz="4" w:space="0"/>
            </w:tcBorders>
            <w:noWrap w:val="0"/>
            <w:vAlign w:val="center"/>
          </w:tcPr>
          <w:p w14:paraId="6F803788">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017" w:type="dxa"/>
            <w:gridSpan w:val="5"/>
            <w:tcBorders>
              <w:top w:val="single" w:color="000000" w:sz="4" w:space="0"/>
              <w:left w:val="single" w:color="000000" w:sz="4" w:space="0"/>
              <w:bottom w:val="single" w:color="000000" w:sz="4" w:space="0"/>
              <w:right w:val="single" w:color="000000" w:sz="4" w:space="0"/>
            </w:tcBorders>
            <w:noWrap w:val="0"/>
            <w:vAlign w:val="center"/>
          </w:tcPr>
          <w:p w14:paraId="52B099C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696D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52620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i w:val="0"/>
                <w:iCs w:val="0"/>
                <w:color w:val="000000"/>
                <w:sz w:val="18"/>
                <w:szCs w:val="18"/>
                <w:u w:val="none"/>
              </w:rPr>
            </w:pPr>
            <w:r>
              <w:rPr>
                <w:rFonts w:hint="default"/>
                <w:sz w:val="18"/>
                <w:szCs w:val="18"/>
              </w:rPr>
              <w:t>评价结论</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354D7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微软雅黑" w:hAnsi="微软雅黑" w:eastAsia="微软雅黑" w:cs="微软雅黑"/>
                <w:i/>
                <w:iCs/>
                <w:color w:val="000000"/>
                <w:sz w:val="16"/>
                <w:szCs w:val="16"/>
                <w:u w:val="none"/>
              </w:rPr>
            </w:pPr>
            <w:r>
              <w:rPr>
                <w:rFonts w:hint="eastAsia"/>
                <w:sz w:val="18"/>
                <w:szCs w:val="18"/>
              </w:rPr>
              <w:t>严格执行预算，日常公用经费按照“总量控制、计划管理”的要求从严控制行政经费，及时申请支用保障单位日常运转。从产出、效益、满意度指标等进行了以上打分，预算执行率100%，执行情况良好，自评得分100分。</w:t>
            </w:r>
          </w:p>
        </w:tc>
      </w:tr>
      <w:tr w14:paraId="3F55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30"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61590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i w:val="0"/>
                <w:iCs w:val="0"/>
                <w:color w:val="000000"/>
                <w:sz w:val="18"/>
                <w:szCs w:val="18"/>
                <w:u w:val="none"/>
              </w:rPr>
            </w:pPr>
            <w:r>
              <w:rPr>
                <w:rFonts w:hint="default"/>
                <w:sz w:val="18"/>
                <w:szCs w:val="18"/>
              </w:rPr>
              <w:t>存在问题</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3A235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微软雅黑" w:hAnsi="微软雅黑" w:eastAsia="微软雅黑" w:cs="微软雅黑"/>
                <w:i/>
                <w:iCs/>
                <w:color w:val="000000"/>
                <w:sz w:val="16"/>
                <w:szCs w:val="16"/>
                <w:u w:val="none"/>
              </w:rPr>
            </w:pPr>
            <w:r>
              <w:rPr>
                <w:rFonts w:hint="eastAsia"/>
                <w:sz w:val="18"/>
                <w:szCs w:val="18"/>
              </w:rPr>
              <w:t>无</w:t>
            </w:r>
          </w:p>
        </w:tc>
      </w:tr>
      <w:tr w14:paraId="2F24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17"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79B78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i w:val="0"/>
                <w:iCs w:val="0"/>
                <w:color w:val="000000"/>
                <w:sz w:val="18"/>
                <w:szCs w:val="18"/>
                <w:u w:val="none"/>
              </w:rPr>
            </w:pPr>
            <w:r>
              <w:rPr>
                <w:rFonts w:hint="default"/>
                <w:sz w:val="18"/>
                <w:szCs w:val="18"/>
              </w:rPr>
              <w:t>改进措施</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49B3F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微软雅黑" w:hAnsi="微软雅黑" w:eastAsia="微软雅黑" w:cs="微软雅黑"/>
                <w:i/>
                <w:iCs/>
                <w:color w:val="000000"/>
                <w:sz w:val="16"/>
                <w:szCs w:val="16"/>
                <w:u w:val="none"/>
              </w:rPr>
            </w:pPr>
            <w:r>
              <w:rPr>
                <w:rFonts w:hint="eastAsia"/>
                <w:sz w:val="18"/>
                <w:szCs w:val="18"/>
              </w:rPr>
              <w:t>无</w:t>
            </w:r>
          </w:p>
        </w:tc>
      </w:tr>
      <w:tr w14:paraId="4DB3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60" w:hRule="atLeast"/>
        </w:trPr>
        <w:tc>
          <w:tcPr>
            <w:tcW w:w="6105" w:type="dxa"/>
            <w:gridSpan w:val="29"/>
            <w:tcBorders>
              <w:top w:val="single" w:color="000000" w:sz="4" w:space="0"/>
              <w:left w:val="single" w:color="000000" w:sz="4" w:space="0"/>
              <w:bottom w:val="single" w:color="000000" w:sz="4" w:space="0"/>
              <w:right w:val="single" w:color="000000" w:sz="4" w:space="0"/>
            </w:tcBorders>
            <w:noWrap w:val="0"/>
            <w:vAlign w:val="center"/>
          </w:tcPr>
          <w:p w14:paraId="4D1FE2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i w:val="0"/>
                <w:iCs w:val="0"/>
                <w:color w:val="000000"/>
                <w:sz w:val="18"/>
                <w:szCs w:val="18"/>
                <w:u w:val="none"/>
              </w:rPr>
            </w:pPr>
            <w:r>
              <w:rPr>
                <w:rFonts w:hint="eastAsia"/>
                <w:sz w:val="18"/>
                <w:szCs w:val="18"/>
              </w:rPr>
              <w:t>项目负责人：张舒雁</w:t>
            </w:r>
          </w:p>
        </w:tc>
        <w:tc>
          <w:tcPr>
            <w:tcW w:w="4536" w:type="dxa"/>
            <w:gridSpan w:val="29"/>
            <w:tcBorders>
              <w:top w:val="single" w:color="000000" w:sz="4" w:space="0"/>
              <w:left w:val="single" w:color="000000" w:sz="4" w:space="0"/>
              <w:bottom w:val="single" w:color="000000" w:sz="4" w:space="0"/>
              <w:right w:val="single" w:color="000000" w:sz="4" w:space="0"/>
            </w:tcBorders>
            <w:noWrap w:val="0"/>
            <w:vAlign w:val="center"/>
          </w:tcPr>
          <w:p w14:paraId="426650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i w:val="0"/>
                <w:iCs w:val="0"/>
                <w:color w:val="000000"/>
                <w:sz w:val="18"/>
                <w:szCs w:val="18"/>
                <w:u w:val="none"/>
              </w:rPr>
            </w:pPr>
            <w:r>
              <w:rPr>
                <w:rFonts w:hint="eastAsia"/>
                <w:sz w:val="18"/>
                <w:szCs w:val="18"/>
              </w:rPr>
              <w:t>财务负责人：毛正华</w:t>
            </w:r>
          </w:p>
        </w:tc>
      </w:tr>
      <w:tr w14:paraId="373C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53" w:hRule="atLeast"/>
        </w:trPr>
        <w:tc>
          <w:tcPr>
            <w:tcW w:w="10641" w:type="dxa"/>
            <w:gridSpan w:val="58"/>
            <w:tcBorders>
              <w:top w:val="single" w:color="000000" w:sz="4" w:space="0"/>
              <w:left w:val="single" w:color="000000" w:sz="4" w:space="0"/>
              <w:bottom w:val="single" w:color="000000" w:sz="4" w:space="0"/>
              <w:right w:val="single" w:color="000000" w:sz="4" w:space="0"/>
            </w:tcBorders>
            <w:noWrap w:val="0"/>
            <w:vAlign w:val="center"/>
          </w:tcPr>
          <w:p w14:paraId="13C82FE6">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623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2707" w:type="dxa"/>
            <w:gridSpan w:val="8"/>
            <w:tcBorders>
              <w:top w:val="single" w:color="000000" w:sz="4" w:space="0"/>
              <w:left w:val="single" w:color="000000" w:sz="4" w:space="0"/>
              <w:bottom w:val="single" w:color="000000" w:sz="4" w:space="0"/>
              <w:right w:val="single" w:color="000000" w:sz="4" w:space="0"/>
            </w:tcBorders>
            <w:noWrap w:val="0"/>
            <w:vAlign w:val="center"/>
          </w:tcPr>
          <w:p w14:paraId="30D717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934" w:type="dxa"/>
            <w:gridSpan w:val="50"/>
            <w:tcBorders>
              <w:top w:val="single" w:color="000000" w:sz="4" w:space="0"/>
              <w:left w:val="single" w:color="000000" w:sz="4" w:space="0"/>
              <w:bottom w:val="single" w:color="000000" w:sz="4" w:space="0"/>
              <w:right w:val="single" w:color="000000" w:sz="4" w:space="0"/>
            </w:tcBorders>
            <w:noWrap w:val="0"/>
            <w:vAlign w:val="center"/>
          </w:tcPr>
          <w:p w14:paraId="7EECBA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51340021Y000000057571-州本级定额公用经费</w:t>
            </w:r>
          </w:p>
        </w:tc>
      </w:tr>
      <w:tr w14:paraId="1E1C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2707" w:type="dxa"/>
            <w:gridSpan w:val="8"/>
            <w:tcBorders>
              <w:top w:val="single" w:color="000000" w:sz="4" w:space="0"/>
              <w:left w:val="single" w:color="000000" w:sz="4" w:space="0"/>
              <w:bottom w:val="single" w:color="000000" w:sz="4" w:space="0"/>
              <w:right w:val="single" w:color="000000" w:sz="4" w:space="0"/>
            </w:tcBorders>
            <w:noWrap w:val="0"/>
            <w:vAlign w:val="center"/>
          </w:tcPr>
          <w:p w14:paraId="44FC46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0906EB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007" w:type="dxa"/>
            <w:gridSpan w:val="9"/>
            <w:tcBorders>
              <w:top w:val="nil"/>
              <w:left w:val="nil"/>
              <w:bottom w:val="nil"/>
              <w:right w:val="nil"/>
            </w:tcBorders>
            <w:noWrap w:val="0"/>
            <w:vAlign w:val="center"/>
          </w:tcPr>
          <w:p w14:paraId="29648FFC">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26" w:type="dxa"/>
            <w:gridSpan w:val="16"/>
            <w:tcBorders>
              <w:top w:val="single" w:color="000000" w:sz="4" w:space="0"/>
              <w:left w:val="single" w:color="000000" w:sz="4" w:space="0"/>
              <w:bottom w:val="single" w:color="000000" w:sz="4" w:space="0"/>
              <w:right w:val="single" w:color="000000" w:sz="4" w:space="0"/>
            </w:tcBorders>
            <w:noWrap w:val="0"/>
            <w:vAlign w:val="center"/>
          </w:tcPr>
          <w:p w14:paraId="1DEB61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592A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119B82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83EA1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7FD9BA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33" w:type="dxa"/>
            <w:gridSpan w:val="25"/>
            <w:tcBorders>
              <w:top w:val="single" w:color="000000" w:sz="4" w:space="0"/>
              <w:left w:val="single" w:color="000000" w:sz="4" w:space="0"/>
              <w:bottom w:val="single" w:color="000000" w:sz="4" w:space="0"/>
              <w:right w:val="single" w:color="000000" w:sz="4" w:space="0"/>
            </w:tcBorders>
            <w:noWrap w:val="0"/>
            <w:vAlign w:val="center"/>
          </w:tcPr>
          <w:p w14:paraId="6651A393">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1F6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18"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5C11A1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874F05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901" w:type="dxa"/>
            <w:gridSpan w:val="25"/>
            <w:tcBorders>
              <w:top w:val="single" w:color="000000" w:sz="4" w:space="0"/>
              <w:left w:val="single" w:color="000000" w:sz="4" w:space="0"/>
              <w:bottom w:val="single" w:color="000000" w:sz="4" w:space="0"/>
              <w:right w:val="single" w:color="000000" w:sz="4" w:space="0"/>
            </w:tcBorders>
            <w:noWrap w:val="0"/>
            <w:vAlign w:val="center"/>
          </w:tcPr>
          <w:p w14:paraId="225536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033" w:type="dxa"/>
            <w:gridSpan w:val="25"/>
            <w:tcBorders>
              <w:top w:val="single" w:color="000000" w:sz="4" w:space="0"/>
              <w:left w:val="single" w:color="000000" w:sz="4" w:space="0"/>
              <w:bottom w:val="single" w:color="000000" w:sz="4" w:space="0"/>
              <w:right w:val="single" w:color="000000" w:sz="4" w:space="0"/>
            </w:tcBorders>
            <w:noWrap w:val="0"/>
            <w:vAlign w:val="center"/>
          </w:tcPr>
          <w:p w14:paraId="00DF7896">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sz w:val="18"/>
                <w:szCs w:val="18"/>
              </w:rPr>
              <w:t>严格执行预算，年度内及时申请支用保障单位日常运转。</w:t>
            </w:r>
          </w:p>
        </w:tc>
      </w:tr>
      <w:tr w14:paraId="4147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47223F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53E849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34" w:type="dxa"/>
            <w:gridSpan w:val="50"/>
            <w:tcBorders>
              <w:top w:val="single" w:color="000000" w:sz="4" w:space="0"/>
              <w:left w:val="single" w:color="000000" w:sz="4" w:space="0"/>
              <w:bottom w:val="single" w:color="000000" w:sz="4" w:space="0"/>
              <w:right w:val="single" w:color="000000" w:sz="4" w:space="0"/>
            </w:tcBorders>
            <w:noWrap w:val="0"/>
            <w:vAlign w:val="center"/>
          </w:tcPr>
          <w:p w14:paraId="59D2F2C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default"/>
                <w:sz w:val="18"/>
                <w:szCs w:val="18"/>
              </w:rPr>
              <w:t>严格执行预算，定额公用经费按照“总量控制、计划管理”的要求从严控制行政经费。厉行节约把控“三公经费”开支，及时申请支用保障单位日常运转。</w:t>
            </w:r>
          </w:p>
        </w:tc>
      </w:tr>
      <w:tr w14:paraId="740E6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92"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6D213C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623D4C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5DA30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4D628B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303DB6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0A3813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45A365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1DF378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4F0A60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7ECF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8"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428BB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3610E3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49DCF6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16.80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574BA4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18.30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57227C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18.30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7BCE6D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53A7BE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4A24125B">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2BF55190">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sz w:val="18"/>
                <w:szCs w:val="18"/>
              </w:rPr>
              <w:t>清算调进调</w:t>
            </w:r>
            <w:r>
              <w:rPr>
                <w:rFonts w:hint="eastAsia"/>
                <w:sz w:val="18"/>
                <w:szCs w:val="18"/>
                <w:lang w:eastAsia="zh-CN"/>
              </w:rPr>
              <w:t>进</w:t>
            </w:r>
            <w:r>
              <w:rPr>
                <w:rFonts w:hint="eastAsia"/>
                <w:sz w:val="18"/>
                <w:szCs w:val="18"/>
              </w:rPr>
              <w:t>人员，增加定额公用经费。</w:t>
            </w:r>
          </w:p>
        </w:tc>
      </w:tr>
      <w:tr w14:paraId="4EA2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2"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17F68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4CCE27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670319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16.80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1BD7E9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18.30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744777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18.30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3D43D8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2F39D4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7B6970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3A0E83CE">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7DB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2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41341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07C2C0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661F58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758F2D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05835A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5A67D8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6391FA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52E82E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6DD6540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7E6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13"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09DB5D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77CAA3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14D994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753DE6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503CF8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4AB915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64CF41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4E9771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0EB69C61">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8B9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91"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EEFE3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47720D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3A7F033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6F9DC56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900" w:type="dxa"/>
            <w:gridSpan w:val="10"/>
            <w:tcBorders>
              <w:top w:val="single" w:color="000000" w:sz="4" w:space="0"/>
              <w:left w:val="single" w:color="000000" w:sz="4" w:space="0"/>
              <w:bottom w:val="single" w:color="000000" w:sz="4" w:space="0"/>
              <w:right w:val="single" w:color="000000" w:sz="4" w:space="0"/>
            </w:tcBorders>
            <w:noWrap w:val="0"/>
            <w:vAlign w:val="center"/>
          </w:tcPr>
          <w:p w14:paraId="2F6CBF4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007" w:type="dxa"/>
            <w:gridSpan w:val="9"/>
            <w:tcBorders>
              <w:top w:val="single" w:color="000000" w:sz="4" w:space="0"/>
              <w:left w:val="single" w:color="000000" w:sz="4" w:space="0"/>
              <w:bottom w:val="single" w:color="000000" w:sz="4" w:space="0"/>
              <w:right w:val="single" w:color="000000" w:sz="4" w:space="0"/>
            </w:tcBorders>
            <w:noWrap w:val="0"/>
            <w:vAlign w:val="center"/>
          </w:tcPr>
          <w:p w14:paraId="34102D4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547F4F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6270C8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3EC1253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F97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81" w:hRule="atLeast"/>
        </w:trPr>
        <w:tc>
          <w:tcPr>
            <w:tcW w:w="169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6AD6A5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14:paraId="7372AB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5CC4B6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74D456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04A92A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7DE0FA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2D80B3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17E8AA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0F2720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3B0203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15611F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6910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CE1A9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2029D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0C5BAC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10A884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62883F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4A0312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0FF2CC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2EDA7AF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4EF4DF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114A7D4A">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6029D2E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B37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287"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09B502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81127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4027CE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0DF379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444DC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49A2DA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3176E9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03E4D67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42E29F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20F7B408">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42F8925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138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81"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8263C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DA342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251FF7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21740D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5FA146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71BEB0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041A21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20739631">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0A8E3C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0C7832B8">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3984A78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460F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106" w:hRule="atLeast"/>
        </w:trPr>
        <w:tc>
          <w:tcPr>
            <w:tcW w:w="169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6C588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63AC9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3" w:type="dxa"/>
            <w:gridSpan w:val="6"/>
            <w:tcBorders>
              <w:top w:val="single" w:color="000000" w:sz="4" w:space="0"/>
              <w:left w:val="single" w:color="000000" w:sz="4" w:space="0"/>
              <w:bottom w:val="single" w:color="000000" w:sz="4" w:space="0"/>
              <w:right w:val="single" w:color="000000" w:sz="4" w:space="0"/>
            </w:tcBorders>
            <w:noWrap w:val="0"/>
            <w:vAlign w:val="center"/>
          </w:tcPr>
          <w:p w14:paraId="00C8CD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38" w:type="dxa"/>
            <w:gridSpan w:val="9"/>
            <w:tcBorders>
              <w:top w:val="single" w:color="000000" w:sz="4" w:space="0"/>
              <w:left w:val="single" w:color="000000" w:sz="4" w:space="0"/>
              <w:bottom w:val="single" w:color="000000" w:sz="4" w:space="0"/>
              <w:right w:val="single" w:color="000000" w:sz="4" w:space="0"/>
            </w:tcBorders>
            <w:noWrap w:val="0"/>
            <w:vAlign w:val="center"/>
          </w:tcPr>
          <w:p w14:paraId="7AEF45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387" w:type="dxa"/>
            <w:gridSpan w:val="5"/>
            <w:tcBorders>
              <w:top w:val="single" w:color="000000" w:sz="4" w:space="0"/>
              <w:left w:val="single" w:color="000000" w:sz="4" w:space="0"/>
              <w:bottom w:val="single" w:color="000000" w:sz="4" w:space="0"/>
              <w:right w:val="single" w:color="000000" w:sz="4" w:space="0"/>
            </w:tcBorders>
            <w:noWrap w:val="0"/>
            <w:vAlign w:val="center"/>
          </w:tcPr>
          <w:p w14:paraId="7E491F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13" w:type="dxa"/>
            <w:gridSpan w:val="5"/>
            <w:tcBorders>
              <w:top w:val="single" w:color="000000" w:sz="4" w:space="0"/>
              <w:left w:val="single" w:color="000000" w:sz="4" w:space="0"/>
              <w:bottom w:val="single" w:color="000000" w:sz="4" w:space="0"/>
              <w:right w:val="single" w:color="000000" w:sz="4" w:space="0"/>
            </w:tcBorders>
            <w:noWrap w:val="0"/>
            <w:vAlign w:val="center"/>
          </w:tcPr>
          <w:p w14:paraId="4BAAA5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0" w:type="dxa"/>
            <w:gridSpan w:val="4"/>
            <w:tcBorders>
              <w:top w:val="single" w:color="000000" w:sz="4" w:space="0"/>
              <w:left w:val="single" w:color="000000" w:sz="4" w:space="0"/>
              <w:bottom w:val="single" w:color="000000" w:sz="4" w:space="0"/>
              <w:right w:val="single" w:color="000000" w:sz="4" w:space="0"/>
            </w:tcBorders>
            <w:noWrap w:val="0"/>
            <w:vAlign w:val="center"/>
          </w:tcPr>
          <w:p w14:paraId="025C87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47" w:type="dxa"/>
            <w:gridSpan w:val="5"/>
            <w:tcBorders>
              <w:top w:val="single" w:color="000000" w:sz="4" w:space="0"/>
              <w:left w:val="single" w:color="000000" w:sz="4" w:space="0"/>
              <w:bottom w:val="single" w:color="000000" w:sz="4" w:space="0"/>
              <w:right w:val="single" w:color="000000" w:sz="4" w:space="0"/>
            </w:tcBorders>
            <w:noWrap w:val="0"/>
            <w:vAlign w:val="center"/>
          </w:tcPr>
          <w:p w14:paraId="29C0B2CC">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625C06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19AE34AA">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513245E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F08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8" w:hRule="atLeast"/>
        </w:trPr>
        <w:tc>
          <w:tcPr>
            <w:tcW w:w="7615" w:type="dxa"/>
            <w:gridSpan w:val="42"/>
            <w:tcBorders>
              <w:top w:val="single" w:color="000000" w:sz="4" w:space="0"/>
              <w:left w:val="single" w:color="000000" w:sz="4" w:space="0"/>
              <w:bottom w:val="single" w:color="000000" w:sz="4" w:space="0"/>
              <w:right w:val="single" w:color="000000" w:sz="4" w:space="0"/>
            </w:tcBorders>
            <w:noWrap w:val="0"/>
            <w:vAlign w:val="center"/>
          </w:tcPr>
          <w:p w14:paraId="4E1458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3" w:type="dxa"/>
            <w:gridSpan w:val="5"/>
            <w:tcBorders>
              <w:top w:val="single" w:color="000000" w:sz="4" w:space="0"/>
              <w:left w:val="single" w:color="000000" w:sz="4" w:space="0"/>
              <w:bottom w:val="single" w:color="000000" w:sz="4" w:space="0"/>
              <w:right w:val="single" w:color="000000" w:sz="4" w:space="0"/>
            </w:tcBorders>
            <w:noWrap w:val="0"/>
            <w:vAlign w:val="center"/>
          </w:tcPr>
          <w:p w14:paraId="58A6C6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3" w:type="dxa"/>
            <w:gridSpan w:val="7"/>
            <w:tcBorders>
              <w:top w:val="single" w:color="000000" w:sz="4" w:space="0"/>
              <w:left w:val="single" w:color="000000" w:sz="4" w:space="0"/>
              <w:bottom w:val="single" w:color="000000" w:sz="4" w:space="0"/>
              <w:right w:val="single" w:color="000000" w:sz="4" w:space="0"/>
            </w:tcBorders>
            <w:noWrap w:val="0"/>
            <w:vAlign w:val="center"/>
          </w:tcPr>
          <w:p w14:paraId="4DC43227">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960" w:type="dxa"/>
            <w:gridSpan w:val="4"/>
            <w:tcBorders>
              <w:top w:val="single" w:color="000000" w:sz="4" w:space="0"/>
              <w:left w:val="single" w:color="000000" w:sz="4" w:space="0"/>
              <w:bottom w:val="single" w:color="000000" w:sz="4" w:space="0"/>
              <w:right w:val="single" w:color="000000" w:sz="4" w:space="0"/>
            </w:tcBorders>
            <w:noWrap w:val="0"/>
            <w:vAlign w:val="center"/>
          </w:tcPr>
          <w:p w14:paraId="719949B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2B81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930"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4563F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i w:val="0"/>
                <w:iCs w:val="0"/>
                <w:color w:val="000000"/>
                <w:sz w:val="18"/>
                <w:szCs w:val="18"/>
                <w:u w:val="none"/>
              </w:rPr>
            </w:pPr>
            <w:r>
              <w:rPr>
                <w:rFonts w:hint="default"/>
                <w:sz w:val="18"/>
                <w:szCs w:val="18"/>
              </w:rPr>
              <w:t>评价结论</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799DEB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微软雅黑" w:hAnsi="微软雅黑" w:eastAsia="微软雅黑" w:cs="微软雅黑"/>
                <w:i/>
                <w:iCs/>
                <w:color w:val="000000"/>
                <w:sz w:val="16"/>
                <w:szCs w:val="16"/>
                <w:u w:val="none"/>
              </w:rPr>
            </w:pPr>
            <w:r>
              <w:rPr>
                <w:rFonts w:hint="eastAsia"/>
                <w:sz w:val="18"/>
                <w:szCs w:val="18"/>
              </w:rPr>
              <w:t>严格执行预算，定额公用经费按照“总量控制、计划管理”的要求从严控制行政经费。厉行节约把控“三公经费”开支，及时申请支用保障单位日常运转。从产出、效益、满意度指标等进行了以上打分，预算执行率100%，执行情况良好，自评得分100分。</w:t>
            </w:r>
          </w:p>
        </w:tc>
      </w:tr>
      <w:tr w14:paraId="3A74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03"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2E11F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i w:val="0"/>
                <w:iCs w:val="0"/>
                <w:color w:val="000000"/>
                <w:sz w:val="18"/>
                <w:szCs w:val="18"/>
                <w:u w:val="none"/>
              </w:rPr>
            </w:pPr>
            <w:r>
              <w:rPr>
                <w:rFonts w:hint="default"/>
                <w:sz w:val="18"/>
                <w:szCs w:val="18"/>
              </w:rPr>
              <w:t>存在问题</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717CA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微软雅黑" w:hAnsi="微软雅黑" w:eastAsia="微软雅黑" w:cs="微软雅黑"/>
                <w:i/>
                <w:iCs/>
                <w:color w:val="000000"/>
                <w:sz w:val="16"/>
                <w:szCs w:val="16"/>
                <w:u w:val="none"/>
              </w:rPr>
            </w:pPr>
            <w:r>
              <w:rPr>
                <w:rFonts w:hint="eastAsia"/>
                <w:sz w:val="18"/>
                <w:szCs w:val="18"/>
              </w:rPr>
              <w:t>无</w:t>
            </w:r>
          </w:p>
        </w:tc>
      </w:tr>
      <w:tr w14:paraId="15EB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37" w:hRule="atLeast"/>
        </w:trPr>
        <w:tc>
          <w:tcPr>
            <w:tcW w:w="1699" w:type="dxa"/>
            <w:gridSpan w:val="5"/>
            <w:tcBorders>
              <w:top w:val="single" w:color="000000" w:sz="4" w:space="0"/>
              <w:left w:val="single" w:color="000000" w:sz="4" w:space="0"/>
              <w:bottom w:val="single" w:color="000000" w:sz="4" w:space="0"/>
              <w:right w:val="single" w:color="000000" w:sz="4" w:space="0"/>
            </w:tcBorders>
            <w:noWrap w:val="0"/>
            <w:vAlign w:val="center"/>
          </w:tcPr>
          <w:p w14:paraId="64CE6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i w:val="0"/>
                <w:iCs w:val="0"/>
                <w:color w:val="000000"/>
                <w:sz w:val="18"/>
                <w:szCs w:val="18"/>
                <w:u w:val="none"/>
              </w:rPr>
            </w:pPr>
            <w:r>
              <w:rPr>
                <w:rFonts w:hint="default"/>
                <w:sz w:val="18"/>
                <w:szCs w:val="18"/>
              </w:rPr>
              <w:t>改进措施</w:t>
            </w:r>
          </w:p>
        </w:tc>
        <w:tc>
          <w:tcPr>
            <w:tcW w:w="8942" w:type="dxa"/>
            <w:gridSpan w:val="53"/>
            <w:tcBorders>
              <w:top w:val="single" w:color="000000" w:sz="4" w:space="0"/>
              <w:left w:val="single" w:color="000000" w:sz="4" w:space="0"/>
              <w:bottom w:val="single" w:color="000000" w:sz="4" w:space="0"/>
              <w:right w:val="single" w:color="000000" w:sz="4" w:space="0"/>
            </w:tcBorders>
            <w:noWrap w:val="0"/>
            <w:vAlign w:val="center"/>
          </w:tcPr>
          <w:p w14:paraId="44DEF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微软雅黑" w:hAnsi="微软雅黑" w:eastAsia="微软雅黑" w:cs="微软雅黑"/>
                <w:i/>
                <w:iCs/>
                <w:color w:val="000000"/>
                <w:sz w:val="16"/>
                <w:szCs w:val="16"/>
                <w:u w:val="none"/>
              </w:rPr>
            </w:pPr>
            <w:r>
              <w:rPr>
                <w:rFonts w:hint="eastAsia"/>
                <w:sz w:val="18"/>
                <w:szCs w:val="18"/>
              </w:rPr>
              <w:t>无</w:t>
            </w:r>
          </w:p>
        </w:tc>
      </w:tr>
      <w:tr w14:paraId="75E1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84" w:hRule="atLeast"/>
        </w:trPr>
        <w:tc>
          <w:tcPr>
            <w:tcW w:w="5882" w:type="dxa"/>
            <w:gridSpan w:val="25"/>
            <w:tcBorders>
              <w:top w:val="single" w:color="000000" w:sz="4" w:space="0"/>
              <w:left w:val="single" w:color="000000" w:sz="4" w:space="0"/>
              <w:bottom w:val="single" w:color="000000" w:sz="4" w:space="0"/>
              <w:right w:val="single" w:color="000000" w:sz="4" w:space="0"/>
            </w:tcBorders>
            <w:noWrap w:val="0"/>
            <w:vAlign w:val="center"/>
          </w:tcPr>
          <w:p w14:paraId="1D1E56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i w:val="0"/>
                <w:iCs w:val="0"/>
                <w:color w:val="000000"/>
                <w:sz w:val="18"/>
                <w:szCs w:val="18"/>
                <w:u w:val="none"/>
              </w:rPr>
            </w:pPr>
            <w:r>
              <w:rPr>
                <w:rFonts w:hint="eastAsia"/>
                <w:sz w:val="18"/>
                <w:szCs w:val="18"/>
              </w:rPr>
              <w:t>项目负责人：张舒雁</w:t>
            </w:r>
          </w:p>
        </w:tc>
        <w:tc>
          <w:tcPr>
            <w:tcW w:w="4759" w:type="dxa"/>
            <w:gridSpan w:val="33"/>
            <w:tcBorders>
              <w:top w:val="single" w:color="000000" w:sz="4" w:space="0"/>
              <w:left w:val="single" w:color="000000" w:sz="4" w:space="0"/>
              <w:bottom w:val="single" w:color="000000" w:sz="4" w:space="0"/>
              <w:right w:val="single" w:color="000000" w:sz="4" w:space="0"/>
            </w:tcBorders>
            <w:noWrap w:val="0"/>
            <w:vAlign w:val="center"/>
          </w:tcPr>
          <w:p w14:paraId="5CEC9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i w:val="0"/>
                <w:iCs w:val="0"/>
                <w:color w:val="000000"/>
                <w:sz w:val="18"/>
                <w:szCs w:val="18"/>
                <w:u w:val="none"/>
              </w:rPr>
            </w:pPr>
            <w:r>
              <w:rPr>
                <w:rFonts w:hint="eastAsia"/>
                <w:sz w:val="18"/>
                <w:szCs w:val="18"/>
              </w:rPr>
              <w:t>财务负责人：毛正华</w:t>
            </w:r>
          </w:p>
        </w:tc>
      </w:tr>
      <w:tr w14:paraId="51EB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96" w:type="dxa"/>
          <w:wAfter w:w="58" w:type="dxa"/>
          <w:trHeight w:val="395" w:hRule="atLeast"/>
        </w:trPr>
        <w:tc>
          <w:tcPr>
            <w:tcW w:w="10145" w:type="dxa"/>
            <w:gridSpan w:val="57"/>
            <w:tcBorders>
              <w:top w:val="single" w:color="000000" w:sz="4" w:space="0"/>
              <w:left w:val="single" w:color="000000" w:sz="4" w:space="0"/>
              <w:bottom w:val="single" w:color="000000" w:sz="4" w:space="0"/>
              <w:right w:val="single" w:color="000000" w:sz="4" w:space="0"/>
            </w:tcBorders>
            <w:noWrap w:val="0"/>
            <w:vAlign w:val="center"/>
          </w:tcPr>
          <w:p w14:paraId="090268A0">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黑体" w:hAnsi="宋体" w:eastAsia="黑体" w:cs="黑体"/>
                <w:b/>
                <w:bCs/>
                <w:i w:val="0"/>
                <w:iCs w:val="0"/>
                <w:color w:val="000000"/>
                <w:szCs w:val="30"/>
                <w:u w:val="none"/>
              </w:rPr>
            </w:pPr>
            <w:r>
              <w:rPr>
                <w:rFonts w:hint="eastAsia"/>
                <w:sz w:val="24"/>
                <w:szCs w:val="24"/>
                <w:lang w:val="en-US" w:eastAsia="zh-CN"/>
              </w:rPr>
              <w:t>部门预算项目支出绩效自评表（2023年度）</w:t>
            </w:r>
          </w:p>
        </w:tc>
      </w:tr>
      <w:tr w14:paraId="2DC2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96" w:type="dxa"/>
          <w:wAfter w:w="58" w:type="dxa"/>
          <w:trHeight w:val="330" w:hRule="atLeast"/>
        </w:trPr>
        <w:tc>
          <w:tcPr>
            <w:tcW w:w="2400" w:type="dxa"/>
            <w:gridSpan w:val="10"/>
            <w:tcBorders>
              <w:top w:val="single" w:color="000000" w:sz="4" w:space="0"/>
              <w:left w:val="single" w:color="000000" w:sz="4" w:space="0"/>
              <w:bottom w:val="single" w:color="000000" w:sz="4" w:space="0"/>
              <w:right w:val="single" w:color="000000" w:sz="4" w:space="0"/>
            </w:tcBorders>
            <w:noWrap w:val="0"/>
            <w:vAlign w:val="center"/>
          </w:tcPr>
          <w:p w14:paraId="612780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项目名称</w:t>
            </w:r>
          </w:p>
        </w:tc>
        <w:tc>
          <w:tcPr>
            <w:tcW w:w="7745" w:type="dxa"/>
            <w:gridSpan w:val="47"/>
            <w:tcBorders>
              <w:top w:val="single" w:color="000000" w:sz="4" w:space="0"/>
              <w:left w:val="single" w:color="000000" w:sz="4" w:space="0"/>
              <w:bottom w:val="single" w:color="000000" w:sz="4" w:space="0"/>
              <w:right w:val="single" w:color="000000" w:sz="4" w:space="0"/>
            </w:tcBorders>
            <w:noWrap w:val="0"/>
            <w:vAlign w:val="center"/>
          </w:tcPr>
          <w:p w14:paraId="6377ED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51340023Y000007790848-州本级公务用车运行维护费</w:t>
            </w:r>
          </w:p>
        </w:tc>
      </w:tr>
      <w:tr w14:paraId="793C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96" w:type="dxa"/>
          <w:wAfter w:w="58" w:type="dxa"/>
          <w:trHeight w:val="461" w:hRule="atLeast"/>
        </w:trPr>
        <w:tc>
          <w:tcPr>
            <w:tcW w:w="2400" w:type="dxa"/>
            <w:gridSpan w:val="10"/>
            <w:tcBorders>
              <w:top w:val="single" w:color="000000" w:sz="4" w:space="0"/>
              <w:left w:val="single" w:color="000000" w:sz="4" w:space="0"/>
              <w:bottom w:val="single" w:color="000000" w:sz="4" w:space="0"/>
              <w:right w:val="single" w:color="000000" w:sz="4" w:space="0"/>
            </w:tcBorders>
            <w:noWrap w:val="0"/>
            <w:vAlign w:val="center"/>
          </w:tcPr>
          <w:p w14:paraId="53CB71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主管部门</w:t>
            </w:r>
          </w:p>
        </w:tc>
        <w:tc>
          <w:tcPr>
            <w:tcW w:w="3760" w:type="dxa"/>
            <w:gridSpan w:val="24"/>
            <w:tcBorders>
              <w:top w:val="single" w:color="000000" w:sz="4" w:space="0"/>
              <w:left w:val="single" w:color="000000" w:sz="4" w:space="0"/>
              <w:bottom w:val="single" w:color="000000" w:sz="4" w:space="0"/>
              <w:right w:val="single" w:color="000000" w:sz="4" w:space="0"/>
            </w:tcBorders>
            <w:noWrap w:val="0"/>
            <w:vAlign w:val="center"/>
          </w:tcPr>
          <w:p w14:paraId="68CF72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凉山州科学技术协会部门</w:t>
            </w:r>
          </w:p>
        </w:tc>
        <w:tc>
          <w:tcPr>
            <w:tcW w:w="1200" w:type="dxa"/>
            <w:gridSpan w:val="8"/>
            <w:tcBorders>
              <w:top w:val="nil"/>
              <w:left w:val="nil"/>
              <w:bottom w:val="nil"/>
              <w:right w:val="nil"/>
            </w:tcBorders>
            <w:noWrap w:val="0"/>
            <w:vAlign w:val="center"/>
          </w:tcPr>
          <w:p w14:paraId="18DE47DC">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85" w:type="dxa"/>
            <w:gridSpan w:val="15"/>
            <w:tcBorders>
              <w:top w:val="single" w:color="000000" w:sz="4" w:space="0"/>
              <w:left w:val="single" w:color="000000" w:sz="4" w:space="0"/>
              <w:bottom w:val="single" w:color="000000" w:sz="4" w:space="0"/>
              <w:right w:val="single" w:color="000000" w:sz="4" w:space="0"/>
            </w:tcBorders>
            <w:noWrap w:val="0"/>
            <w:vAlign w:val="center"/>
          </w:tcPr>
          <w:p w14:paraId="348655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2BB3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330" w:hRule="atLeast"/>
        </w:trPr>
        <w:tc>
          <w:tcPr>
            <w:tcW w:w="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257F4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667"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14:paraId="498698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60" w:type="dxa"/>
            <w:gridSpan w:val="24"/>
            <w:tcBorders>
              <w:top w:val="single" w:color="000000" w:sz="4" w:space="0"/>
              <w:left w:val="single" w:color="000000" w:sz="4" w:space="0"/>
              <w:bottom w:val="single" w:color="000000" w:sz="4" w:space="0"/>
              <w:right w:val="single" w:color="000000" w:sz="4" w:space="0"/>
            </w:tcBorders>
            <w:noWrap w:val="0"/>
            <w:vAlign w:val="center"/>
          </w:tcPr>
          <w:p w14:paraId="6A1A48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43" w:type="dxa"/>
            <w:gridSpan w:val="24"/>
            <w:tcBorders>
              <w:top w:val="single" w:color="000000" w:sz="4" w:space="0"/>
              <w:left w:val="single" w:color="000000" w:sz="4" w:space="0"/>
              <w:bottom w:val="single" w:color="000000" w:sz="4" w:space="0"/>
              <w:right w:val="single" w:color="000000" w:sz="4" w:space="0"/>
            </w:tcBorders>
            <w:noWrap w:val="0"/>
            <w:vAlign w:val="center"/>
          </w:tcPr>
          <w:p w14:paraId="718CB4DA">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71A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560"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EB600D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7"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293E836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760" w:type="dxa"/>
            <w:gridSpan w:val="24"/>
            <w:tcBorders>
              <w:top w:val="single" w:color="000000" w:sz="4" w:space="0"/>
              <w:left w:val="single" w:color="000000" w:sz="4" w:space="0"/>
              <w:bottom w:val="single" w:color="000000" w:sz="4" w:space="0"/>
              <w:right w:val="single" w:color="000000" w:sz="4" w:space="0"/>
            </w:tcBorders>
            <w:noWrap w:val="0"/>
            <w:vAlign w:val="center"/>
          </w:tcPr>
          <w:p w14:paraId="43E5B2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043" w:type="dxa"/>
            <w:gridSpan w:val="24"/>
            <w:tcBorders>
              <w:top w:val="single" w:color="000000" w:sz="4" w:space="0"/>
              <w:left w:val="single" w:color="000000" w:sz="4" w:space="0"/>
              <w:bottom w:val="single" w:color="000000" w:sz="4" w:space="0"/>
              <w:right w:val="single" w:color="000000" w:sz="4" w:space="0"/>
            </w:tcBorders>
            <w:noWrap w:val="0"/>
            <w:vAlign w:val="center"/>
          </w:tcPr>
          <w:p w14:paraId="788E3A94">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r>
      <w:tr w14:paraId="1B5B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468"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2A47C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7" w:type="dxa"/>
            <w:gridSpan w:val="8"/>
            <w:tcBorders>
              <w:top w:val="single" w:color="000000" w:sz="4" w:space="0"/>
              <w:left w:val="single" w:color="000000" w:sz="4" w:space="0"/>
              <w:bottom w:val="single" w:color="000000" w:sz="4" w:space="0"/>
              <w:right w:val="single" w:color="000000" w:sz="4" w:space="0"/>
            </w:tcBorders>
            <w:noWrap w:val="0"/>
            <w:vAlign w:val="center"/>
          </w:tcPr>
          <w:p w14:paraId="6DF9DC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803" w:type="dxa"/>
            <w:gridSpan w:val="48"/>
            <w:tcBorders>
              <w:top w:val="single" w:color="000000" w:sz="4" w:space="0"/>
              <w:left w:val="single" w:color="000000" w:sz="4" w:space="0"/>
              <w:bottom w:val="single" w:color="000000" w:sz="4" w:space="0"/>
              <w:right w:val="single" w:color="000000" w:sz="4" w:space="0"/>
            </w:tcBorders>
            <w:noWrap w:val="0"/>
            <w:vAlign w:val="center"/>
          </w:tcPr>
          <w:p w14:paraId="51A279D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按照相关规定定额</w:t>
            </w:r>
            <w:r>
              <w:rPr>
                <w:rFonts w:hint="default" w:ascii="宋体" w:hAnsi="宋体" w:eastAsia="宋体" w:cs="宋体"/>
                <w:i w:val="0"/>
                <w:iCs w:val="0"/>
                <w:color w:val="000000"/>
                <w:kern w:val="0"/>
                <w:sz w:val="18"/>
                <w:szCs w:val="18"/>
                <w:u w:val="none"/>
                <w:lang w:val="en-US" w:eastAsia="zh-CN" w:bidi="ar"/>
              </w:rPr>
              <w:t>编制</w:t>
            </w:r>
            <w:r>
              <w:rPr>
                <w:rFonts w:hint="eastAsia" w:ascii="宋体" w:hAnsi="宋体" w:cs="宋体"/>
                <w:i w:val="0"/>
                <w:iCs w:val="0"/>
                <w:color w:val="000000"/>
                <w:kern w:val="0"/>
                <w:sz w:val="18"/>
                <w:szCs w:val="18"/>
                <w:u w:val="none"/>
                <w:lang w:val="en-US" w:eastAsia="zh-CN" w:bidi="ar"/>
              </w:rPr>
              <w:t>公务用车运行维护费</w:t>
            </w:r>
            <w:r>
              <w:rPr>
                <w:rFonts w:hint="default" w:ascii="宋体" w:hAnsi="宋体" w:eastAsia="宋体" w:cs="宋体"/>
                <w:i w:val="0"/>
                <w:iCs w:val="0"/>
                <w:color w:val="000000"/>
                <w:kern w:val="0"/>
                <w:sz w:val="18"/>
                <w:szCs w:val="18"/>
                <w:u w:val="none"/>
                <w:lang w:val="en-US" w:eastAsia="zh-CN" w:bidi="ar"/>
              </w:rPr>
              <w:t>预算，</w:t>
            </w:r>
            <w:r>
              <w:rPr>
                <w:rFonts w:hint="eastAsia" w:ascii="宋体" w:hAnsi="宋体" w:cs="宋体"/>
                <w:i w:val="0"/>
                <w:iCs w:val="0"/>
                <w:color w:val="000000"/>
                <w:kern w:val="0"/>
                <w:sz w:val="18"/>
                <w:szCs w:val="18"/>
                <w:u w:val="none"/>
                <w:lang w:val="en-US" w:eastAsia="zh-CN" w:bidi="ar"/>
              </w:rPr>
              <w:t>并</w:t>
            </w:r>
            <w:r>
              <w:rPr>
                <w:rFonts w:hint="default" w:ascii="宋体" w:hAnsi="宋体" w:eastAsia="宋体" w:cs="宋体"/>
                <w:i w:val="0"/>
                <w:iCs w:val="0"/>
                <w:color w:val="000000"/>
                <w:kern w:val="0"/>
                <w:sz w:val="18"/>
                <w:szCs w:val="18"/>
                <w:u w:val="none"/>
                <w:lang w:val="en-US" w:eastAsia="zh-CN" w:bidi="ar"/>
              </w:rPr>
              <w:t>严格执行，保障单位日常</w:t>
            </w:r>
            <w:r>
              <w:rPr>
                <w:rFonts w:hint="eastAsia" w:ascii="宋体" w:hAnsi="宋体" w:cs="宋体"/>
                <w:i w:val="0"/>
                <w:iCs w:val="0"/>
                <w:color w:val="000000"/>
                <w:kern w:val="0"/>
                <w:sz w:val="18"/>
                <w:szCs w:val="18"/>
                <w:u w:val="none"/>
                <w:lang w:val="en-US" w:eastAsia="zh-CN" w:bidi="ar"/>
              </w:rPr>
              <w:t>工作</w:t>
            </w:r>
            <w:r>
              <w:rPr>
                <w:rFonts w:hint="default" w:ascii="宋体" w:hAnsi="宋体" w:eastAsia="宋体" w:cs="宋体"/>
                <w:i w:val="0"/>
                <w:iCs w:val="0"/>
                <w:color w:val="000000"/>
                <w:kern w:val="0"/>
                <w:sz w:val="18"/>
                <w:szCs w:val="18"/>
                <w:u w:val="none"/>
                <w:lang w:val="en-US" w:eastAsia="zh-CN" w:bidi="ar"/>
              </w:rPr>
              <w:t>运转。</w:t>
            </w:r>
          </w:p>
        </w:tc>
      </w:tr>
      <w:tr w14:paraId="733A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651" w:hRule="atLeast"/>
        </w:trPr>
        <w:tc>
          <w:tcPr>
            <w:tcW w:w="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D0D11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667" w:type="dxa"/>
            <w:gridSpan w:val="8"/>
            <w:tcBorders>
              <w:top w:val="single" w:color="000000" w:sz="4" w:space="0"/>
              <w:left w:val="single" w:color="000000" w:sz="4" w:space="0"/>
              <w:bottom w:val="single" w:color="000000" w:sz="4" w:space="0"/>
              <w:right w:val="single" w:color="000000" w:sz="4" w:space="0"/>
            </w:tcBorders>
            <w:noWrap w:val="0"/>
            <w:vAlign w:val="center"/>
          </w:tcPr>
          <w:p w14:paraId="5E8945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097FCD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1AAC11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187" w:type="dxa"/>
            <w:gridSpan w:val="16"/>
            <w:tcBorders>
              <w:top w:val="single" w:color="000000" w:sz="4" w:space="0"/>
              <w:left w:val="single" w:color="000000" w:sz="4" w:space="0"/>
              <w:bottom w:val="single" w:color="000000" w:sz="4" w:space="0"/>
              <w:right w:val="single" w:color="000000" w:sz="4" w:space="0"/>
            </w:tcBorders>
            <w:noWrap w:val="0"/>
            <w:vAlign w:val="center"/>
          </w:tcPr>
          <w:p w14:paraId="643AFA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200" w:type="dxa"/>
            <w:gridSpan w:val="8"/>
            <w:tcBorders>
              <w:top w:val="single" w:color="000000" w:sz="4" w:space="0"/>
              <w:left w:val="single" w:color="000000" w:sz="4" w:space="0"/>
              <w:bottom w:val="single" w:color="000000" w:sz="4" w:space="0"/>
              <w:right w:val="single" w:color="000000" w:sz="4" w:space="0"/>
            </w:tcBorders>
            <w:noWrap w:val="0"/>
            <w:vAlign w:val="center"/>
          </w:tcPr>
          <w:p w14:paraId="16DA6D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6980F6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15B215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57" w:type="dxa"/>
            <w:gridSpan w:val="4"/>
            <w:tcBorders>
              <w:top w:val="single" w:color="000000" w:sz="4" w:space="0"/>
              <w:left w:val="single" w:color="000000" w:sz="4" w:space="0"/>
              <w:bottom w:val="single" w:color="000000" w:sz="4" w:space="0"/>
              <w:right w:val="single" w:color="000000" w:sz="4" w:space="0"/>
            </w:tcBorders>
            <w:noWrap w:val="0"/>
            <w:vAlign w:val="center"/>
          </w:tcPr>
          <w:p w14:paraId="4FC901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4A26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365"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16EA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7" w:type="dxa"/>
            <w:gridSpan w:val="8"/>
            <w:tcBorders>
              <w:top w:val="single" w:color="000000" w:sz="4" w:space="0"/>
              <w:left w:val="single" w:color="000000" w:sz="4" w:space="0"/>
              <w:bottom w:val="single" w:color="000000" w:sz="4" w:space="0"/>
              <w:right w:val="single" w:color="000000" w:sz="4" w:space="0"/>
            </w:tcBorders>
            <w:noWrap w:val="0"/>
            <w:vAlign w:val="center"/>
          </w:tcPr>
          <w:p w14:paraId="4851FC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26B46D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9.70</w:t>
            </w: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34F2D7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6.43</w:t>
            </w:r>
          </w:p>
        </w:tc>
        <w:tc>
          <w:tcPr>
            <w:tcW w:w="1187" w:type="dxa"/>
            <w:gridSpan w:val="16"/>
            <w:tcBorders>
              <w:top w:val="single" w:color="000000" w:sz="4" w:space="0"/>
              <w:left w:val="single" w:color="000000" w:sz="4" w:space="0"/>
              <w:bottom w:val="single" w:color="000000" w:sz="4" w:space="0"/>
              <w:right w:val="single" w:color="000000" w:sz="4" w:space="0"/>
            </w:tcBorders>
            <w:noWrap w:val="0"/>
            <w:vAlign w:val="center"/>
          </w:tcPr>
          <w:p w14:paraId="412949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6.43</w:t>
            </w:r>
          </w:p>
        </w:tc>
        <w:tc>
          <w:tcPr>
            <w:tcW w:w="1200" w:type="dxa"/>
            <w:gridSpan w:val="8"/>
            <w:tcBorders>
              <w:top w:val="single" w:color="000000" w:sz="4" w:space="0"/>
              <w:left w:val="single" w:color="000000" w:sz="4" w:space="0"/>
              <w:bottom w:val="single" w:color="000000" w:sz="4" w:space="0"/>
              <w:right w:val="single" w:color="000000" w:sz="4" w:space="0"/>
            </w:tcBorders>
            <w:noWrap w:val="0"/>
            <w:vAlign w:val="center"/>
          </w:tcPr>
          <w:p w14:paraId="4DDC6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40C182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57493E1B">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857"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42396D95">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历行节约、严格执行压减三公经费支出规定，将结余经费上缴财政。</w:t>
            </w:r>
          </w:p>
        </w:tc>
      </w:tr>
      <w:tr w14:paraId="54FC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411"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2110C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7" w:type="dxa"/>
            <w:gridSpan w:val="8"/>
            <w:tcBorders>
              <w:top w:val="single" w:color="000000" w:sz="4" w:space="0"/>
              <w:left w:val="single" w:color="000000" w:sz="4" w:space="0"/>
              <w:bottom w:val="single" w:color="000000" w:sz="4" w:space="0"/>
              <w:right w:val="single" w:color="000000" w:sz="4" w:space="0"/>
            </w:tcBorders>
            <w:noWrap w:val="0"/>
            <w:vAlign w:val="center"/>
          </w:tcPr>
          <w:p w14:paraId="528B4F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563871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9.70</w:t>
            </w: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09511D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6.43</w:t>
            </w:r>
          </w:p>
        </w:tc>
        <w:tc>
          <w:tcPr>
            <w:tcW w:w="1187" w:type="dxa"/>
            <w:gridSpan w:val="16"/>
            <w:tcBorders>
              <w:top w:val="single" w:color="000000" w:sz="4" w:space="0"/>
              <w:left w:val="single" w:color="000000" w:sz="4" w:space="0"/>
              <w:bottom w:val="single" w:color="000000" w:sz="4" w:space="0"/>
              <w:right w:val="single" w:color="000000" w:sz="4" w:space="0"/>
            </w:tcBorders>
            <w:noWrap w:val="0"/>
            <w:vAlign w:val="center"/>
          </w:tcPr>
          <w:p w14:paraId="4EA318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6.43</w:t>
            </w:r>
          </w:p>
        </w:tc>
        <w:tc>
          <w:tcPr>
            <w:tcW w:w="1200" w:type="dxa"/>
            <w:gridSpan w:val="8"/>
            <w:tcBorders>
              <w:top w:val="single" w:color="000000" w:sz="4" w:space="0"/>
              <w:left w:val="single" w:color="000000" w:sz="4" w:space="0"/>
              <w:bottom w:val="single" w:color="000000" w:sz="4" w:space="0"/>
              <w:right w:val="single" w:color="000000" w:sz="4" w:space="0"/>
            </w:tcBorders>
            <w:noWrap w:val="0"/>
            <w:vAlign w:val="center"/>
          </w:tcPr>
          <w:p w14:paraId="1BF4A4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17D4A1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05BFD5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5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7CB52F9">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D02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467"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D4E6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7" w:type="dxa"/>
            <w:gridSpan w:val="8"/>
            <w:tcBorders>
              <w:top w:val="single" w:color="000000" w:sz="4" w:space="0"/>
              <w:left w:val="single" w:color="000000" w:sz="4" w:space="0"/>
              <w:bottom w:val="single" w:color="000000" w:sz="4" w:space="0"/>
              <w:right w:val="single" w:color="000000" w:sz="4" w:space="0"/>
            </w:tcBorders>
            <w:noWrap w:val="0"/>
            <w:vAlign w:val="center"/>
          </w:tcPr>
          <w:p w14:paraId="792898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4AB444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71BCF7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87" w:type="dxa"/>
            <w:gridSpan w:val="16"/>
            <w:tcBorders>
              <w:top w:val="single" w:color="000000" w:sz="4" w:space="0"/>
              <w:left w:val="single" w:color="000000" w:sz="4" w:space="0"/>
              <w:bottom w:val="single" w:color="000000" w:sz="4" w:space="0"/>
              <w:right w:val="single" w:color="000000" w:sz="4" w:space="0"/>
            </w:tcBorders>
            <w:noWrap w:val="0"/>
            <w:vAlign w:val="center"/>
          </w:tcPr>
          <w:p w14:paraId="6AA28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0" w:type="dxa"/>
            <w:gridSpan w:val="8"/>
            <w:tcBorders>
              <w:top w:val="single" w:color="000000" w:sz="4" w:space="0"/>
              <w:left w:val="single" w:color="000000" w:sz="4" w:space="0"/>
              <w:bottom w:val="single" w:color="000000" w:sz="4" w:space="0"/>
              <w:right w:val="single" w:color="000000" w:sz="4" w:space="0"/>
            </w:tcBorders>
            <w:noWrap w:val="0"/>
            <w:vAlign w:val="center"/>
          </w:tcPr>
          <w:p w14:paraId="76A2EB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069963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2DD9D6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5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1C0A8C6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953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381"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D33A6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7" w:type="dxa"/>
            <w:gridSpan w:val="8"/>
            <w:tcBorders>
              <w:top w:val="single" w:color="000000" w:sz="4" w:space="0"/>
              <w:left w:val="single" w:color="000000" w:sz="4" w:space="0"/>
              <w:bottom w:val="single" w:color="000000" w:sz="4" w:space="0"/>
              <w:right w:val="single" w:color="000000" w:sz="4" w:space="0"/>
            </w:tcBorders>
            <w:noWrap w:val="0"/>
            <w:vAlign w:val="center"/>
          </w:tcPr>
          <w:p w14:paraId="363C0A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7F969E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201F09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87" w:type="dxa"/>
            <w:gridSpan w:val="16"/>
            <w:tcBorders>
              <w:top w:val="single" w:color="000000" w:sz="4" w:space="0"/>
              <w:left w:val="single" w:color="000000" w:sz="4" w:space="0"/>
              <w:bottom w:val="single" w:color="000000" w:sz="4" w:space="0"/>
              <w:right w:val="single" w:color="000000" w:sz="4" w:space="0"/>
            </w:tcBorders>
            <w:noWrap w:val="0"/>
            <w:vAlign w:val="center"/>
          </w:tcPr>
          <w:p w14:paraId="3AFD09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0" w:type="dxa"/>
            <w:gridSpan w:val="8"/>
            <w:tcBorders>
              <w:top w:val="single" w:color="000000" w:sz="4" w:space="0"/>
              <w:left w:val="single" w:color="000000" w:sz="4" w:space="0"/>
              <w:bottom w:val="single" w:color="000000" w:sz="4" w:space="0"/>
              <w:right w:val="single" w:color="000000" w:sz="4" w:space="0"/>
            </w:tcBorders>
            <w:noWrap w:val="0"/>
            <w:vAlign w:val="center"/>
          </w:tcPr>
          <w:p w14:paraId="38FE26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75F239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5762CA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5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BE2D2C9">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B14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388"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5EB4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7" w:type="dxa"/>
            <w:gridSpan w:val="8"/>
            <w:tcBorders>
              <w:top w:val="single" w:color="000000" w:sz="4" w:space="0"/>
              <w:left w:val="single" w:color="000000" w:sz="4" w:space="0"/>
              <w:bottom w:val="single" w:color="000000" w:sz="4" w:space="0"/>
              <w:right w:val="single" w:color="000000" w:sz="4" w:space="0"/>
            </w:tcBorders>
            <w:noWrap w:val="0"/>
            <w:vAlign w:val="center"/>
          </w:tcPr>
          <w:p w14:paraId="149C09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35A650B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3BD6BB8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187" w:type="dxa"/>
            <w:gridSpan w:val="16"/>
            <w:tcBorders>
              <w:top w:val="single" w:color="000000" w:sz="4" w:space="0"/>
              <w:left w:val="single" w:color="000000" w:sz="4" w:space="0"/>
              <w:bottom w:val="single" w:color="000000" w:sz="4" w:space="0"/>
              <w:right w:val="single" w:color="000000" w:sz="4" w:space="0"/>
            </w:tcBorders>
            <w:noWrap w:val="0"/>
            <w:vAlign w:val="center"/>
          </w:tcPr>
          <w:p w14:paraId="0452ECE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200" w:type="dxa"/>
            <w:gridSpan w:val="8"/>
            <w:tcBorders>
              <w:top w:val="single" w:color="000000" w:sz="4" w:space="0"/>
              <w:left w:val="single" w:color="000000" w:sz="4" w:space="0"/>
              <w:bottom w:val="single" w:color="000000" w:sz="4" w:space="0"/>
              <w:right w:val="single" w:color="000000" w:sz="4" w:space="0"/>
            </w:tcBorders>
            <w:noWrap w:val="0"/>
            <w:vAlign w:val="center"/>
          </w:tcPr>
          <w:p w14:paraId="1C5278E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35A588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6B0BC5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5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053EBB2D">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9AF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713" w:hRule="atLeast"/>
        </w:trPr>
        <w:tc>
          <w:tcPr>
            <w:tcW w:w="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B228E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667" w:type="dxa"/>
            <w:gridSpan w:val="8"/>
            <w:tcBorders>
              <w:top w:val="single" w:color="000000" w:sz="4" w:space="0"/>
              <w:left w:val="single" w:color="000000" w:sz="4" w:space="0"/>
              <w:bottom w:val="single" w:color="000000" w:sz="4" w:space="0"/>
              <w:right w:val="single" w:color="000000" w:sz="4" w:space="0"/>
            </w:tcBorders>
            <w:noWrap w:val="0"/>
            <w:vAlign w:val="center"/>
          </w:tcPr>
          <w:p w14:paraId="05490D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141FA1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322804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53" w:type="dxa"/>
            <w:gridSpan w:val="11"/>
            <w:tcBorders>
              <w:top w:val="single" w:color="000000" w:sz="4" w:space="0"/>
              <w:left w:val="single" w:color="000000" w:sz="4" w:space="0"/>
              <w:bottom w:val="single" w:color="000000" w:sz="4" w:space="0"/>
              <w:right w:val="single" w:color="000000" w:sz="4" w:space="0"/>
            </w:tcBorders>
            <w:noWrap w:val="0"/>
            <w:vAlign w:val="center"/>
          </w:tcPr>
          <w:p w14:paraId="4310EA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534" w:type="dxa"/>
            <w:gridSpan w:val="5"/>
            <w:tcBorders>
              <w:top w:val="single" w:color="000000" w:sz="4" w:space="0"/>
              <w:left w:val="single" w:color="000000" w:sz="4" w:space="0"/>
              <w:bottom w:val="single" w:color="000000" w:sz="4" w:space="0"/>
              <w:right w:val="single" w:color="000000" w:sz="4" w:space="0"/>
            </w:tcBorders>
            <w:noWrap w:val="0"/>
            <w:vAlign w:val="center"/>
          </w:tcPr>
          <w:p w14:paraId="4A1C03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66" w:type="dxa"/>
            <w:gridSpan w:val="5"/>
            <w:tcBorders>
              <w:top w:val="single" w:color="000000" w:sz="4" w:space="0"/>
              <w:left w:val="single" w:color="000000" w:sz="4" w:space="0"/>
              <w:bottom w:val="single" w:color="000000" w:sz="4" w:space="0"/>
              <w:right w:val="single" w:color="000000" w:sz="4" w:space="0"/>
            </w:tcBorders>
            <w:noWrap w:val="0"/>
            <w:vAlign w:val="center"/>
          </w:tcPr>
          <w:p w14:paraId="399711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534" w:type="dxa"/>
            <w:gridSpan w:val="3"/>
            <w:tcBorders>
              <w:top w:val="single" w:color="000000" w:sz="4" w:space="0"/>
              <w:left w:val="single" w:color="000000" w:sz="4" w:space="0"/>
              <w:bottom w:val="single" w:color="000000" w:sz="4" w:space="0"/>
              <w:right w:val="single" w:color="000000" w:sz="4" w:space="0"/>
            </w:tcBorders>
            <w:noWrap w:val="0"/>
            <w:vAlign w:val="center"/>
          </w:tcPr>
          <w:p w14:paraId="7F92B8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66BAB5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08A757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57" w:type="dxa"/>
            <w:gridSpan w:val="4"/>
            <w:tcBorders>
              <w:top w:val="single" w:color="000000" w:sz="4" w:space="0"/>
              <w:left w:val="single" w:color="000000" w:sz="4" w:space="0"/>
              <w:bottom w:val="single" w:color="000000" w:sz="4" w:space="0"/>
              <w:right w:val="single" w:color="000000" w:sz="4" w:space="0"/>
            </w:tcBorders>
            <w:noWrap w:val="0"/>
            <w:vAlign w:val="center"/>
          </w:tcPr>
          <w:p w14:paraId="779FBF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35D8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358"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7B280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7"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14:paraId="6826EC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0B1295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37BD54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653" w:type="dxa"/>
            <w:gridSpan w:val="11"/>
            <w:tcBorders>
              <w:top w:val="single" w:color="000000" w:sz="4" w:space="0"/>
              <w:left w:val="single" w:color="000000" w:sz="4" w:space="0"/>
              <w:bottom w:val="single" w:color="000000" w:sz="4" w:space="0"/>
              <w:right w:val="single" w:color="000000" w:sz="4" w:space="0"/>
            </w:tcBorders>
            <w:noWrap w:val="0"/>
            <w:vAlign w:val="center"/>
          </w:tcPr>
          <w:p w14:paraId="57E7D5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4" w:type="dxa"/>
            <w:gridSpan w:val="5"/>
            <w:tcBorders>
              <w:top w:val="single" w:color="000000" w:sz="4" w:space="0"/>
              <w:left w:val="single" w:color="000000" w:sz="4" w:space="0"/>
              <w:bottom w:val="single" w:color="000000" w:sz="4" w:space="0"/>
              <w:right w:val="single" w:color="000000" w:sz="4" w:space="0"/>
            </w:tcBorders>
            <w:noWrap w:val="0"/>
            <w:vAlign w:val="center"/>
          </w:tcPr>
          <w:p w14:paraId="10D5EE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666" w:type="dxa"/>
            <w:gridSpan w:val="5"/>
            <w:tcBorders>
              <w:top w:val="single" w:color="000000" w:sz="4" w:space="0"/>
              <w:left w:val="single" w:color="000000" w:sz="4" w:space="0"/>
              <w:bottom w:val="single" w:color="000000" w:sz="4" w:space="0"/>
              <w:right w:val="single" w:color="000000" w:sz="4" w:space="0"/>
            </w:tcBorders>
            <w:noWrap w:val="0"/>
            <w:vAlign w:val="center"/>
          </w:tcPr>
          <w:p w14:paraId="60F823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534" w:type="dxa"/>
            <w:gridSpan w:val="3"/>
            <w:tcBorders>
              <w:top w:val="single" w:color="000000" w:sz="4" w:space="0"/>
              <w:left w:val="single" w:color="000000" w:sz="4" w:space="0"/>
              <w:bottom w:val="single" w:color="000000" w:sz="4" w:space="0"/>
              <w:right w:val="single" w:color="000000" w:sz="4" w:space="0"/>
            </w:tcBorders>
            <w:noWrap w:val="0"/>
            <w:vAlign w:val="center"/>
          </w:tcPr>
          <w:p w14:paraId="093B38E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11F8F2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45CC9DA2">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857" w:type="dxa"/>
            <w:gridSpan w:val="4"/>
            <w:tcBorders>
              <w:top w:val="single" w:color="000000" w:sz="4" w:space="0"/>
              <w:left w:val="single" w:color="000000" w:sz="4" w:space="0"/>
              <w:bottom w:val="single" w:color="000000" w:sz="4" w:space="0"/>
              <w:right w:val="single" w:color="000000" w:sz="4" w:space="0"/>
            </w:tcBorders>
            <w:noWrap w:val="0"/>
            <w:vAlign w:val="center"/>
          </w:tcPr>
          <w:p w14:paraId="30C9A0B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CE6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1091"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6DB2E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7"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365E9B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059033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1B3F92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653" w:type="dxa"/>
            <w:gridSpan w:val="11"/>
            <w:tcBorders>
              <w:top w:val="single" w:color="000000" w:sz="4" w:space="0"/>
              <w:left w:val="single" w:color="000000" w:sz="4" w:space="0"/>
              <w:bottom w:val="single" w:color="000000" w:sz="4" w:space="0"/>
              <w:right w:val="single" w:color="000000" w:sz="4" w:space="0"/>
            </w:tcBorders>
            <w:noWrap w:val="0"/>
            <w:vAlign w:val="center"/>
          </w:tcPr>
          <w:p w14:paraId="5EC3A3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4" w:type="dxa"/>
            <w:gridSpan w:val="5"/>
            <w:tcBorders>
              <w:top w:val="single" w:color="000000" w:sz="4" w:space="0"/>
              <w:left w:val="single" w:color="000000" w:sz="4" w:space="0"/>
              <w:bottom w:val="single" w:color="000000" w:sz="4" w:space="0"/>
              <w:right w:val="single" w:color="000000" w:sz="4" w:space="0"/>
            </w:tcBorders>
            <w:noWrap w:val="0"/>
            <w:vAlign w:val="center"/>
          </w:tcPr>
          <w:p w14:paraId="4860A3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666" w:type="dxa"/>
            <w:gridSpan w:val="5"/>
            <w:tcBorders>
              <w:top w:val="single" w:color="000000" w:sz="4" w:space="0"/>
              <w:left w:val="single" w:color="000000" w:sz="4" w:space="0"/>
              <w:bottom w:val="single" w:color="000000" w:sz="4" w:space="0"/>
              <w:right w:val="single" w:color="000000" w:sz="4" w:space="0"/>
            </w:tcBorders>
            <w:noWrap w:val="0"/>
            <w:vAlign w:val="center"/>
          </w:tcPr>
          <w:p w14:paraId="589464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4" w:type="dxa"/>
            <w:gridSpan w:val="3"/>
            <w:tcBorders>
              <w:top w:val="single" w:color="000000" w:sz="4" w:space="0"/>
              <w:left w:val="single" w:color="000000" w:sz="4" w:space="0"/>
              <w:bottom w:val="single" w:color="000000" w:sz="4" w:space="0"/>
              <w:right w:val="single" w:color="000000" w:sz="4" w:space="0"/>
            </w:tcBorders>
            <w:noWrap w:val="0"/>
            <w:vAlign w:val="center"/>
          </w:tcPr>
          <w:p w14:paraId="1FF615C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5AF2DA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08A12494">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857" w:type="dxa"/>
            <w:gridSpan w:val="4"/>
            <w:tcBorders>
              <w:top w:val="single" w:color="000000" w:sz="4" w:space="0"/>
              <w:left w:val="single" w:color="000000" w:sz="4" w:space="0"/>
              <w:bottom w:val="single" w:color="000000" w:sz="4" w:space="0"/>
              <w:right w:val="single" w:color="000000" w:sz="4" w:space="0"/>
            </w:tcBorders>
            <w:noWrap w:val="0"/>
            <w:vAlign w:val="center"/>
          </w:tcPr>
          <w:p w14:paraId="5902E05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0AAD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1430"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DD0C1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7"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14:paraId="086E37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39BC5A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489069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653" w:type="dxa"/>
            <w:gridSpan w:val="11"/>
            <w:tcBorders>
              <w:top w:val="single" w:color="000000" w:sz="4" w:space="0"/>
              <w:left w:val="single" w:color="000000" w:sz="4" w:space="0"/>
              <w:bottom w:val="single" w:color="000000" w:sz="4" w:space="0"/>
              <w:right w:val="single" w:color="000000" w:sz="4" w:space="0"/>
            </w:tcBorders>
            <w:noWrap w:val="0"/>
            <w:vAlign w:val="center"/>
          </w:tcPr>
          <w:p w14:paraId="61FFC4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4" w:type="dxa"/>
            <w:gridSpan w:val="5"/>
            <w:tcBorders>
              <w:top w:val="single" w:color="000000" w:sz="4" w:space="0"/>
              <w:left w:val="single" w:color="000000" w:sz="4" w:space="0"/>
              <w:bottom w:val="single" w:color="000000" w:sz="4" w:space="0"/>
              <w:right w:val="single" w:color="000000" w:sz="4" w:space="0"/>
            </w:tcBorders>
            <w:noWrap w:val="0"/>
            <w:vAlign w:val="center"/>
          </w:tcPr>
          <w:p w14:paraId="36C925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5"/>
            <w:tcBorders>
              <w:top w:val="single" w:color="000000" w:sz="4" w:space="0"/>
              <w:left w:val="single" w:color="000000" w:sz="4" w:space="0"/>
              <w:bottom w:val="single" w:color="000000" w:sz="4" w:space="0"/>
              <w:right w:val="single" w:color="000000" w:sz="4" w:space="0"/>
            </w:tcBorders>
            <w:noWrap w:val="0"/>
            <w:vAlign w:val="center"/>
          </w:tcPr>
          <w:p w14:paraId="01598F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4" w:type="dxa"/>
            <w:gridSpan w:val="3"/>
            <w:tcBorders>
              <w:top w:val="single" w:color="000000" w:sz="4" w:space="0"/>
              <w:left w:val="single" w:color="000000" w:sz="4" w:space="0"/>
              <w:bottom w:val="single" w:color="000000" w:sz="4" w:space="0"/>
              <w:right w:val="single" w:color="000000" w:sz="4" w:space="0"/>
            </w:tcBorders>
            <w:noWrap w:val="0"/>
            <w:vAlign w:val="center"/>
          </w:tcPr>
          <w:p w14:paraId="68F1DE69">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7A2F91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15FE3404">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857" w:type="dxa"/>
            <w:gridSpan w:val="4"/>
            <w:tcBorders>
              <w:top w:val="single" w:color="000000" w:sz="4" w:space="0"/>
              <w:left w:val="single" w:color="000000" w:sz="4" w:space="0"/>
              <w:bottom w:val="single" w:color="000000" w:sz="4" w:space="0"/>
              <w:right w:val="single" w:color="000000" w:sz="4" w:space="0"/>
            </w:tcBorders>
            <w:noWrap w:val="0"/>
            <w:vAlign w:val="center"/>
          </w:tcPr>
          <w:p w14:paraId="1F367C9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D78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753" w:hRule="atLeast"/>
        </w:trPr>
        <w:tc>
          <w:tcPr>
            <w:tcW w:w="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CC66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7"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420596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46" w:type="dxa"/>
            <w:gridSpan w:val="2"/>
            <w:tcBorders>
              <w:top w:val="single" w:color="000000" w:sz="4" w:space="0"/>
              <w:left w:val="single" w:color="000000" w:sz="4" w:space="0"/>
              <w:bottom w:val="single" w:color="000000" w:sz="4" w:space="0"/>
              <w:right w:val="single" w:color="000000" w:sz="4" w:space="0"/>
            </w:tcBorders>
            <w:noWrap w:val="0"/>
            <w:vAlign w:val="center"/>
          </w:tcPr>
          <w:p w14:paraId="784E6E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827" w:type="dxa"/>
            <w:gridSpan w:val="6"/>
            <w:tcBorders>
              <w:top w:val="single" w:color="000000" w:sz="4" w:space="0"/>
              <w:left w:val="single" w:color="000000" w:sz="4" w:space="0"/>
              <w:bottom w:val="single" w:color="000000" w:sz="4" w:space="0"/>
              <w:right w:val="single" w:color="000000" w:sz="4" w:space="0"/>
            </w:tcBorders>
            <w:noWrap w:val="0"/>
            <w:vAlign w:val="center"/>
          </w:tcPr>
          <w:p w14:paraId="19F7CC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653" w:type="dxa"/>
            <w:gridSpan w:val="11"/>
            <w:tcBorders>
              <w:top w:val="single" w:color="000000" w:sz="4" w:space="0"/>
              <w:left w:val="single" w:color="000000" w:sz="4" w:space="0"/>
              <w:bottom w:val="single" w:color="000000" w:sz="4" w:space="0"/>
              <w:right w:val="single" w:color="000000" w:sz="4" w:space="0"/>
            </w:tcBorders>
            <w:noWrap w:val="0"/>
            <w:vAlign w:val="center"/>
          </w:tcPr>
          <w:p w14:paraId="4A028B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4" w:type="dxa"/>
            <w:gridSpan w:val="5"/>
            <w:tcBorders>
              <w:top w:val="single" w:color="000000" w:sz="4" w:space="0"/>
              <w:left w:val="single" w:color="000000" w:sz="4" w:space="0"/>
              <w:bottom w:val="single" w:color="000000" w:sz="4" w:space="0"/>
              <w:right w:val="single" w:color="000000" w:sz="4" w:space="0"/>
            </w:tcBorders>
            <w:noWrap w:val="0"/>
            <w:vAlign w:val="center"/>
          </w:tcPr>
          <w:p w14:paraId="46AFB0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5"/>
            <w:tcBorders>
              <w:top w:val="single" w:color="000000" w:sz="4" w:space="0"/>
              <w:left w:val="single" w:color="000000" w:sz="4" w:space="0"/>
              <w:bottom w:val="single" w:color="000000" w:sz="4" w:space="0"/>
              <w:right w:val="single" w:color="000000" w:sz="4" w:space="0"/>
            </w:tcBorders>
            <w:noWrap w:val="0"/>
            <w:vAlign w:val="center"/>
          </w:tcPr>
          <w:p w14:paraId="326888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4" w:type="dxa"/>
            <w:gridSpan w:val="3"/>
            <w:tcBorders>
              <w:top w:val="single" w:color="000000" w:sz="4" w:space="0"/>
              <w:left w:val="single" w:color="000000" w:sz="4" w:space="0"/>
              <w:bottom w:val="single" w:color="000000" w:sz="4" w:space="0"/>
              <w:right w:val="single" w:color="000000" w:sz="4" w:space="0"/>
            </w:tcBorders>
            <w:noWrap w:val="0"/>
            <w:vAlign w:val="center"/>
          </w:tcPr>
          <w:p w14:paraId="6FB0F174">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2AB350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7515EEEB">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857" w:type="dxa"/>
            <w:gridSpan w:val="4"/>
            <w:tcBorders>
              <w:top w:val="single" w:color="000000" w:sz="4" w:space="0"/>
              <w:left w:val="single" w:color="000000" w:sz="4" w:space="0"/>
              <w:bottom w:val="single" w:color="000000" w:sz="4" w:space="0"/>
              <w:right w:val="single" w:color="000000" w:sz="4" w:space="0"/>
            </w:tcBorders>
            <w:noWrap w:val="0"/>
            <w:vAlign w:val="center"/>
          </w:tcPr>
          <w:p w14:paraId="0815F30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F90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330" w:hRule="atLeast"/>
        </w:trPr>
        <w:tc>
          <w:tcPr>
            <w:tcW w:w="7360" w:type="dxa"/>
            <w:gridSpan w:val="42"/>
            <w:tcBorders>
              <w:top w:val="single" w:color="000000" w:sz="4" w:space="0"/>
              <w:left w:val="single" w:color="000000" w:sz="4" w:space="0"/>
              <w:bottom w:val="single" w:color="000000" w:sz="4" w:space="0"/>
              <w:right w:val="single" w:color="000000" w:sz="4" w:space="0"/>
            </w:tcBorders>
            <w:noWrap w:val="0"/>
            <w:vAlign w:val="center"/>
          </w:tcPr>
          <w:p w14:paraId="3C0639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99" w:type="dxa"/>
            <w:gridSpan w:val="5"/>
            <w:tcBorders>
              <w:top w:val="single" w:color="000000" w:sz="4" w:space="0"/>
              <w:left w:val="single" w:color="000000" w:sz="4" w:space="0"/>
              <w:bottom w:val="single" w:color="000000" w:sz="4" w:space="0"/>
              <w:right w:val="single" w:color="000000" w:sz="4" w:space="0"/>
            </w:tcBorders>
            <w:noWrap w:val="0"/>
            <w:vAlign w:val="center"/>
          </w:tcPr>
          <w:p w14:paraId="7591B1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7" w:type="dxa"/>
            <w:gridSpan w:val="7"/>
            <w:tcBorders>
              <w:top w:val="single" w:color="000000" w:sz="4" w:space="0"/>
              <w:left w:val="single" w:color="000000" w:sz="4" w:space="0"/>
              <w:bottom w:val="single" w:color="000000" w:sz="4" w:space="0"/>
              <w:right w:val="single" w:color="000000" w:sz="4" w:space="0"/>
            </w:tcBorders>
            <w:noWrap w:val="0"/>
            <w:vAlign w:val="center"/>
          </w:tcPr>
          <w:p w14:paraId="70A88EAF">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857" w:type="dxa"/>
            <w:gridSpan w:val="4"/>
            <w:tcBorders>
              <w:top w:val="single" w:color="000000" w:sz="4" w:space="0"/>
              <w:left w:val="single" w:color="000000" w:sz="4" w:space="0"/>
              <w:bottom w:val="single" w:color="000000" w:sz="4" w:space="0"/>
              <w:right w:val="single" w:color="000000" w:sz="4" w:space="0"/>
            </w:tcBorders>
            <w:noWrap w:val="0"/>
            <w:vAlign w:val="center"/>
          </w:tcPr>
          <w:p w14:paraId="2619917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5637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90" w:hRule="atLeast"/>
        </w:trPr>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14:paraId="75107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i w:val="0"/>
                <w:iCs w:val="0"/>
                <w:color w:val="000000"/>
                <w:sz w:val="18"/>
                <w:szCs w:val="18"/>
                <w:u w:val="none"/>
              </w:rPr>
            </w:pPr>
            <w:r>
              <w:rPr>
                <w:rFonts w:hint="default"/>
                <w:sz w:val="18"/>
                <w:szCs w:val="18"/>
              </w:rPr>
              <w:t>评价结论</w:t>
            </w:r>
          </w:p>
        </w:tc>
        <w:tc>
          <w:tcPr>
            <w:tcW w:w="9470" w:type="dxa"/>
            <w:gridSpan w:val="56"/>
            <w:tcBorders>
              <w:top w:val="single" w:color="000000" w:sz="4" w:space="0"/>
              <w:left w:val="single" w:color="000000" w:sz="4" w:space="0"/>
              <w:bottom w:val="single" w:color="000000" w:sz="4" w:space="0"/>
              <w:right w:val="single" w:color="000000" w:sz="4" w:space="0"/>
            </w:tcBorders>
            <w:noWrap w:val="0"/>
            <w:vAlign w:val="center"/>
          </w:tcPr>
          <w:p w14:paraId="6D1F0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微软雅黑" w:hAnsi="微软雅黑" w:eastAsia="微软雅黑" w:cs="微软雅黑"/>
                <w:i/>
                <w:iCs/>
                <w:color w:val="000000"/>
                <w:sz w:val="16"/>
                <w:szCs w:val="16"/>
                <w:u w:val="none"/>
              </w:rPr>
            </w:pPr>
            <w:r>
              <w:rPr>
                <w:rFonts w:hint="eastAsia"/>
                <w:sz w:val="18"/>
                <w:szCs w:val="18"/>
              </w:rPr>
              <w:t>严格执行预算，定额公用经费按照“总量控制、计划管理”的要求</w:t>
            </w:r>
            <w:r>
              <w:rPr>
                <w:rFonts w:hint="eastAsia"/>
                <w:sz w:val="18"/>
                <w:szCs w:val="18"/>
                <w:lang w:eastAsia="zh-CN"/>
              </w:rPr>
              <w:t>和</w:t>
            </w:r>
            <w:r>
              <w:rPr>
                <w:rFonts w:hint="eastAsia"/>
                <w:sz w:val="18"/>
                <w:szCs w:val="18"/>
              </w:rPr>
              <w:t>厉行节约从严控制</w:t>
            </w:r>
            <w:r>
              <w:rPr>
                <w:rFonts w:hint="eastAsia"/>
                <w:sz w:val="18"/>
                <w:szCs w:val="18"/>
                <w:lang w:eastAsia="zh-CN"/>
              </w:rPr>
              <w:t>三公经费</w:t>
            </w:r>
            <w:r>
              <w:rPr>
                <w:rFonts w:hint="eastAsia"/>
                <w:sz w:val="18"/>
                <w:szCs w:val="18"/>
              </w:rPr>
              <w:t>。及时申请支用保障单位日常运转。从产出、效益、满意度指标等进行了以上打分，预算执行率100%，执行情况良好，自评得分100分。</w:t>
            </w:r>
          </w:p>
        </w:tc>
      </w:tr>
      <w:tr w14:paraId="110C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217" w:hRule="atLeast"/>
        </w:trPr>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14:paraId="1B15B9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i w:val="0"/>
                <w:iCs w:val="0"/>
                <w:color w:val="000000"/>
                <w:sz w:val="18"/>
                <w:szCs w:val="18"/>
                <w:u w:val="none"/>
              </w:rPr>
            </w:pPr>
            <w:r>
              <w:rPr>
                <w:rFonts w:hint="default"/>
                <w:sz w:val="18"/>
                <w:szCs w:val="18"/>
              </w:rPr>
              <w:t>存在问</w:t>
            </w:r>
            <w:r>
              <w:rPr>
                <w:rFonts w:hint="eastAsia"/>
                <w:sz w:val="18"/>
                <w:szCs w:val="18"/>
                <w:lang w:val="en-US" w:eastAsia="zh-CN"/>
              </w:rPr>
              <w:t xml:space="preserve"> </w:t>
            </w:r>
            <w:r>
              <w:rPr>
                <w:rFonts w:hint="default"/>
                <w:sz w:val="18"/>
                <w:szCs w:val="18"/>
              </w:rPr>
              <w:t>题</w:t>
            </w:r>
          </w:p>
        </w:tc>
        <w:tc>
          <w:tcPr>
            <w:tcW w:w="9470" w:type="dxa"/>
            <w:gridSpan w:val="56"/>
            <w:tcBorders>
              <w:top w:val="single" w:color="000000" w:sz="4" w:space="0"/>
              <w:left w:val="single" w:color="000000" w:sz="4" w:space="0"/>
              <w:bottom w:val="single" w:color="000000" w:sz="4" w:space="0"/>
              <w:right w:val="single" w:color="000000" w:sz="4" w:space="0"/>
            </w:tcBorders>
            <w:noWrap w:val="0"/>
            <w:vAlign w:val="center"/>
          </w:tcPr>
          <w:p w14:paraId="380D0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微软雅黑" w:hAnsi="微软雅黑" w:eastAsia="微软雅黑" w:cs="微软雅黑"/>
                <w:i/>
                <w:iCs/>
                <w:color w:val="000000"/>
                <w:sz w:val="16"/>
                <w:szCs w:val="16"/>
                <w:u w:val="none"/>
              </w:rPr>
            </w:pPr>
            <w:r>
              <w:rPr>
                <w:rFonts w:hint="eastAsia"/>
                <w:sz w:val="18"/>
                <w:szCs w:val="18"/>
              </w:rPr>
              <w:t>无</w:t>
            </w:r>
          </w:p>
        </w:tc>
      </w:tr>
      <w:tr w14:paraId="2DD5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270" w:hRule="atLeast"/>
        </w:trPr>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14:paraId="6A7B9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i w:val="0"/>
                <w:iCs w:val="0"/>
                <w:color w:val="000000"/>
                <w:sz w:val="18"/>
                <w:szCs w:val="18"/>
                <w:u w:val="none"/>
              </w:rPr>
            </w:pPr>
            <w:r>
              <w:rPr>
                <w:rFonts w:hint="default"/>
                <w:sz w:val="18"/>
                <w:szCs w:val="18"/>
              </w:rPr>
              <w:t>改进措</w:t>
            </w:r>
            <w:r>
              <w:rPr>
                <w:rFonts w:hint="eastAsia"/>
                <w:sz w:val="18"/>
                <w:szCs w:val="18"/>
                <w:lang w:val="en-US" w:eastAsia="zh-CN"/>
              </w:rPr>
              <w:t xml:space="preserve"> </w:t>
            </w:r>
            <w:r>
              <w:rPr>
                <w:rFonts w:hint="default"/>
                <w:sz w:val="18"/>
                <w:szCs w:val="18"/>
              </w:rPr>
              <w:t>施</w:t>
            </w:r>
          </w:p>
        </w:tc>
        <w:tc>
          <w:tcPr>
            <w:tcW w:w="9470" w:type="dxa"/>
            <w:gridSpan w:val="56"/>
            <w:tcBorders>
              <w:top w:val="single" w:color="000000" w:sz="4" w:space="0"/>
              <w:left w:val="single" w:color="000000" w:sz="4" w:space="0"/>
              <w:bottom w:val="single" w:color="000000" w:sz="4" w:space="0"/>
              <w:right w:val="single" w:color="000000" w:sz="4" w:space="0"/>
            </w:tcBorders>
            <w:noWrap w:val="0"/>
            <w:vAlign w:val="center"/>
          </w:tcPr>
          <w:p w14:paraId="429296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微软雅黑" w:hAnsi="微软雅黑" w:eastAsia="微软雅黑" w:cs="微软雅黑"/>
                <w:i/>
                <w:iCs/>
                <w:color w:val="000000"/>
                <w:sz w:val="16"/>
                <w:szCs w:val="16"/>
                <w:u w:val="none"/>
              </w:rPr>
            </w:pPr>
            <w:r>
              <w:rPr>
                <w:rFonts w:hint="eastAsia"/>
                <w:sz w:val="18"/>
                <w:szCs w:val="18"/>
              </w:rPr>
              <w:t>无</w:t>
            </w:r>
          </w:p>
        </w:tc>
      </w:tr>
      <w:tr w14:paraId="7D05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96" w:type="dxa"/>
          <w:trHeight w:val="423" w:hRule="atLeast"/>
        </w:trPr>
        <w:tc>
          <w:tcPr>
            <w:tcW w:w="5128" w:type="dxa"/>
            <w:gridSpan w:val="21"/>
            <w:tcBorders>
              <w:top w:val="single" w:color="000000" w:sz="4" w:space="0"/>
              <w:left w:val="single" w:color="000000" w:sz="4" w:space="0"/>
              <w:bottom w:val="single" w:color="000000" w:sz="4" w:space="0"/>
              <w:right w:val="single" w:color="000000" w:sz="4" w:space="0"/>
            </w:tcBorders>
            <w:noWrap w:val="0"/>
            <w:vAlign w:val="center"/>
          </w:tcPr>
          <w:p w14:paraId="203D8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i w:val="0"/>
                <w:iCs w:val="0"/>
                <w:color w:val="000000"/>
                <w:sz w:val="18"/>
                <w:szCs w:val="18"/>
                <w:u w:val="none"/>
              </w:rPr>
            </w:pPr>
            <w:r>
              <w:rPr>
                <w:rFonts w:hint="eastAsia"/>
                <w:sz w:val="18"/>
                <w:szCs w:val="18"/>
              </w:rPr>
              <w:t>项目负责人：张舒雁</w:t>
            </w:r>
          </w:p>
        </w:tc>
        <w:tc>
          <w:tcPr>
            <w:tcW w:w="5075" w:type="dxa"/>
            <w:gridSpan w:val="37"/>
            <w:tcBorders>
              <w:top w:val="single" w:color="000000" w:sz="4" w:space="0"/>
              <w:left w:val="single" w:color="000000" w:sz="4" w:space="0"/>
              <w:bottom w:val="single" w:color="000000" w:sz="4" w:space="0"/>
              <w:right w:val="single" w:color="000000" w:sz="4" w:space="0"/>
            </w:tcBorders>
            <w:noWrap w:val="0"/>
            <w:vAlign w:val="center"/>
          </w:tcPr>
          <w:p w14:paraId="7B281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i w:val="0"/>
                <w:iCs w:val="0"/>
                <w:color w:val="000000"/>
                <w:sz w:val="18"/>
                <w:szCs w:val="18"/>
                <w:u w:val="none"/>
              </w:rPr>
            </w:pPr>
            <w:r>
              <w:rPr>
                <w:rFonts w:hint="eastAsia"/>
                <w:sz w:val="18"/>
                <w:szCs w:val="18"/>
              </w:rPr>
              <w:t>财务负责人：毛正华</w:t>
            </w:r>
          </w:p>
        </w:tc>
      </w:tr>
      <w:tr w14:paraId="6CA732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650" w:hRule="atLeast"/>
        </w:trPr>
        <w:tc>
          <w:tcPr>
            <w:tcW w:w="10203"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14:paraId="39767F11">
            <w:pPr>
              <w:keepNext w:val="0"/>
              <w:keepLines w:val="0"/>
              <w:suppressLineNumbers w:val="0"/>
              <w:spacing w:before="0" w:beforeAutospacing="0" w:after="0" w:afterAutospacing="0" w:line="240" w:lineRule="exact"/>
              <w:ind w:left="0" w:right="0"/>
              <w:jc w:val="both"/>
              <w:rPr>
                <w:rFonts w:hint="eastAsia" w:ascii="黑体" w:hAnsi="宋体" w:eastAsia="黑体" w:cs="宋体"/>
                <w:b/>
                <w:bCs/>
                <w:color w:val="000000"/>
                <w:sz w:val="24"/>
                <w:szCs w:val="24"/>
              </w:rPr>
            </w:pPr>
          </w:p>
          <w:p w14:paraId="5A800050">
            <w:pPr>
              <w:keepNext w:val="0"/>
              <w:keepLines w:val="0"/>
              <w:suppressLineNumbers w:val="0"/>
              <w:spacing w:before="0" w:beforeAutospacing="0" w:after="0" w:afterAutospacing="0" w:line="240" w:lineRule="exact"/>
              <w:ind w:left="0" w:right="0"/>
              <w:jc w:val="center"/>
              <w:rPr>
                <w:rFonts w:hint="default" w:ascii="黑体" w:hAnsi="宋体" w:eastAsia="黑体" w:cs="宋体"/>
                <w:b/>
                <w:bCs/>
                <w:color w:val="000000"/>
                <w:sz w:val="30"/>
                <w:szCs w:val="30"/>
              </w:rPr>
            </w:pPr>
            <w:r>
              <w:rPr>
                <w:rFonts w:hint="eastAsia" w:ascii="黑体" w:hAnsi="宋体" w:eastAsia="黑体" w:cs="宋体"/>
                <w:b/>
                <w:bCs/>
                <w:color w:val="000000"/>
                <w:sz w:val="24"/>
                <w:szCs w:val="24"/>
              </w:rPr>
              <w:t>部门预算项目支出绩效自评表（2023年度）</w:t>
            </w:r>
          </w:p>
        </w:tc>
      </w:tr>
      <w:tr w14:paraId="159EA6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234" w:hRule="atLeast"/>
        </w:trPr>
        <w:tc>
          <w:tcPr>
            <w:tcW w:w="17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6F28B8">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8"/>
                <w:szCs w:val="18"/>
              </w:rPr>
            </w:pPr>
            <w:r>
              <w:rPr>
                <w:rFonts w:hint="eastAsia" w:ascii="宋体" w:hAnsi="宋体" w:eastAsia="宋体" w:cs="宋体"/>
                <w:color w:val="000000"/>
                <w:sz w:val="18"/>
                <w:szCs w:val="18"/>
              </w:rPr>
              <w:t>项目名称</w:t>
            </w:r>
          </w:p>
        </w:tc>
        <w:tc>
          <w:tcPr>
            <w:tcW w:w="8492" w:type="dxa"/>
            <w:gridSpan w:val="52"/>
            <w:tcBorders>
              <w:top w:val="single" w:color="000000" w:sz="4" w:space="0"/>
              <w:left w:val="nil"/>
              <w:bottom w:val="single" w:color="000000" w:sz="4" w:space="0"/>
              <w:right w:val="single" w:color="000000" w:sz="4" w:space="0"/>
            </w:tcBorders>
            <w:shd w:val="clear" w:color="auto" w:fill="auto"/>
            <w:vAlign w:val="center"/>
          </w:tcPr>
          <w:p w14:paraId="208D029F">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8"/>
                <w:szCs w:val="18"/>
              </w:rPr>
            </w:pPr>
            <w:r>
              <w:rPr>
                <w:rFonts w:hint="eastAsia" w:ascii="宋体" w:hAnsi="宋体" w:eastAsia="宋体" w:cs="宋体"/>
                <w:color w:val="000000"/>
                <w:sz w:val="18"/>
                <w:szCs w:val="18"/>
              </w:rPr>
              <w:t>51340022T000000278908-凉山州级科普专项经费</w:t>
            </w:r>
          </w:p>
        </w:tc>
      </w:tr>
      <w:tr w14:paraId="2A99C5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wAfter w:w="0" w:type="auto"/>
          <w:trHeight w:val="420" w:hRule="atLeast"/>
        </w:trPr>
        <w:tc>
          <w:tcPr>
            <w:tcW w:w="17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11F4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color w:val="000000"/>
                <w:sz w:val="18"/>
                <w:szCs w:val="18"/>
              </w:rPr>
            </w:pPr>
            <w:r>
              <w:rPr>
                <w:rFonts w:hint="eastAsia" w:ascii="宋体" w:hAnsi="宋体" w:eastAsia="宋体" w:cs="宋体"/>
                <w:color w:val="000000"/>
                <w:sz w:val="18"/>
                <w:szCs w:val="18"/>
              </w:rPr>
              <w:t>主管部门</w:t>
            </w:r>
          </w:p>
        </w:tc>
        <w:tc>
          <w:tcPr>
            <w:tcW w:w="4927" w:type="dxa"/>
            <w:gridSpan w:val="32"/>
            <w:tcBorders>
              <w:top w:val="single" w:color="000000" w:sz="4" w:space="0"/>
              <w:left w:val="nil"/>
              <w:bottom w:val="single" w:color="000000" w:sz="4" w:space="0"/>
              <w:right w:val="single" w:color="000000" w:sz="4" w:space="0"/>
            </w:tcBorders>
            <w:shd w:val="clear" w:color="auto" w:fill="auto"/>
            <w:vAlign w:val="center"/>
          </w:tcPr>
          <w:p w14:paraId="3F378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color w:val="000000"/>
                <w:sz w:val="18"/>
                <w:szCs w:val="18"/>
              </w:rPr>
            </w:pPr>
            <w:r>
              <w:rPr>
                <w:rFonts w:hint="eastAsia" w:ascii="宋体" w:hAnsi="宋体" w:eastAsia="宋体" w:cs="宋体"/>
                <w:color w:val="000000"/>
                <w:sz w:val="18"/>
                <w:szCs w:val="18"/>
              </w:rPr>
              <w:t>凉山州科学技术协会部门</w:t>
            </w:r>
          </w:p>
        </w:tc>
        <w:tc>
          <w:tcPr>
            <w:tcW w:w="12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9C80CB">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8"/>
                <w:szCs w:val="18"/>
              </w:rPr>
            </w:pPr>
            <w:r>
              <w:rPr>
                <w:rFonts w:hint="eastAsia" w:ascii="宋体" w:hAnsi="宋体" w:eastAsia="宋体" w:cs="宋体"/>
                <w:color w:val="000000"/>
                <w:sz w:val="18"/>
                <w:szCs w:val="18"/>
              </w:rPr>
              <w:t>实施单位</w:t>
            </w:r>
            <w:r>
              <w:rPr>
                <w:rFonts w:hint="default" w:ascii="宋体" w:hAnsi="宋体" w:eastAsia="宋体" w:cs="宋体"/>
                <w:color w:val="000000"/>
                <w:sz w:val="18"/>
                <w:szCs w:val="18"/>
              </w:rPr>
              <w:t xml:space="preserve"> </w:t>
            </w:r>
            <w:r>
              <w:rPr>
                <w:rFonts w:hint="eastAsia" w:ascii="宋体" w:hAnsi="宋体" w:eastAsia="宋体" w:cs="宋体"/>
                <w:color w:val="000000"/>
                <w:sz w:val="18"/>
                <w:szCs w:val="18"/>
              </w:rPr>
              <w:t>（盖章）</w:t>
            </w:r>
          </w:p>
        </w:tc>
        <w:tc>
          <w:tcPr>
            <w:tcW w:w="22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AE9A5D">
            <w:pPr>
              <w:keepNext w:val="0"/>
              <w:keepLines w:val="0"/>
              <w:suppressLineNumbers w:val="0"/>
              <w:spacing w:before="0" w:beforeAutospacing="0" w:after="0" w:afterAutospacing="0" w:line="180"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凉山州科学技术协会</w:t>
            </w:r>
          </w:p>
        </w:tc>
      </w:tr>
      <w:tr w14:paraId="63B8D4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299" w:hRule="atLeast"/>
        </w:trPr>
        <w:tc>
          <w:tcPr>
            <w:tcW w:w="804"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58B6C086">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5"/>
                <w:szCs w:val="15"/>
              </w:rPr>
            </w:pPr>
            <w:r>
              <w:rPr>
                <w:rFonts w:hint="eastAsia" w:ascii="宋体" w:hAnsi="宋体" w:eastAsia="宋体" w:cs="宋体"/>
                <w:color w:val="000000"/>
                <w:sz w:val="15"/>
                <w:szCs w:val="15"/>
              </w:rPr>
              <w:t>项目基本情况</w:t>
            </w:r>
          </w:p>
        </w:tc>
        <w:tc>
          <w:tcPr>
            <w:tcW w:w="907"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471193A">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5"/>
                <w:szCs w:val="15"/>
              </w:rPr>
            </w:pPr>
            <w:r>
              <w:rPr>
                <w:rFonts w:hint="eastAsia" w:ascii="宋体" w:hAnsi="宋体" w:eastAsia="宋体" w:cs="宋体"/>
                <w:color w:val="000000"/>
                <w:sz w:val="15"/>
                <w:szCs w:val="15"/>
              </w:rPr>
              <w:t>1.项目年度目标完成情况</w:t>
            </w:r>
          </w:p>
        </w:tc>
        <w:tc>
          <w:tcPr>
            <w:tcW w:w="4927" w:type="dxa"/>
            <w:gridSpan w:val="32"/>
            <w:tcBorders>
              <w:top w:val="single" w:color="000000" w:sz="4" w:space="0"/>
              <w:left w:val="nil"/>
              <w:bottom w:val="single" w:color="000000" w:sz="4" w:space="0"/>
              <w:right w:val="single" w:color="000000" w:sz="4" w:space="0"/>
            </w:tcBorders>
            <w:shd w:val="clear" w:color="auto" w:fill="auto"/>
            <w:vAlign w:val="center"/>
          </w:tcPr>
          <w:p w14:paraId="6856B84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8"/>
                <w:szCs w:val="18"/>
              </w:rPr>
            </w:pPr>
            <w:r>
              <w:rPr>
                <w:rFonts w:hint="eastAsia" w:ascii="宋体" w:hAnsi="宋体" w:eastAsia="宋体" w:cs="宋体"/>
                <w:color w:val="000000"/>
                <w:sz w:val="18"/>
                <w:szCs w:val="18"/>
              </w:rPr>
              <w:t>项目年度目标</w:t>
            </w:r>
          </w:p>
        </w:tc>
        <w:tc>
          <w:tcPr>
            <w:tcW w:w="3565" w:type="dxa"/>
            <w:gridSpan w:val="20"/>
            <w:tcBorders>
              <w:top w:val="single" w:color="000000" w:sz="4" w:space="0"/>
              <w:left w:val="nil"/>
              <w:bottom w:val="single" w:color="000000" w:sz="4" w:space="0"/>
              <w:right w:val="single" w:color="000000" w:sz="4" w:space="0"/>
            </w:tcBorders>
            <w:shd w:val="clear" w:color="auto" w:fill="auto"/>
            <w:vAlign w:val="center"/>
          </w:tcPr>
          <w:p w14:paraId="51425BAE">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5"/>
                <w:szCs w:val="15"/>
              </w:rPr>
            </w:pPr>
            <w:r>
              <w:rPr>
                <w:rFonts w:hint="eastAsia" w:ascii="宋体" w:hAnsi="宋体" w:eastAsia="宋体" w:cs="宋体"/>
                <w:color w:val="000000"/>
                <w:sz w:val="15"/>
                <w:szCs w:val="15"/>
              </w:rPr>
              <w:t>年度目标完成情况</w:t>
            </w:r>
          </w:p>
        </w:tc>
      </w:tr>
      <w:tr w14:paraId="208A62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2160"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EF0A204">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90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49475EC">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4927" w:type="dxa"/>
            <w:gridSpan w:val="32"/>
            <w:tcBorders>
              <w:top w:val="single" w:color="000000" w:sz="4" w:space="0"/>
              <w:left w:val="nil"/>
              <w:bottom w:val="single" w:color="000000" w:sz="4" w:space="0"/>
              <w:right w:val="single" w:color="000000" w:sz="4" w:space="0"/>
            </w:tcBorders>
            <w:shd w:val="clear" w:color="auto" w:fill="auto"/>
            <w:vAlign w:val="center"/>
          </w:tcPr>
          <w:p w14:paraId="4AA48E0F">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8"/>
                <w:szCs w:val="18"/>
              </w:rPr>
            </w:pPr>
            <w:r>
              <w:rPr>
                <w:rFonts w:hint="eastAsia" w:ascii="宋体" w:hAnsi="宋体" w:eastAsia="宋体" w:cs="宋体"/>
                <w:color w:val="000000"/>
                <w:sz w:val="18"/>
                <w:szCs w:val="18"/>
              </w:rPr>
              <w:t>依</w:t>
            </w:r>
            <w:r>
              <w:rPr>
                <w:rFonts w:hint="eastAsia" w:ascii="宋体" w:hAnsi="宋体" w:eastAsia="宋体" w:cs="宋体"/>
                <w:color w:val="000000"/>
                <w:sz w:val="15"/>
                <w:szCs w:val="15"/>
              </w:rPr>
              <w:t>据州委州政府和省科协下达的年度重点工作任务，围绕省科协“天府科技云”重点项目，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社区等开展科普活动，开展农技协科普、巩固脱贫成果有效衔接乡村振兴各项工作，更好为凉山经济社会发展服务。</w:t>
            </w:r>
          </w:p>
        </w:tc>
        <w:tc>
          <w:tcPr>
            <w:tcW w:w="3565" w:type="dxa"/>
            <w:gridSpan w:val="20"/>
            <w:tcBorders>
              <w:top w:val="single" w:color="000000" w:sz="4" w:space="0"/>
              <w:left w:val="nil"/>
              <w:bottom w:val="single" w:color="000000" w:sz="4" w:space="0"/>
              <w:right w:val="single" w:color="000000" w:sz="4" w:space="0"/>
            </w:tcBorders>
            <w:shd w:val="clear" w:color="auto" w:fill="auto"/>
            <w:vAlign w:val="center"/>
          </w:tcPr>
          <w:p w14:paraId="40B80284">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5"/>
                <w:szCs w:val="15"/>
              </w:rPr>
            </w:pPr>
            <w:r>
              <w:rPr>
                <w:rFonts w:hint="eastAsia" w:ascii="宋体" w:hAnsi="宋体" w:eastAsia="宋体" w:cs="宋体"/>
                <w:color w:val="000000"/>
                <w:sz w:val="15"/>
                <w:szCs w:val="15"/>
              </w:rPr>
              <w:t>2023年度完成了围绕省科协“天府科技云”重点项目，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社区等开展科普活动，开展农技协科普、巩固脱贫成果有效衔接乡村振兴各项工作，更好为凉山经济社会发展服务。</w:t>
            </w:r>
          </w:p>
        </w:tc>
      </w:tr>
      <w:tr w14:paraId="01FC22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1067"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B285050">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907" w:type="dxa"/>
            <w:gridSpan w:val="3"/>
            <w:tcBorders>
              <w:top w:val="nil"/>
              <w:left w:val="nil"/>
              <w:bottom w:val="single" w:color="000000" w:sz="4" w:space="0"/>
              <w:right w:val="single" w:color="000000" w:sz="4" w:space="0"/>
            </w:tcBorders>
            <w:shd w:val="clear" w:color="auto" w:fill="auto"/>
            <w:vAlign w:val="center"/>
          </w:tcPr>
          <w:p w14:paraId="2017628C">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5"/>
                <w:szCs w:val="15"/>
              </w:rPr>
            </w:pPr>
            <w:r>
              <w:rPr>
                <w:rFonts w:hint="eastAsia" w:ascii="宋体" w:hAnsi="宋体" w:eastAsia="宋体" w:cs="宋体"/>
                <w:color w:val="000000"/>
                <w:sz w:val="15"/>
                <w:szCs w:val="15"/>
              </w:rPr>
              <w:t>2.项目实施内容及过程概述</w:t>
            </w:r>
          </w:p>
        </w:tc>
        <w:tc>
          <w:tcPr>
            <w:tcW w:w="8492" w:type="dxa"/>
            <w:gridSpan w:val="52"/>
            <w:tcBorders>
              <w:top w:val="single" w:color="000000" w:sz="4" w:space="0"/>
              <w:left w:val="nil"/>
              <w:bottom w:val="single" w:color="000000" w:sz="4" w:space="0"/>
              <w:right w:val="single" w:color="000000" w:sz="4" w:space="0"/>
            </w:tcBorders>
            <w:shd w:val="clear" w:color="auto" w:fill="auto"/>
            <w:vAlign w:val="center"/>
          </w:tcPr>
          <w:p w14:paraId="5E56D0BC">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8"/>
                <w:szCs w:val="18"/>
              </w:rPr>
            </w:pPr>
            <w:r>
              <w:rPr>
                <w:rFonts w:hint="eastAsia" w:ascii="宋体" w:hAnsi="宋体" w:eastAsia="宋体" w:cs="宋体"/>
                <w:color w:val="000000"/>
                <w:sz w:val="18"/>
                <w:szCs w:val="18"/>
              </w:rPr>
              <w:t>　</w:t>
            </w:r>
            <w:r>
              <w:rPr>
                <w:rFonts w:hint="eastAsia" w:ascii="宋体" w:hAnsi="宋体" w:eastAsia="宋体" w:cs="宋体"/>
                <w:color w:val="000000"/>
                <w:sz w:val="15"/>
                <w:szCs w:val="15"/>
              </w:rPr>
              <w:t>2023年度围绕省科协“天府科技云”重点项目，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社区等开展科普活动，开展农技协科普、巩固脱贫成果有效衔接乡村振兴各项工作，更好为凉山经济社会发展服务。</w:t>
            </w:r>
          </w:p>
        </w:tc>
      </w:tr>
      <w:tr w14:paraId="6D3A72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375" w:hRule="atLeast"/>
        </w:trPr>
        <w:tc>
          <w:tcPr>
            <w:tcW w:w="804"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DE6FEF8">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预算执行情况（10分）</w:t>
            </w:r>
          </w:p>
        </w:tc>
        <w:tc>
          <w:tcPr>
            <w:tcW w:w="907" w:type="dxa"/>
            <w:gridSpan w:val="3"/>
            <w:tcBorders>
              <w:top w:val="nil"/>
              <w:left w:val="nil"/>
              <w:bottom w:val="single" w:color="000000" w:sz="4" w:space="0"/>
              <w:right w:val="single" w:color="000000" w:sz="4" w:space="0"/>
            </w:tcBorders>
            <w:shd w:val="clear" w:color="auto" w:fill="auto"/>
            <w:vAlign w:val="center"/>
          </w:tcPr>
          <w:p w14:paraId="4744EE27">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年度预算数（万元）</w:t>
            </w:r>
          </w:p>
        </w:tc>
        <w:tc>
          <w:tcPr>
            <w:tcW w:w="788" w:type="dxa"/>
            <w:gridSpan w:val="5"/>
            <w:tcBorders>
              <w:top w:val="nil"/>
              <w:left w:val="nil"/>
              <w:bottom w:val="single" w:color="000000" w:sz="4" w:space="0"/>
              <w:right w:val="single" w:color="000000" w:sz="4" w:space="0"/>
            </w:tcBorders>
            <w:shd w:val="clear" w:color="auto" w:fill="auto"/>
            <w:vAlign w:val="center"/>
          </w:tcPr>
          <w:p w14:paraId="055DDA03">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年初预算</w:t>
            </w:r>
          </w:p>
        </w:tc>
        <w:tc>
          <w:tcPr>
            <w:tcW w:w="2200" w:type="dxa"/>
            <w:gridSpan w:val="6"/>
            <w:tcBorders>
              <w:top w:val="nil"/>
              <w:left w:val="nil"/>
              <w:bottom w:val="single" w:color="000000" w:sz="4" w:space="0"/>
              <w:right w:val="single" w:color="000000" w:sz="4" w:space="0"/>
            </w:tcBorders>
            <w:shd w:val="clear" w:color="auto" w:fill="auto"/>
            <w:vAlign w:val="center"/>
          </w:tcPr>
          <w:p w14:paraId="09CE6EC3">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调整后预算数</w:t>
            </w:r>
          </w:p>
        </w:tc>
        <w:tc>
          <w:tcPr>
            <w:tcW w:w="1939" w:type="dxa"/>
            <w:gridSpan w:val="21"/>
            <w:tcBorders>
              <w:top w:val="single" w:color="000000" w:sz="4" w:space="0"/>
              <w:left w:val="nil"/>
              <w:bottom w:val="single" w:color="000000" w:sz="4" w:space="0"/>
              <w:right w:val="single" w:color="000000" w:sz="4" w:space="0"/>
            </w:tcBorders>
            <w:shd w:val="clear" w:color="auto" w:fill="auto"/>
            <w:vAlign w:val="center"/>
          </w:tcPr>
          <w:p w14:paraId="04A518A5">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预算执行数</w:t>
            </w:r>
          </w:p>
        </w:tc>
        <w:tc>
          <w:tcPr>
            <w:tcW w:w="900" w:type="dxa"/>
            <w:gridSpan w:val="7"/>
            <w:tcBorders>
              <w:top w:val="nil"/>
              <w:left w:val="nil"/>
              <w:bottom w:val="single" w:color="000000" w:sz="4" w:space="0"/>
              <w:right w:val="single" w:color="000000" w:sz="4" w:space="0"/>
            </w:tcBorders>
            <w:shd w:val="clear" w:color="auto" w:fill="auto"/>
            <w:vAlign w:val="center"/>
          </w:tcPr>
          <w:p w14:paraId="20BC9636">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预算执行率</w:t>
            </w:r>
          </w:p>
        </w:tc>
        <w:tc>
          <w:tcPr>
            <w:tcW w:w="588" w:type="dxa"/>
            <w:gridSpan w:val="6"/>
            <w:tcBorders>
              <w:top w:val="nil"/>
              <w:left w:val="nil"/>
              <w:bottom w:val="single" w:color="000000" w:sz="4" w:space="0"/>
              <w:right w:val="single" w:color="000000" w:sz="4" w:space="0"/>
            </w:tcBorders>
            <w:shd w:val="clear" w:color="auto" w:fill="auto"/>
            <w:vAlign w:val="center"/>
          </w:tcPr>
          <w:p w14:paraId="331BD575">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权重</w:t>
            </w:r>
          </w:p>
        </w:tc>
        <w:tc>
          <w:tcPr>
            <w:tcW w:w="369" w:type="dxa"/>
            <w:gridSpan w:val="4"/>
            <w:tcBorders>
              <w:top w:val="nil"/>
              <w:left w:val="nil"/>
              <w:bottom w:val="single" w:color="000000" w:sz="4" w:space="0"/>
              <w:right w:val="single" w:color="000000" w:sz="4" w:space="0"/>
            </w:tcBorders>
            <w:shd w:val="clear" w:color="auto" w:fill="auto"/>
            <w:vAlign w:val="center"/>
          </w:tcPr>
          <w:p w14:paraId="3E475F6F">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得分</w:t>
            </w:r>
          </w:p>
        </w:tc>
        <w:tc>
          <w:tcPr>
            <w:tcW w:w="1708" w:type="dxa"/>
            <w:gridSpan w:val="3"/>
            <w:tcBorders>
              <w:top w:val="nil"/>
              <w:left w:val="nil"/>
              <w:bottom w:val="single" w:color="000000" w:sz="4" w:space="0"/>
              <w:right w:val="single" w:color="000000" w:sz="4" w:space="0"/>
            </w:tcBorders>
            <w:shd w:val="clear" w:color="auto" w:fill="auto"/>
            <w:vAlign w:val="center"/>
          </w:tcPr>
          <w:p w14:paraId="6606457E">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原因</w:t>
            </w:r>
          </w:p>
        </w:tc>
      </w:tr>
      <w:tr w14:paraId="486B08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242"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CE271A0">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907" w:type="dxa"/>
            <w:gridSpan w:val="3"/>
            <w:tcBorders>
              <w:top w:val="nil"/>
              <w:left w:val="nil"/>
              <w:bottom w:val="single" w:color="000000" w:sz="4" w:space="0"/>
              <w:right w:val="single" w:color="000000" w:sz="4" w:space="0"/>
            </w:tcBorders>
            <w:shd w:val="clear" w:color="auto" w:fill="auto"/>
            <w:vAlign w:val="center"/>
          </w:tcPr>
          <w:p w14:paraId="75542956">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总额</w:t>
            </w:r>
          </w:p>
        </w:tc>
        <w:tc>
          <w:tcPr>
            <w:tcW w:w="788" w:type="dxa"/>
            <w:gridSpan w:val="5"/>
            <w:tcBorders>
              <w:top w:val="nil"/>
              <w:left w:val="nil"/>
              <w:bottom w:val="single" w:color="000000" w:sz="4" w:space="0"/>
              <w:right w:val="single" w:color="000000" w:sz="4" w:space="0"/>
            </w:tcBorders>
            <w:shd w:val="clear" w:color="auto" w:fill="auto"/>
            <w:vAlign w:val="center"/>
          </w:tcPr>
          <w:p w14:paraId="3BD2E9F9">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160.00</w:t>
            </w:r>
          </w:p>
        </w:tc>
        <w:tc>
          <w:tcPr>
            <w:tcW w:w="2200" w:type="dxa"/>
            <w:gridSpan w:val="6"/>
            <w:tcBorders>
              <w:top w:val="nil"/>
              <w:left w:val="nil"/>
              <w:bottom w:val="single" w:color="000000" w:sz="4" w:space="0"/>
              <w:right w:val="single" w:color="000000" w:sz="4" w:space="0"/>
            </w:tcBorders>
            <w:shd w:val="clear" w:color="auto" w:fill="auto"/>
            <w:vAlign w:val="center"/>
          </w:tcPr>
          <w:p w14:paraId="43A59650">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148.00</w:t>
            </w:r>
          </w:p>
        </w:tc>
        <w:tc>
          <w:tcPr>
            <w:tcW w:w="1939" w:type="dxa"/>
            <w:gridSpan w:val="21"/>
            <w:tcBorders>
              <w:top w:val="single" w:color="000000" w:sz="4" w:space="0"/>
              <w:left w:val="nil"/>
              <w:bottom w:val="single" w:color="000000" w:sz="4" w:space="0"/>
              <w:right w:val="single" w:color="000000" w:sz="4" w:space="0"/>
            </w:tcBorders>
            <w:shd w:val="clear" w:color="auto" w:fill="auto"/>
            <w:vAlign w:val="center"/>
          </w:tcPr>
          <w:p w14:paraId="20C6715C">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148.00</w:t>
            </w:r>
          </w:p>
        </w:tc>
        <w:tc>
          <w:tcPr>
            <w:tcW w:w="900" w:type="dxa"/>
            <w:gridSpan w:val="7"/>
            <w:tcBorders>
              <w:top w:val="nil"/>
              <w:left w:val="nil"/>
              <w:bottom w:val="single" w:color="000000" w:sz="4" w:space="0"/>
              <w:right w:val="single" w:color="000000" w:sz="4" w:space="0"/>
            </w:tcBorders>
            <w:shd w:val="clear" w:color="auto" w:fill="auto"/>
            <w:vAlign w:val="center"/>
          </w:tcPr>
          <w:p w14:paraId="0B7C795C">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100.00%</w:t>
            </w:r>
          </w:p>
        </w:tc>
        <w:tc>
          <w:tcPr>
            <w:tcW w:w="588" w:type="dxa"/>
            <w:gridSpan w:val="6"/>
            <w:tcBorders>
              <w:top w:val="nil"/>
              <w:left w:val="nil"/>
              <w:bottom w:val="single" w:color="000000" w:sz="4" w:space="0"/>
              <w:right w:val="single" w:color="000000" w:sz="4" w:space="0"/>
            </w:tcBorders>
            <w:shd w:val="clear" w:color="auto" w:fill="auto"/>
            <w:vAlign w:val="center"/>
          </w:tcPr>
          <w:p w14:paraId="74299F43">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w:t>
            </w:r>
          </w:p>
        </w:tc>
        <w:tc>
          <w:tcPr>
            <w:tcW w:w="369" w:type="dxa"/>
            <w:gridSpan w:val="4"/>
            <w:tcBorders>
              <w:top w:val="nil"/>
              <w:left w:val="nil"/>
              <w:bottom w:val="single" w:color="000000" w:sz="4" w:space="0"/>
              <w:right w:val="single" w:color="000000" w:sz="4" w:space="0"/>
            </w:tcBorders>
            <w:shd w:val="clear" w:color="auto" w:fill="auto"/>
            <w:vAlign w:val="center"/>
          </w:tcPr>
          <w:p w14:paraId="4DAB1878">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　10</w:t>
            </w:r>
          </w:p>
        </w:tc>
        <w:tc>
          <w:tcPr>
            <w:tcW w:w="17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344A9F28">
            <w:pPr>
              <w:keepNext w:val="0"/>
              <w:keepLines w:val="0"/>
              <w:suppressLineNumbers w:val="0"/>
              <w:spacing w:before="0" w:beforeAutospacing="0" w:after="0" w:afterAutospacing="0" w:line="160" w:lineRule="exact"/>
              <w:ind w:left="0" w:right="0"/>
              <w:rPr>
                <w:rFonts w:hint="default" w:ascii="Courier New" w:hAnsi="Courier New" w:cs="Courier New"/>
                <w:i/>
                <w:iCs/>
                <w:color w:val="000000"/>
                <w:sz w:val="15"/>
                <w:szCs w:val="15"/>
              </w:rPr>
            </w:pPr>
            <w:r>
              <w:rPr>
                <w:rFonts w:hint="default" w:ascii="Courier New" w:hAnsi="Courier New" w:eastAsia="宋体" w:cs="Courier New"/>
                <w:i/>
                <w:iCs/>
                <w:color w:val="000000"/>
                <w:sz w:val="15"/>
                <w:szCs w:val="15"/>
              </w:rPr>
              <w:t>1.</w:t>
            </w:r>
            <w:r>
              <w:rPr>
                <w:rFonts w:hint="eastAsia" w:ascii="Courier New" w:hAnsi="Courier New" w:eastAsia="宋体" w:cs="Courier New"/>
                <w:i/>
                <w:iCs/>
                <w:color w:val="000000"/>
                <w:sz w:val="15"/>
                <w:szCs w:val="15"/>
              </w:rPr>
              <w:t>预算执行率</w:t>
            </w:r>
            <w:r>
              <w:rPr>
                <w:rFonts w:hint="default" w:ascii="Courier New" w:hAnsi="Courier New" w:eastAsia="宋体" w:cs="Courier New"/>
                <w:i/>
                <w:iCs/>
                <w:color w:val="000000"/>
                <w:sz w:val="15"/>
                <w:szCs w:val="15"/>
              </w:rPr>
              <w:t>=</w:t>
            </w:r>
            <w:r>
              <w:rPr>
                <w:rFonts w:hint="eastAsia" w:ascii="Courier New" w:hAnsi="Courier New" w:eastAsia="宋体" w:cs="Courier New"/>
                <w:i/>
                <w:iCs/>
                <w:color w:val="000000"/>
                <w:sz w:val="15"/>
                <w:szCs w:val="15"/>
              </w:rPr>
              <w:t>预算执行数</w:t>
            </w:r>
            <w:r>
              <w:rPr>
                <w:rFonts w:hint="default" w:ascii="Courier New" w:hAnsi="Courier New" w:eastAsia="宋体" w:cs="Courier New"/>
                <w:i/>
                <w:iCs/>
                <w:color w:val="000000"/>
                <w:sz w:val="15"/>
                <w:szCs w:val="15"/>
              </w:rPr>
              <w:t>/</w:t>
            </w:r>
            <w:r>
              <w:rPr>
                <w:rFonts w:hint="eastAsia" w:ascii="Courier New" w:hAnsi="Courier New" w:eastAsia="宋体" w:cs="Courier New"/>
                <w:i/>
                <w:iCs/>
                <w:color w:val="000000"/>
                <w:sz w:val="15"/>
                <w:szCs w:val="15"/>
              </w:rPr>
              <w:t>调整后预算数，预算执行率未达到</w:t>
            </w:r>
            <w:r>
              <w:rPr>
                <w:rFonts w:hint="default" w:ascii="Courier New" w:hAnsi="Courier New" w:eastAsia="宋体" w:cs="Courier New"/>
                <w:i/>
                <w:iCs/>
                <w:color w:val="000000"/>
                <w:sz w:val="15"/>
                <w:szCs w:val="15"/>
              </w:rPr>
              <w:t>90%</w:t>
            </w:r>
            <w:r>
              <w:rPr>
                <w:rFonts w:hint="eastAsia" w:ascii="Courier New" w:hAnsi="Courier New" w:eastAsia="宋体" w:cs="Courier New"/>
                <w:i/>
                <w:iCs/>
                <w:color w:val="000000"/>
                <w:sz w:val="15"/>
                <w:szCs w:val="15"/>
              </w:rPr>
              <w:t>的需说明原因（</w:t>
            </w:r>
            <w:r>
              <w:rPr>
                <w:rFonts w:hint="default" w:ascii="Courier New" w:hAnsi="Courier New" w:eastAsia="宋体" w:cs="Courier New"/>
                <w:i/>
                <w:iCs/>
                <w:color w:val="000000"/>
                <w:sz w:val="15"/>
                <w:szCs w:val="15"/>
              </w:rPr>
              <w:t>100</w:t>
            </w:r>
            <w:r>
              <w:rPr>
                <w:rFonts w:hint="eastAsia" w:ascii="Courier New" w:hAnsi="Courier New" w:eastAsia="宋体" w:cs="Courier New"/>
                <w:i/>
                <w:iCs/>
                <w:color w:val="000000"/>
                <w:sz w:val="15"/>
                <w:szCs w:val="15"/>
              </w:rPr>
              <w:t>字以内）</w:t>
            </w:r>
            <w:r>
              <w:rPr>
                <w:rFonts w:hint="default" w:ascii="Courier New" w:hAnsi="Courier New" w:eastAsia="宋体" w:cs="Courier New"/>
                <w:i/>
                <w:iCs/>
                <w:color w:val="000000"/>
                <w:sz w:val="15"/>
                <w:szCs w:val="15"/>
              </w:rPr>
              <w:t>;2.</w:t>
            </w:r>
            <w:r>
              <w:rPr>
                <w:rFonts w:hint="eastAsia" w:ascii="Courier New" w:hAnsi="Courier New" w:eastAsia="宋体" w:cs="Courier New"/>
                <w:i/>
                <w:iCs/>
                <w:color w:val="000000"/>
                <w:sz w:val="15"/>
                <w:szCs w:val="15"/>
              </w:rPr>
              <w:t>年中发生预算调整的（追加或调减）</w:t>
            </w:r>
            <w:r>
              <w:rPr>
                <w:rFonts w:hint="default" w:ascii="Courier New" w:hAnsi="Courier New" w:eastAsia="宋体" w:cs="Courier New"/>
                <w:i/>
                <w:iCs/>
                <w:color w:val="000000"/>
                <w:sz w:val="15"/>
                <w:szCs w:val="15"/>
              </w:rPr>
              <w:t>,</w:t>
            </w:r>
            <w:r>
              <w:rPr>
                <w:rFonts w:hint="eastAsia" w:ascii="Courier New" w:hAnsi="Courier New" w:eastAsia="宋体" w:cs="Courier New"/>
                <w:i/>
                <w:iCs/>
                <w:color w:val="000000"/>
                <w:sz w:val="15"/>
                <w:szCs w:val="15"/>
              </w:rPr>
              <w:t>应单独说明理由；</w:t>
            </w:r>
            <w:r>
              <w:rPr>
                <w:rFonts w:hint="default" w:ascii="Courier New" w:hAnsi="Courier New" w:eastAsia="宋体" w:cs="Courier New"/>
                <w:i/>
                <w:iCs/>
                <w:color w:val="000000"/>
                <w:sz w:val="15"/>
                <w:szCs w:val="15"/>
              </w:rPr>
              <w:t>3.</w:t>
            </w:r>
            <w:r>
              <w:rPr>
                <w:rFonts w:hint="eastAsia" w:ascii="Courier New" w:hAnsi="Courier New" w:eastAsia="宋体" w:cs="Courier New"/>
                <w:i/>
                <w:iCs/>
                <w:color w:val="000000"/>
                <w:sz w:val="15"/>
                <w:szCs w:val="15"/>
              </w:rPr>
              <w:t>其他资金包括：社会投入资金、银行贷款</w:t>
            </w:r>
            <w:r>
              <w:rPr>
                <w:rFonts w:hint="default" w:ascii="Courier New" w:hAnsi="Courier New" w:eastAsia="宋体" w:cs="Courier New"/>
                <w:i/>
                <w:iCs/>
                <w:color w:val="000000"/>
                <w:sz w:val="15"/>
                <w:szCs w:val="15"/>
              </w:rPr>
              <w:t>.</w:t>
            </w:r>
          </w:p>
        </w:tc>
      </w:tr>
      <w:tr w14:paraId="61C269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233"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ACE666B">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907" w:type="dxa"/>
            <w:gridSpan w:val="3"/>
            <w:tcBorders>
              <w:top w:val="nil"/>
              <w:left w:val="nil"/>
              <w:bottom w:val="single" w:color="000000" w:sz="4" w:space="0"/>
              <w:right w:val="single" w:color="000000" w:sz="4" w:space="0"/>
            </w:tcBorders>
            <w:shd w:val="clear" w:color="auto" w:fill="auto"/>
            <w:vAlign w:val="center"/>
          </w:tcPr>
          <w:p w14:paraId="47FB94EA">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其中：财政资金</w:t>
            </w:r>
          </w:p>
        </w:tc>
        <w:tc>
          <w:tcPr>
            <w:tcW w:w="788" w:type="dxa"/>
            <w:gridSpan w:val="5"/>
            <w:tcBorders>
              <w:top w:val="nil"/>
              <w:left w:val="nil"/>
              <w:bottom w:val="single" w:color="000000" w:sz="4" w:space="0"/>
              <w:right w:val="single" w:color="000000" w:sz="4" w:space="0"/>
            </w:tcBorders>
            <w:shd w:val="clear" w:color="auto" w:fill="auto"/>
            <w:vAlign w:val="center"/>
          </w:tcPr>
          <w:p w14:paraId="49898231">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160.00</w:t>
            </w:r>
          </w:p>
        </w:tc>
        <w:tc>
          <w:tcPr>
            <w:tcW w:w="2200" w:type="dxa"/>
            <w:gridSpan w:val="6"/>
            <w:tcBorders>
              <w:top w:val="nil"/>
              <w:left w:val="nil"/>
              <w:bottom w:val="single" w:color="000000" w:sz="4" w:space="0"/>
              <w:right w:val="single" w:color="000000" w:sz="4" w:space="0"/>
            </w:tcBorders>
            <w:shd w:val="clear" w:color="auto" w:fill="auto"/>
            <w:vAlign w:val="center"/>
          </w:tcPr>
          <w:p w14:paraId="61027690">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148.00</w:t>
            </w:r>
          </w:p>
        </w:tc>
        <w:tc>
          <w:tcPr>
            <w:tcW w:w="1939" w:type="dxa"/>
            <w:gridSpan w:val="21"/>
            <w:tcBorders>
              <w:top w:val="single" w:color="000000" w:sz="4" w:space="0"/>
              <w:left w:val="nil"/>
              <w:bottom w:val="single" w:color="000000" w:sz="4" w:space="0"/>
              <w:right w:val="single" w:color="000000" w:sz="4" w:space="0"/>
            </w:tcBorders>
            <w:shd w:val="clear" w:color="auto" w:fill="auto"/>
            <w:vAlign w:val="center"/>
          </w:tcPr>
          <w:p w14:paraId="1A543E0B">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148.00</w:t>
            </w:r>
          </w:p>
        </w:tc>
        <w:tc>
          <w:tcPr>
            <w:tcW w:w="900" w:type="dxa"/>
            <w:gridSpan w:val="7"/>
            <w:tcBorders>
              <w:top w:val="nil"/>
              <w:left w:val="nil"/>
              <w:bottom w:val="single" w:color="000000" w:sz="4" w:space="0"/>
              <w:right w:val="single" w:color="000000" w:sz="4" w:space="0"/>
            </w:tcBorders>
            <w:shd w:val="clear" w:color="auto" w:fill="auto"/>
            <w:vAlign w:val="center"/>
          </w:tcPr>
          <w:p w14:paraId="26BC5F37">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100.00%</w:t>
            </w:r>
          </w:p>
        </w:tc>
        <w:tc>
          <w:tcPr>
            <w:tcW w:w="588" w:type="dxa"/>
            <w:gridSpan w:val="6"/>
            <w:tcBorders>
              <w:top w:val="nil"/>
              <w:left w:val="nil"/>
              <w:bottom w:val="single" w:color="000000" w:sz="4" w:space="0"/>
              <w:right w:val="single" w:color="000000" w:sz="4" w:space="0"/>
            </w:tcBorders>
            <w:shd w:val="clear" w:color="auto" w:fill="auto"/>
            <w:vAlign w:val="center"/>
          </w:tcPr>
          <w:p w14:paraId="6CC03F91">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369" w:type="dxa"/>
            <w:gridSpan w:val="4"/>
            <w:tcBorders>
              <w:top w:val="nil"/>
              <w:left w:val="nil"/>
              <w:bottom w:val="single" w:color="000000" w:sz="4" w:space="0"/>
              <w:right w:val="single" w:color="000000" w:sz="4" w:space="0"/>
            </w:tcBorders>
            <w:shd w:val="clear" w:color="auto" w:fill="auto"/>
            <w:vAlign w:val="center"/>
          </w:tcPr>
          <w:p w14:paraId="55B07AA0">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17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C27056E">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r>
      <w:tr w14:paraId="19CF06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161"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7133B909">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907" w:type="dxa"/>
            <w:gridSpan w:val="3"/>
            <w:tcBorders>
              <w:top w:val="nil"/>
              <w:left w:val="nil"/>
              <w:bottom w:val="single" w:color="000000" w:sz="4" w:space="0"/>
              <w:right w:val="single" w:color="000000" w:sz="4" w:space="0"/>
            </w:tcBorders>
            <w:shd w:val="clear" w:color="auto" w:fill="auto"/>
            <w:vAlign w:val="center"/>
          </w:tcPr>
          <w:p w14:paraId="40E632E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财政专户管理资金</w:t>
            </w:r>
          </w:p>
        </w:tc>
        <w:tc>
          <w:tcPr>
            <w:tcW w:w="788" w:type="dxa"/>
            <w:gridSpan w:val="5"/>
            <w:tcBorders>
              <w:top w:val="nil"/>
              <w:left w:val="nil"/>
              <w:bottom w:val="single" w:color="000000" w:sz="4" w:space="0"/>
              <w:right w:val="single" w:color="000000" w:sz="4" w:space="0"/>
            </w:tcBorders>
            <w:shd w:val="clear" w:color="auto" w:fill="auto"/>
            <w:vAlign w:val="center"/>
          </w:tcPr>
          <w:p w14:paraId="3CD0C8B6">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0.00</w:t>
            </w:r>
          </w:p>
        </w:tc>
        <w:tc>
          <w:tcPr>
            <w:tcW w:w="2200" w:type="dxa"/>
            <w:gridSpan w:val="6"/>
            <w:tcBorders>
              <w:top w:val="nil"/>
              <w:left w:val="nil"/>
              <w:bottom w:val="single" w:color="000000" w:sz="4" w:space="0"/>
              <w:right w:val="single" w:color="000000" w:sz="4" w:space="0"/>
            </w:tcBorders>
            <w:shd w:val="clear" w:color="auto" w:fill="auto"/>
            <w:vAlign w:val="center"/>
          </w:tcPr>
          <w:p w14:paraId="13480AF9">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0.00</w:t>
            </w:r>
          </w:p>
        </w:tc>
        <w:tc>
          <w:tcPr>
            <w:tcW w:w="1939" w:type="dxa"/>
            <w:gridSpan w:val="21"/>
            <w:tcBorders>
              <w:top w:val="single" w:color="000000" w:sz="4" w:space="0"/>
              <w:left w:val="nil"/>
              <w:bottom w:val="single" w:color="000000" w:sz="4" w:space="0"/>
              <w:right w:val="single" w:color="000000" w:sz="4" w:space="0"/>
            </w:tcBorders>
            <w:shd w:val="clear" w:color="auto" w:fill="auto"/>
            <w:vAlign w:val="center"/>
          </w:tcPr>
          <w:p w14:paraId="7C4C5421">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0.00</w:t>
            </w:r>
          </w:p>
        </w:tc>
        <w:tc>
          <w:tcPr>
            <w:tcW w:w="900" w:type="dxa"/>
            <w:gridSpan w:val="7"/>
            <w:tcBorders>
              <w:top w:val="nil"/>
              <w:left w:val="nil"/>
              <w:bottom w:val="single" w:color="000000" w:sz="4" w:space="0"/>
              <w:right w:val="single" w:color="000000" w:sz="4" w:space="0"/>
            </w:tcBorders>
            <w:shd w:val="clear" w:color="auto" w:fill="auto"/>
            <w:vAlign w:val="center"/>
          </w:tcPr>
          <w:p w14:paraId="51A66805">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0.00%</w:t>
            </w:r>
          </w:p>
        </w:tc>
        <w:tc>
          <w:tcPr>
            <w:tcW w:w="588" w:type="dxa"/>
            <w:gridSpan w:val="6"/>
            <w:tcBorders>
              <w:top w:val="nil"/>
              <w:left w:val="nil"/>
              <w:bottom w:val="single" w:color="000000" w:sz="4" w:space="0"/>
              <w:right w:val="single" w:color="000000" w:sz="4" w:space="0"/>
            </w:tcBorders>
            <w:shd w:val="clear" w:color="auto" w:fill="auto"/>
            <w:vAlign w:val="center"/>
          </w:tcPr>
          <w:p w14:paraId="0F8708E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369" w:type="dxa"/>
            <w:gridSpan w:val="4"/>
            <w:tcBorders>
              <w:top w:val="nil"/>
              <w:left w:val="nil"/>
              <w:bottom w:val="single" w:color="000000" w:sz="4" w:space="0"/>
              <w:right w:val="single" w:color="000000" w:sz="4" w:space="0"/>
            </w:tcBorders>
            <w:shd w:val="clear" w:color="auto" w:fill="auto"/>
            <w:vAlign w:val="center"/>
          </w:tcPr>
          <w:p w14:paraId="21EC56AA">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17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73F3F1A2">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r>
      <w:tr w14:paraId="5EB7E3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198"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759F879">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907" w:type="dxa"/>
            <w:gridSpan w:val="3"/>
            <w:tcBorders>
              <w:top w:val="nil"/>
              <w:left w:val="nil"/>
              <w:bottom w:val="single" w:color="000000" w:sz="4" w:space="0"/>
              <w:right w:val="single" w:color="000000" w:sz="4" w:space="0"/>
            </w:tcBorders>
            <w:shd w:val="clear" w:color="auto" w:fill="auto"/>
            <w:vAlign w:val="center"/>
          </w:tcPr>
          <w:p w14:paraId="4C6D1A5F">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单位资金</w:t>
            </w:r>
          </w:p>
        </w:tc>
        <w:tc>
          <w:tcPr>
            <w:tcW w:w="788" w:type="dxa"/>
            <w:gridSpan w:val="5"/>
            <w:tcBorders>
              <w:top w:val="nil"/>
              <w:left w:val="nil"/>
              <w:bottom w:val="single" w:color="000000" w:sz="4" w:space="0"/>
              <w:right w:val="single" w:color="000000" w:sz="4" w:space="0"/>
            </w:tcBorders>
            <w:shd w:val="clear" w:color="auto" w:fill="auto"/>
            <w:vAlign w:val="center"/>
          </w:tcPr>
          <w:p w14:paraId="2C440623">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0.00</w:t>
            </w:r>
          </w:p>
        </w:tc>
        <w:tc>
          <w:tcPr>
            <w:tcW w:w="2200" w:type="dxa"/>
            <w:gridSpan w:val="6"/>
            <w:tcBorders>
              <w:top w:val="nil"/>
              <w:left w:val="nil"/>
              <w:bottom w:val="single" w:color="000000" w:sz="4" w:space="0"/>
              <w:right w:val="single" w:color="000000" w:sz="4" w:space="0"/>
            </w:tcBorders>
            <w:shd w:val="clear" w:color="auto" w:fill="auto"/>
            <w:vAlign w:val="center"/>
          </w:tcPr>
          <w:p w14:paraId="4F3D9BB2">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0.00</w:t>
            </w:r>
          </w:p>
        </w:tc>
        <w:tc>
          <w:tcPr>
            <w:tcW w:w="1939" w:type="dxa"/>
            <w:gridSpan w:val="21"/>
            <w:tcBorders>
              <w:top w:val="single" w:color="000000" w:sz="4" w:space="0"/>
              <w:left w:val="nil"/>
              <w:bottom w:val="single" w:color="000000" w:sz="4" w:space="0"/>
              <w:right w:val="single" w:color="000000" w:sz="4" w:space="0"/>
            </w:tcBorders>
            <w:shd w:val="clear" w:color="auto" w:fill="auto"/>
            <w:vAlign w:val="center"/>
          </w:tcPr>
          <w:p w14:paraId="0E0B58C3">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0.00</w:t>
            </w:r>
          </w:p>
        </w:tc>
        <w:tc>
          <w:tcPr>
            <w:tcW w:w="900" w:type="dxa"/>
            <w:gridSpan w:val="7"/>
            <w:tcBorders>
              <w:top w:val="nil"/>
              <w:left w:val="nil"/>
              <w:bottom w:val="single" w:color="000000" w:sz="4" w:space="0"/>
              <w:right w:val="single" w:color="000000" w:sz="4" w:space="0"/>
            </w:tcBorders>
            <w:shd w:val="clear" w:color="auto" w:fill="auto"/>
            <w:vAlign w:val="center"/>
          </w:tcPr>
          <w:p w14:paraId="5AA38DA5">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0.00%</w:t>
            </w:r>
          </w:p>
        </w:tc>
        <w:tc>
          <w:tcPr>
            <w:tcW w:w="588" w:type="dxa"/>
            <w:gridSpan w:val="6"/>
            <w:tcBorders>
              <w:top w:val="nil"/>
              <w:left w:val="nil"/>
              <w:bottom w:val="single" w:color="000000" w:sz="4" w:space="0"/>
              <w:right w:val="single" w:color="000000" w:sz="4" w:space="0"/>
            </w:tcBorders>
            <w:shd w:val="clear" w:color="auto" w:fill="auto"/>
            <w:vAlign w:val="center"/>
          </w:tcPr>
          <w:p w14:paraId="1EAC3DEB">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369" w:type="dxa"/>
            <w:gridSpan w:val="4"/>
            <w:tcBorders>
              <w:top w:val="nil"/>
              <w:left w:val="nil"/>
              <w:bottom w:val="single" w:color="000000" w:sz="4" w:space="0"/>
              <w:right w:val="single" w:color="000000" w:sz="4" w:space="0"/>
            </w:tcBorders>
            <w:shd w:val="clear" w:color="auto" w:fill="auto"/>
            <w:vAlign w:val="center"/>
          </w:tcPr>
          <w:p w14:paraId="2A239897">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17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8DA57AD">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r>
      <w:tr w14:paraId="3F559F4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238"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44D298E">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907" w:type="dxa"/>
            <w:gridSpan w:val="3"/>
            <w:tcBorders>
              <w:top w:val="nil"/>
              <w:left w:val="nil"/>
              <w:bottom w:val="single" w:color="000000" w:sz="4" w:space="0"/>
              <w:right w:val="single" w:color="000000" w:sz="4" w:space="0"/>
            </w:tcBorders>
            <w:shd w:val="clear" w:color="auto" w:fill="auto"/>
            <w:vAlign w:val="center"/>
          </w:tcPr>
          <w:p w14:paraId="5A139D7F">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其他资金</w:t>
            </w:r>
          </w:p>
        </w:tc>
        <w:tc>
          <w:tcPr>
            <w:tcW w:w="788" w:type="dxa"/>
            <w:gridSpan w:val="5"/>
            <w:tcBorders>
              <w:top w:val="nil"/>
              <w:left w:val="nil"/>
              <w:bottom w:val="single" w:color="000000" w:sz="4" w:space="0"/>
              <w:right w:val="single" w:color="000000" w:sz="4" w:space="0"/>
            </w:tcBorders>
            <w:shd w:val="clear" w:color="auto" w:fill="auto"/>
            <w:vAlign w:val="center"/>
          </w:tcPr>
          <w:p w14:paraId="69E11F33">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w:t>
            </w:r>
          </w:p>
        </w:tc>
        <w:tc>
          <w:tcPr>
            <w:tcW w:w="2200" w:type="dxa"/>
            <w:gridSpan w:val="6"/>
            <w:tcBorders>
              <w:top w:val="nil"/>
              <w:left w:val="nil"/>
              <w:bottom w:val="single" w:color="000000" w:sz="4" w:space="0"/>
              <w:right w:val="single" w:color="000000" w:sz="4" w:space="0"/>
            </w:tcBorders>
            <w:shd w:val="clear" w:color="auto" w:fill="auto"/>
            <w:vAlign w:val="center"/>
          </w:tcPr>
          <w:p w14:paraId="0231C16C">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w:t>
            </w:r>
          </w:p>
        </w:tc>
        <w:tc>
          <w:tcPr>
            <w:tcW w:w="1939" w:type="dxa"/>
            <w:gridSpan w:val="21"/>
            <w:tcBorders>
              <w:top w:val="single" w:color="000000" w:sz="4" w:space="0"/>
              <w:left w:val="nil"/>
              <w:bottom w:val="single" w:color="000000" w:sz="4" w:space="0"/>
              <w:right w:val="single" w:color="000000" w:sz="4" w:space="0"/>
            </w:tcBorders>
            <w:shd w:val="clear" w:color="auto" w:fill="auto"/>
            <w:vAlign w:val="center"/>
          </w:tcPr>
          <w:p w14:paraId="447EEE72">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w:t>
            </w:r>
          </w:p>
        </w:tc>
        <w:tc>
          <w:tcPr>
            <w:tcW w:w="900" w:type="dxa"/>
            <w:gridSpan w:val="7"/>
            <w:tcBorders>
              <w:top w:val="nil"/>
              <w:left w:val="nil"/>
              <w:bottom w:val="single" w:color="000000" w:sz="4" w:space="0"/>
              <w:right w:val="single" w:color="000000" w:sz="4" w:space="0"/>
            </w:tcBorders>
            <w:shd w:val="clear" w:color="auto" w:fill="auto"/>
            <w:vAlign w:val="center"/>
          </w:tcPr>
          <w:p w14:paraId="494F1C59">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w:t>
            </w:r>
          </w:p>
        </w:tc>
        <w:tc>
          <w:tcPr>
            <w:tcW w:w="588" w:type="dxa"/>
            <w:gridSpan w:val="6"/>
            <w:tcBorders>
              <w:top w:val="nil"/>
              <w:left w:val="nil"/>
              <w:bottom w:val="single" w:color="000000" w:sz="4" w:space="0"/>
              <w:right w:val="single" w:color="000000" w:sz="4" w:space="0"/>
            </w:tcBorders>
            <w:shd w:val="clear" w:color="auto" w:fill="auto"/>
            <w:vAlign w:val="center"/>
          </w:tcPr>
          <w:p w14:paraId="60A30669">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369" w:type="dxa"/>
            <w:gridSpan w:val="4"/>
            <w:tcBorders>
              <w:top w:val="nil"/>
              <w:left w:val="nil"/>
              <w:bottom w:val="single" w:color="000000" w:sz="4" w:space="0"/>
              <w:right w:val="single" w:color="000000" w:sz="4" w:space="0"/>
            </w:tcBorders>
            <w:shd w:val="clear" w:color="auto" w:fill="auto"/>
            <w:vAlign w:val="center"/>
          </w:tcPr>
          <w:p w14:paraId="18105352">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17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F21A1D0">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r>
      <w:tr w14:paraId="163DE8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369" w:hRule="atLeast"/>
        </w:trPr>
        <w:tc>
          <w:tcPr>
            <w:tcW w:w="804"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4CF55CE">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绩效指标（90分）</w:t>
            </w:r>
          </w:p>
        </w:tc>
        <w:tc>
          <w:tcPr>
            <w:tcW w:w="907" w:type="dxa"/>
            <w:gridSpan w:val="3"/>
            <w:tcBorders>
              <w:top w:val="nil"/>
              <w:left w:val="nil"/>
              <w:bottom w:val="single" w:color="000000" w:sz="4" w:space="0"/>
              <w:right w:val="single" w:color="000000" w:sz="4" w:space="0"/>
            </w:tcBorders>
            <w:shd w:val="clear" w:color="auto" w:fill="auto"/>
            <w:vAlign w:val="center"/>
          </w:tcPr>
          <w:p w14:paraId="55149B85">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一级指标</w:t>
            </w:r>
          </w:p>
        </w:tc>
        <w:tc>
          <w:tcPr>
            <w:tcW w:w="788" w:type="dxa"/>
            <w:gridSpan w:val="5"/>
            <w:tcBorders>
              <w:top w:val="nil"/>
              <w:left w:val="nil"/>
              <w:bottom w:val="single" w:color="000000" w:sz="4" w:space="0"/>
              <w:right w:val="single" w:color="000000" w:sz="4" w:space="0"/>
            </w:tcBorders>
            <w:shd w:val="clear" w:color="auto" w:fill="auto"/>
            <w:vAlign w:val="center"/>
          </w:tcPr>
          <w:p w14:paraId="2876405F">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二级指标</w:t>
            </w:r>
          </w:p>
        </w:tc>
        <w:tc>
          <w:tcPr>
            <w:tcW w:w="2200" w:type="dxa"/>
            <w:gridSpan w:val="6"/>
            <w:tcBorders>
              <w:top w:val="nil"/>
              <w:left w:val="nil"/>
              <w:bottom w:val="single" w:color="000000" w:sz="4" w:space="0"/>
              <w:right w:val="single" w:color="000000" w:sz="4" w:space="0"/>
            </w:tcBorders>
            <w:shd w:val="clear" w:color="auto" w:fill="auto"/>
            <w:vAlign w:val="center"/>
          </w:tcPr>
          <w:p w14:paraId="214EFBA9">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三级指标</w:t>
            </w:r>
          </w:p>
        </w:tc>
        <w:tc>
          <w:tcPr>
            <w:tcW w:w="661" w:type="dxa"/>
            <w:gridSpan w:val="6"/>
            <w:tcBorders>
              <w:top w:val="nil"/>
              <w:left w:val="nil"/>
              <w:bottom w:val="single" w:color="000000" w:sz="4" w:space="0"/>
              <w:right w:val="single" w:color="000000" w:sz="4" w:space="0"/>
            </w:tcBorders>
            <w:shd w:val="clear" w:color="auto" w:fill="auto"/>
            <w:vAlign w:val="center"/>
          </w:tcPr>
          <w:p w14:paraId="16041B9C">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指标性质</w:t>
            </w:r>
          </w:p>
        </w:tc>
        <w:tc>
          <w:tcPr>
            <w:tcW w:w="655" w:type="dxa"/>
            <w:gridSpan w:val="8"/>
            <w:tcBorders>
              <w:top w:val="nil"/>
              <w:left w:val="nil"/>
              <w:bottom w:val="single" w:color="000000" w:sz="4" w:space="0"/>
              <w:right w:val="single" w:color="000000" w:sz="4" w:space="0"/>
            </w:tcBorders>
            <w:shd w:val="clear" w:color="auto" w:fill="auto"/>
            <w:vAlign w:val="center"/>
          </w:tcPr>
          <w:p w14:paraId="6759FC3B">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指标值</w:t>
            </w:r>
          </w:p>
        </w:tc>
        <w:tc>
          <w:tcPr>
            <w:tcW w:w="623" w:type="dxa"/>
            <w:gridSpan w:val="7"/>
            <w:tcBorders>
              <w:top w:val="nil"/>
              <w:left w:val="nil"/>
              <w:bottom w:val="single" w:color="000000" w:sz="4" w:space="0"/>
              <w:right w:val="single" w:color="000000" w:sz="4" w:space="0"/>
            </w:tcBorders>
            <w:shd w:val="clear" w:color="auto" w:fill="auto"/>
            <w:vAlign w:val="center"/>
          </w:tcPr>
          <w:p w14:paraId="7C49E5A7">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度量单位</w:t>
            </w:r>
          </w:p>
        </w:tc>
        <w:tc>
          <w:tcPr>
            <w:tcW w:w="900" w:type="dxa"/>
            <w:gridSpan w:val="7"/>
            <w:tcBorders>
              <w:top w:val="nil"/>
              <w:left w:val="nil"/>
              <w:bottom w:val="single" w:color="000000" w:sz="4" w:space="0"/>
              <w:right w:val="single" w:color="000000" w:sz="4" w:space="0"/>
            </w:tcBorders>
            <w:shd w:val="clear" w:color="auto" w:fill="auto"/>
            <w:vAlign w:val="center"/>
          </w:tcPr>
          <w:p w14:paraId="0C2D789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完成值</w:t>
            </w:r>
          </w:p>
        </w:tc>
        <w:tc>
          <w:tcPr>
            <w:tcW w:w="588" w:type="dxa"/>
            <w:gridSpan w:val="6"/>
            <w:tcBorders>
              <w:top w:val="nil"/>
              <w:left w:val="nil"/>
              <w:bottom w:val="single" w:color="000000" w:sz="4" w:space="0"/>
              <w:right w:val="single" w:color="000000" w:sz="4" w:space="0"/>
            </w:tcBorders>
            <w:shd w:val="clear" w:color="auto" w:fill="auto"/>
            <w:vAlign w:val="center"/>
          </w:tcPr>
          <w:p w14:paraId="1787E62E">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权重</w:t>
            </w:r>
          </w:p>
        </w:tc>
        <w:tc>
          <w:tcPr>
            <w:tcW w:w="369" w:type="dxa"/>
            <w:gridSpan w:val="4"/>
            <w:tcBorders>
              <w:top w:val="nil"/>
              <w:left w:val="nil"/>
              <w:bottom w:val="single" w:color="000000" w:sz="4" w:space="0"/>
              <w:right w:val="single" w:color="000000" w:sz="4" w:space="0"/>
            </w:tcBorders>
            <w:shd w:val="clear" w:color="auto" w:fill="auto"/>
            <w:vAlign w:val="center"/>
          </w:tcPr>
          <w:p w14:paraId="19C3C59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得分</w:t>
            </w:r>
          </w:p>
        </w:tc>
        <w:tc>
          <w:tcPr>
            <w:tcW w:w="1708" w:type="dxa"/>
            <w:gridSpan w:val="3"/>
            <w:tcBorders>
              <w:top w:val="nil"/>
              <w:left w:val="nil"/>
              <w:bottom w:val="single" w:color="000000" w:sz="4" w:space="0"/>
              <w:right w:val="single" w:color="000000" w:sz="4" w:space="0"/>
            </w:tcBorders>
            <w:shd w:val="clear" w:color="auto" w:fill="auto"/>
            <w:vAlign w:val="center"/>
          </w:tcPr>
          <w:p w14:paraId="361E8B0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未完成原因分析</w:t>
            </w:r>
          </w:p>
        </w:tc>
      </w:tr>
      <w:tr w14:paraId="533F66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247"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F3B3E43">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21"/>
              </w:rPr>
            </w:pPr>
          </w:p>
        </w:tc>
        <w:tc>
          <w:tcPr>
            <w:tcW w:w="907"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386EA77F">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产出指标</w:t>
            </w:r>
          </w:p>
        </w:tc>
        <w:tc>
          <w:tcPr>
            <w:tcW w:w="788" w:type="dxa"/>
            <w:gridSpan w:val="5"/>
            <w:tcBorders>
              <w:top w:val="nil"/>
              <w:left w:val="nil"/>
              <w:bottom w:val="single" w:color="000000" w:sz="4" w:space="0"/>
              <w:right w:val="single" w:color="000000" w:sz="4" w:space="0"/>
            </w:tcBorders>
            <w:shd w:val="clear" w:color="auto" w:fill="auto"/>
            <w:vAlign w:val="center"/>
          </w:tcPr>
          <w:p w14:paraId="62A376A4">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数量指标</w:t>
            </w:r>
          </w:p>
        </w:tc>
        <w:tc>
          <w:tcPr>
            <w:tcW w:w="2200" w:type="dxa"/>
            <w:gridSpan w:val="6"/>
            <w:tcBorders>
              <w:top w:val="nil"/>
              <w:left w:val="nil"/>
              <w:bottom w:val="single" w:color="000000" w:sz="4" w:space="0"/>
              <w:right w:val="single" w:color="000000" w:sz="4" w:space="0"/>
            </w:tcBorders>
            <w:shd w:val="clear" w:color="auto" w:fill="auto"/>
            <w:vAlign w:val="center"/>
          </w:tcPr>
          <w:p w14:paraId="0926E745">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共由8个大项目组成</w:t>
            </w:r>
          </w:p>
        </w:tc>
        <w:tc>
          <w:tcPr>
            <w:tcW w:w="661" w:type="dxa"/>
            <w:gridSpan w:val="6"/>
            <w:tcBorders>
              <w:top w:val="nil"/>
              <w:left w:val="nil"/>
              <w:bottom w:val="single" w:color="000000" w:sz="4" w:space="0"/>
              <w:right w:val="single" w:color="000000" w:sz="4" w:space="0"/>
            </w:tcBorders>
            <w:shd w:val="clear" w:color="auto" w:fill="auto"/>
            <w:vAlign w:val="center"/>
          </w:tcPr>
          <w:p w14:paraId="69FEA56A">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655" w:type="dxa"/>
            <w:gridSpan w:val="8"/>
            <w:tcBorders>
              <w:top w:val="nil"/>
              <w:left w:val="nil"/>
              <w:bottom w:val="single" w:color="000000" w:sz="4" w:space="0"/>
              <w:right w:val="single" w:color="000000" w:sz="4" w:space="0"/>
            </w:tcBorders>
            <w:shd w:val="clear" w:color="auto" w:fill="auto"/>
            <w:vAlign w:val="center"/>
          </w:tcPr>
          <w:p w14:paraId="58FF903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8</w:t>
            </w:r>
          </w:p>
        </w:tc>
        <w:tc>
          <w:tcPr>
            <w:tcW w:w="623" w:type="dxa"/>
            <w:gridSpan w:val="7"/>
            <w:tcBorders>
              <w:top w:val="nil"/>
              <w:left w:val="nil"/>
              <w:bottom w:val="single" w:color="000000" w:sz="4" w:space="0"/>
              <w:right w:val="single" w:color="000000" w:sz="4" w:space="0"/>
            </w:tcBorders>
            <w:shd w:val="clear" w:color="auto" w:fill="auto"/>
            <w:vAlign w:val="center"/>
          </w:tcPr>
          <w:p w14:paraId="7C0FE2BA">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个（套）</w:t>
            </w:r>
          </w:p>
        </w:tc>
        <w:tc>
          <w:tcPr>
            <w:tcW w:w="900" w:type="dxa"/>
            <w:gridSpan w:val="7"/>
            <w:tcBorders>
              <w:top w:val="nil"/>
              <w:left w:val="nil"/>
              <w:bottom w:val="single" w:color="000000" w:sz="4" w:space="0"/>
              <w:right w:val="single" w:color="000000" w:sz="4" w:space="0"/>
            </w:tcBorders>
            <w:shd w:val="clear" w:color="auto" w:fill="auto"/>
            <w:vAlign w:val="center"/>
          </w:tcPr>
          <w:p w14:paraId="0B87BDC0">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8　</w:t>
            </w:r>
          </w:p>
        </w:tc>
        <w:tc>
          <w:tcPr>
            <w:tcW w:w="588" w:type="dxa"/>
            <w:gridSpan w:val="6"/>
            <w:tcBorders>
              <w:top w:val="nil"/>
              <w:left w:val="nil"/>
              <w:bottom w:val="single" w:color="000000" w:sz="4" w:space="0"/>
              <w:right w:val="single" w:color="000000" w:sz="4" w:space="0"/>
            </w:tcBorders>
            <w:shd w:val="clear" w:color="auto" w:fill="auto"/>
            <w:vAlign w:val="center"/>
          </w:tcPr>
          <w:p w14:paraId="19E3912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20</w:t>
            </w:r>
          </w:p>
        </w:tc>
        <w:tc>
          <w:tcPr>
            <w:tcW w:w="369" w:type="dxa"/>
            <w:gridSpan w:val="4"/>
            <w:tcBorders>
              <w:top w:val="nil"/>
              <w:left w:val="nil"/>
              <w:bottom w:val="single" w:color="000000" w:sz="4" w:space="0"/>
              <w:right w:val="single" w:color="000000" w:sz="4" w:space="0"/>
            </w:tcBorders>
            <w:shd w:val="clear" w:color="auto" w:fill="auto"/>
            <w:vAlign w:val="center"/>
          </w:tcPr>
          <w:p w14:paraId="75F2AAAA">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20　</w:t>
            </w:r>
          </w:p>
        </w:tc>
        <w:tc>
          <w:tcPr>
            <w:tcW w:w="1708" w:type="dxa"/>
            <w:gridSpan w:val="3"/>
            <w:tcBorders>
              <w:top w:val="nil"/>
              <w:left w:val="nil"/>
              <w:bottom w:val="single" w:color="000000" w:sz="4" w:space="0"/>
              <w:right w:val="single" w:color="000000" w:sz="4" w:space="0"/>
            </w:tcBorders>
            <w:shd w:val="clear" w:color="auto" w:fill="auto"/>
            <w:vAlign w:val="center"/>
          </w:tcPr>
          <w:p w14:paraId="34DF77F7">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w:t>
            </w:r>
          </w:p>
        </w:tc>
      </w:tr>
      <w:tr w14:paraId="313292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371"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2BC78F7">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21"/>
              </w:rPr>
            </w:pPr>
          </w:p>
        </w:tc>
        <w:tc>
          <w:tcPr>
            <w:tcW w:w="90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0AE5835">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788" w:type="dxa"/>
            <w:gridSpan w:val="5"/>
            <w:tcBorders>
              <w:top w:val="nil"/>
              <w:left w:val="nil"/>
              <w:bottom w:val="single" w:color="000000" w:sz="4" w:space="0"/>
              <w:right w:val="single" w:color="000000" w:sz="4" w:space="0"/>
            </w:tcBorders>
            <w:shd w:val="clear" w:color="auto" w:fill="auto"/>
            <w:vAlign w:val="center"/>
          </w:tcPr>
          <w:p w14:paraId="5C0BC506">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质量指标</w:t>
            </w:r>
          </w:p>
        </w:tc>
        <w:tc>
          <w:tcPr>
            <w:tcW w:w="2200" w:type="dxa"/>
            <w:gridSpan w:val="6"/>
            <w:tcBorders>
              <w:top w:val="nil"/>
              <w:left w:val="nil"/>
              <w:bottom w:val="single" w:color="000000" w:sz="4" w:space="0"/>
              <w:right w:val="single" w:color="000000" w:sz="4" w:space="0"/>
            </w:tcBorders>
            <w:shd w:val="clear" w:color="auto" w:fill="auto"/>
            <w:vAlign w:val="center"/>
          </w:tcPr>
          <w:p w14:paraId="296A773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8个大项目经各职能科室精心策划，较高质量提请党组集体讨论的工作安排。</w:t>
            </w:r>
          </w:p>
        </w:tc>
        <w:tc>
          <w:tcPr>
            <w:tcW w:w="661" w:type="dxa"/>
            <w:gridSpan w:val="6"/>
            <w:tcBorders>
              <w:top w:val="nil"/>
              <w:left w:val="nil"/>
              <w:bottom w:val="single" w:color="000000" w:sz="4" w:space="0"/>
              <w:right w:val="single" w:color="000000" w:sz="4" w:space="0"/>
            </w:tcBorders>
            <w:shd w:val="clear" w:color="auto" w:fill="auto"/>
            <w:vAlign w:val="center"/>
          </w:tcPr>
          <w:p w14:paraId="2DB2664C">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655" w:type="dxa"/>
            <w:gridSpan w:val="8"/>
            <w:tcBorders>
              <w:top w:val="nil"/>
              <w:left w:val="nil"/>
              <w:bottom w:val="single" w:color="000000" w:sz="4" w:space="0"/>
              <w:right w:val="single" w:color="000000" w:sz="4" w:space="0"/>
            </w:tcBorders>
            <w:shd w:val="clear" w:color="auto" w:fill="auto"/>
            <w:vAlign w:val="center"/>
          </w:tcPr>
          <w:p w14:paraId="68E460BA">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95</w:t>
            </w:r>
          </w:p>
        </w:tc>
        <w:tc>
          <w:tcPr>
            <w:tcW w:w="623" w:type="dxa"/>
            <w:gridSpan w:val="7"/>
            <w:tcBorders>
              <w:top w:val="nil"/>
              <w:left w:val="nil"/>
              <w:bottom w:val="single" w:color="000000" w:sz="4" w:space="0"/>
              <w:right w:val="single" w:color="000000" w:sz="4" w:space="0"/>
            </w:tcBorders>
            <w:shd w:val="clear" w:color="auto" w:fill="auto"/>
            <w:vAlign w:val="center"/>
          </w:tcPr>
          <w:p w14:paraId="738E1BAF">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900" w:type="dxa"/>
            <w:gridSpan w:val="7"/>
            <w:tcBorders>
              <w:top w:val="nil"/>
              <w:left w:val="nil"/>
              <w:bottom w:val="single" w:color="000000" w:sz="4" w:space="0"/>
              <w:right w:val="single" w:color="000000" w:sz="4" w:space="0"/>
            </w:tcBorders>
            <w:shd w:val="clear" w:color="auto" w:fill="auto"/>
            <w:vAlign w:val="center"/>
          </w:tcPr>
          <w:p w14:paraId="76558298">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95　</w:t>
            </w:r>
          </w:p>
        </w:tc>
        <w:tc>
          <w:tcPr>
            <w:tcW w:w="588" w:type="dxa"/>
            <w:gridSpan w:val="6"/>
            <w:tcBorders>
              <w:top w:val="nil"/>
              <w:left w:val="nil"/>
              <w:bottom w:val="single" w:color="000000" w:sz="4" w:space="0"/>
              <w:right w:val="single" w:color="000000" w:sz="4" w:space="0"/>
            </w:tcBorders>
            <w:shd w:val="clear" w:color="auto" w:fill="auto"/>
            <w:vAlign w:val="center"/>
          </w:tcPr>
          <w:p w14:paraId="453166AB">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w:t>
            </w:r>
          </w:p>
        </w:tc>
        <w:tc>
          <w:tcPr>
            <w:tcW w:w="369" w:type="dxa"/>
            <w:gridSpan w:val="4"/>
            <w:tcBorders>
              <w:top w:val="nil"/>
              <w:left w:val="nil"/>
              <w:bottom w:val="single" w:color="000000" w:sz="4" w:space="0"/>
              <w:right w:val="single" w:color="000000" w:sz="4" w:space="0"/>
            </w:tcBorders>
            <w:shd w:val="clear" w:color="auto" w:fill="auto"/>
            <w:vAlign w:val="center"/>
          </w:tcPr>
          <w:p w14:paraId="6A9C8B97">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　</w:t>
            </w:r>
          </w:p>
        </w:tc>
        <w:tc>
          <w:tcPr>
            <w:tcW w:w="1708" w:type="dxa"/>
            <w:gridSpan w:val="3"/>
            <w:tcBorders>
              <w:top w:val="nil"/>
              <w:left w:val="nil"/>
              <w:bottom w:val="single" w:color="000000" w:sz="4" w:space="0"/>
              <w:right w:val="single" w:color="000000" w:sz="4" w:space="0"/>
            </w:tcBorders>
            <w:shd w:val="clear" w:color="auto" w:fill="auto"/>
            <w:vAlign w:val="center"/>
          </w:tcPr>
          <w:p w14:paraId="0B66C8C9">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w:t>
            </w:r>
          </w:p>
        </w:tc>
      </w:tr>
      <w:tr w14:paraId="7387D1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288"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DCF0F96">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21"/>
              </w:rPr>
            </w:pPr>
          </w:p>
        </w:tc>
        <w:tc>
          <w:tcPr>
            <w:tcW w:w="90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6F970F1">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788" w:type="dxa"/>
            <w:gridSpan w:val="5"/>
            <w:tcBorders>
              <w:top w:val="nil"/>
              <w:left w:val="nil"/>
              <w:bottom w:val="single" w:color="000000" w:sz="4" w:space="0"/>
              <w:right w:val="single" w:color="000000" w:sz="4" w:space="0"/>
            </w:tcBorders>
            <w:shd w:val="clear" w:color="auto" w:fill="auto"/>
            <w:vAlign w:val="center"/>
          </w:tcPr>
          <w:p w14:paraId="53AC0C4C">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时效指标</w:t>
            </w:r>
          </w:p>
        </w:tc>
        <w:tc>
          <w:tcPr>
            <w:tcW w:w="2200" w:type="dxa"/>
            <w:gridSpan w:val="6"/>
            <w:tcBorders>
              <w:top w:val="nil"/>
              <w:left w:val="nil"/>
              <w:bottom w:val="single" w:color="000000" w:sz="4" w:space="0"/>
              <w:right w:val="single" w:color="000000" w:sz="4" w:space="0"/>
            </w:tcBorders>
            <w:shd w:val="clear" w:color="auto" w:fill="auto"/>
            <w:vAlign w:val="center"/>
          </w:tcPr>
          <w:p w14:paraId="4FFF5732">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2022年1-12月完成</w:t>
            </w:r>
          </w:p>
        </w:tc>
        <w:tc>
          <w:tcPr>
            <w:tcW w:w="661" w:type="dxa"/>
            <w:gridSpan w:val="6"/>
            <w:tcBorders>
              <w:top w:val="nil"/>
              <w:left w:val="nil"/>
              <w:bottom w:val="single" w:color="000000" w:sz="4" w:space="0"/>
              <w:right w:val="single" w:color="000000" w:sz="4" w:space="0"/>
            </w:tcBorders>
            <w:shd w:val="clear" w:color="auto" w:fill="auto"/>
            <w:vAlign w:val="center"/>
          </w:tcPr>
          <w:p w14:paraId="57256BC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655" w:type="dxa"/>
            <w:gridSpan w:val="8"/>
            <w:tcBorders>
              <w:top w:val="nil"/>
              <w:left w:val="nil"/>
              <w:bottom w:val="single" w:color="000000" w:sz="4" w:space="0"/>
              <w:right w:val="single" w:color="000000" w:sz="4" w:space="0"/>
            </w:tcBorders>
            <w:shd w:val="clear" w:color="auto" w:fill="auto"/>
            <w:vAlign w:val="center"/>
          </w:tcPr>
          <w:p w14:paraId="657780B6">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w:t>
            </w:r>
          </w:p>
        </w:tc>
        <w:tc>
          <w:tcPr>
            <w:tcW w:w="623" w:type="dxa"/>
            <w:gridSpan w:val="7"/>
            <w:tcBorders>
              <w:top w:val="nil"/>
              <w:left w:val="nil"/>
              <w:bottom w:val="single" w:color="000000" w:sz="4" w:space="0"/>
              <w:right w:val="single" w:color="000000" w:sz="4" w:space="0"/>
            </w:tcBorders>
            <w:shd w:val="clear" w:color="auto" w:fill="auto"/>
            <w:vAlign w:val="center"/>
          </w:tcPr>
          <w:p w14:paraId="6AE2BC2A">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年</w:t>
            </w:r>
          </w:p>
        </w:tc>
        <w:tc>
          <w:tcPr>
            <w:tcW w:w="900" w:type="dxa"/>
            <w:gridSpan w:val="7"/>
            <w:tcBorders>
              <w:top w:val="nil"/>
              <w:left w:val="nil"/>
              <w:bottom w:val="single" w:color="000000" w:sz="4" w:space="0"/>
              <w:right w:val="single" w:color="000000" w:sz="4" w:space="0"/>
            </w:tcBorders>
            <w:shd w:val="clear" w:color="auto" w:fill="auto"/>
            <w:vAlign w:val="center"/>
          </w:tcPr>
          <w:p w14:paraId="0CEDD5C5">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w:t>
            </w:r>
          </w:p>
        </w:tc>
        <w:tc>
          <w:tcPr>
            <w:tcW w:w="588" w:type="dxa"/>
            <w:gridSpan w:val="6"/>
            <w:tcBorders>
              <w:top w:val="nil"/>
              <w:left w:val="nil"/>
              <w:bottom w:val="single" w:color="000000" w:sz="4" w:space="0"/>
              <w:right w:val="single" w:color="000000" w:sz="4" w:space="0"/>
            </w:tcBorders>
            <w:shd w:val="clear" w:color="auto" w:fill="auto"/>
            <w:vAlign w:val="center"/>
          </w:tcPr>
          <w:p w14:paraId="7E7CD550">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w:t>
            </w:r>
          </w:p>
        </w:tc>
        <w:tc>
          <w:tcPr>
            <w:tcW w:w="369" w:type="dxa"/>
            <w:gridSpan w:val="4"/>
            <w:tcBorders>
              <w:top w:val="nil"/>
              <w:left w:val="nil"/>
              <w:bottom w:val="single" w:color="000000" w:sz="4" w:space="0"/>
              <w:right w:val="single" w:color="000000" w:sz="4" w:space="0"/>
            </w:tcBorders>
            <w:shd w:val="clear" w:color="auto" w:fill="auto"/>
            <w:vAlign w:val="center"/>
          </w:tcPr>
          <w:p w14:paraId="21DEDF7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　</w:t>
            </w:r>
          </w:p>
        </w:tc>
        <w:tc>
          <w:tcPr>
            <w:tcW w:w="1708" w:type="dxa"/>
            <w:gridSpan w:val="3"/>
            <w:tcBorders>
              <w:top w:val="nil"/>
              <w:left w:val="nil"/>
              <w:bottom w:val="single" w:color="000000" w:sz="4" w:space="0"/>
              <w:right w:val="single" w:color="000000" w:sz="4" w:space="0"/>
            </w:tcBorders>
            <w:shd w:val="clear" w:color="auto" w:fill="auto"/>
            <w:vAlign w:val="center"/>
          </w:tcPr>
          <w:p w14:paraId="3D1D1D70">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w:t>
            </w:r>
          </w:p>
        </w:tc>
      </w:tr>
      <w:tr w14:paraId="7DD111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1063"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2D93614">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21"/>
              </w:rPr>
            </w:pPr>
          </w:p>
        </w:tc>
        <w:tc>
          <w:tcPr>
            <w:tcW w:w="907"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8871F4B">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效益指标</w:t>
            </w:r>
          </w:p>
        </w:tc>
        <w:tc>
          <w:tcPr>
            <w:tcW w:w="788" w:type="dxa"/>
            <w:gridSpan w:val="5"/>
            <w:tcBorders>
              <w:top w:val="nil"/>
              <w:left w:val="nil"/>
              <w:bottom w:val="single" w:color="000000" w:sz="4" w:space="0"/>
              <w:right w:val="single" w:color="000000" w:sz="4" w:space="0"/>
            </w:tcBorders>
            <w:shd w:val="clear" w:color="auto" w:fill="auto"/>
            <w:vAlign w:val="center"/>
          </w:tcPr>
          <w:p w14:paraId="105E275F">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社会效益指标</w:t>
            </w:r>
          </w:p>
        </w:tc>
        <w:tc>
          <w:tcPr>
            <w:tcW w:w="2200" w:type="dxa"/>
            <w:gridSpan w:val="6"/>
            <w:tcBorders>
              <w:top w:val="nil"/>
              <w:left w:val="nil"/>
              <w:bottom w:val="single" w:color="000000" w:sz="4" w:space="0"/>
              <w:right w:val="single" w:color="000000" w:sz="4" w:space="0"/>
            </w:tcBorders>
            <w:shd w:val="clear" w:color="auto" w:fill="auto"/>
            <w:vAlign w:val="center"/>
          </w:tcPr>
          <w:p w14:paraId="3AA94F01">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组织全州科技人员和科普志愿者开展宣传科普知识、科普主题活动；在全州贫困地区开展科普进农民夜校工作，传播科学思想、倡导科学方法，激发群众的内生动力，助力乡村振。</w:t>
            </w:r>
          </w:p>
        </w:tc>
        <w:tc>
          <w:tcPr>
            <w:tcW w:w="661" w:type="dxa"/>
            <w:gridSpan w:val="6"/>
            <w:tcBorders>
              <w:top w:val="nil"/>
              <w:left w:val="nil"/>
              <w:bottom w:val="single" w:color="000000" w:sz="4" w:space="0"/>
              <w:right w:val="single" w:color="000000" w:sz="4" w:space="0"/>
            </w:tcBorders>
            <w:shd w:val="clear" w:color="auto" w:fill="auto"/>
            <w:vAlign w:val="center"/>
          </w:tcPr>
          <w:p w14:paraId="21B375E8">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655" w:type="dxa"/>
            <w:gridSpan w:val="8"/>
            <w:tcBorders>
              <w:top w:val="nil"/>
              <w:left w:val="nil"/>
              <w:bottom w:val="single" w:color="000000" w:sz="4" w:space="0"/>
              <w:right w:val="single" w:color="000000" w:sz="4" w:space="0"/>
            </w:tcBorders>
            <w:shd w:val="clear" w:color="auto" w:fill="auto"/>
            <w:vAlign w:val="center"/>
          </w:tcPr>
          <w:p w14:paraId="33D94623">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w:t>
            </w:r>
          </w:p>
        </w:tc>
        <w:tc>
          <w:tcPr>
            <w:tcW w:w="623" w:type="dxa"/>
            <w:gridSpan w:val="7"/>
            <w:tcBorders>
              <w:top w:val="nil"/>
              <w:left w:val="nil"/>
              <w:bottom w:val="single" w:color="000000" w:sz="4" w:space="0"/>
              <w:right w:val="single" w:color="000000" w:sz="4" w:space="0"/>
            </w:tcBorders>
            <w:shd w:val="clear" w:color="auto" w:fill="auto"/>
            <w:vAlign w:val="center"/>
          </w:tcPr>
          <w:p w14:paraId="4BFBDFE7">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项</w:t>
            </w:r>
          </w:p>
        </w:tc>
        <w:tc>
          <w:tcPr>
            <w:tcW w:w="900" w:type="dxa"/>
            <w:gridSpan w:val="7"/>
            <w:tcBorders>
              <w:top w:val="nil"/>
              <w:left w:val="nil"/>
              <w:bottom w:val="single" w:color="000000" w:sz="4" w:space="0"/>
              <w:right w:val="single" w:color="000000" w:sz="4" w:space="0"/>
            </w:tcBorders>
            <w:shd w:val="clear" w:color="auto" w:fill="auto"/>
            <w:vAlign w:val="center"/>
          </w:tcPr>
          <w:p w14:paraId="61B18FB2">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10</w:t>
            </w:r>
          </w:p>
        </w:tc>
        <w:tc>
          <w:tcPr>
            <w:tcW w:w="588" w:type="dxa"/>
            <w:gridSpan w:val="6"/>
            <w:tcBorders>
              <w:top w:val="nil"/>
              <w:left w:val="nil"/>
              <w:bottom w:val="single" w:color="000000" w:sz="4" w:space="0"/>
              <w:right w:val="single" w:color="000000" w:sz="4" w:space="0"/>
            </w:tcBorders>
            <w:shd w:val="clear" w:color="auto" w:fill="auto"/>
            <w:vAlign w:val="center"/>
          </w:tcPr>
          <w:p w14:paraId="45B9059F">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w:t>
            </w:r>
          </w:p>
        </w:tc>
        <w:tc>
          <w:tcPr>
            <w:tcW w:w="369" w:type="dxa"/>
            <w:gridSpan w:val="4"/>
            <w:tcBorders>
              <w:top w:val="nil"/>
              <w:left w:val="nil"/>
              <w:bottom w:val="single" w:color="000000" w:sz="4" w:space="0"/>
              <w:right w:val="single" w:color="000000" w:sz="4" w:space="0"/>
            </w:tcBorders>
            <w:shd w:val="clear" w:color="auto" w:fill="auto"/>
            <w:vAlign w:val="center"/>
          </w:tcPr>
          <w:p w14:paraId="1265663C">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　10</w:t>
            </w:r>
          </w:p>
        </w:tc>
        <w:tc>
          <w:tcPr>
            <w:tcW w:w="1708" w:type="dxa"/>
            <w:gridSpan w:val="3"/>
            <w:tcBorders>
              <w:top w:val="nil"/>
              <w:left w:val="nil"/>
              <w:bottom w:val="single" w:color="000000" w:sz="4" w:space="0"/>
              <w:right w:val="single" w:color="000000" w:sz="4" w:space="0"/>
            </w:tcBorders>
            <w:shd w:val="clear" w:color="auto" w:fill="auto"/>
            <w:vAlign w:val="center"/>
          </w:tcPr>
          <w:p w14:paraId="3B38A484">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w:t>
            </w:r>
          </w:p>
        </w:tc>
      </w:tr>
      <w:tr w14:paraId="639978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432"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AEF2B63">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21"/>
              </w:rPr>
            </w:pPr>
          </w:p>
        </w:tc>
        <w:tc>
          <w:tcPr>
            <w:tcW w:w="90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722A88F2">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15"/>
                <w:szCs w:val="15"/>
              </w:rPr>
            </w:pPr>
          </w:p>
        </w:tc>
        <w:tc>
          <w:tcPr>
            <w:tcW w:w="788" w:type="dxa"/>
            <w:gridSpan w:val="5"/>
            <w:tcBorders>
              <w:top w:val="nil"/>
              <w:left w:val="nil"/>
              <w:bottom w:val="single" w:color="000000" w:sz="4" w:space="0"/>
              <w:right w:val="single" w:color="000000" w:sz="4" w:space="0"/>
            </w:tcBorders>
            <w:shd w:val="clear" w:color="auto" w:fill="auto"/>
            <w:vAlign w:val="center"/>
          </w:tcPr>
          <w:p w14:paraId="61B1440E">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可持续影响指标</w:t>
            </w:r>
          </w:p>
        </w:tc>
        <w:tc>
          <w:tcPr>
            <w:tcW w:w="2200" w:type="dxa"/>
            <w:gridSpan w:val="6"/>
            <w:tcBorders>
              <w:top w:val="nil"/>
              <w:left w:val="nil"/>
              <w:bottom w:val="single" w:color="000000" w:sz="4" w:space="0"/>
              <w:right w:val="single" w:color="000000" w:sz="4" w:space="0"/>
            </w:tcBorders>
            <w:shd w:val="clear" w:color="auto" w:fill="auto"/>
            <w:vAlign w:val="center"/>
          </w:tcPr>
          <w:p w14:paraId="0E12C621">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持续影响</w:t>
            </w:r>
          </w:p>
        </w:tc>
        <w:tc>
          <w:tcPr>
            <w:tcW w:w="661" w:type="dxa"/>
            <w:gridSpan w:val="6"/>
            <w:tcBorders>
              <w:top w:val="nil"/>
              <w:left w:val="nil"/>
              <w:bottom w:val="single" w:color="000000" w:sz="4" w:space="0"/>
              <w:right w:val="single" w:color="000000" w:sz="4" w:space="0"/>
            </w:tcBorders>
            <w:shd w:val="clear" w:color="auto" w:fill="auto"/>
            <w:vAlign w:val="center"/>
          </w:tcPr>
          <w:p w14:paraId="44C43D2F">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655" w:type="dxa"/>
            <w:gridSpan w:val="8"/>
            <w:tcBorders>
              <w:top w:val="nil"/>
              <w:left w:val="nil"/>
              <w:bottom w:val="single" w:color="000000" w:sz="4" w:space="0"/>
              <w:right w:val="single" w:color="000000" w:sz="4" w:space="0"/>
            </w:tcBorders>
            <w:shd w:val="clear" w:color="auto" w:fill="auto"/>
            <w:vAlign w:val="center"/>
          </w:tcPr>
          <w:p w14:paraId="330B2C50">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3</w:t>
            </w:r>
          </w:p>
        </w:tc>
        <w:tc>
          <w:tcPr>
            <w:tcW w:w="623" w:type="dxa"/>
            <w:gridSpan w:val="7"/>
            <w:tcBorders>
              <w:top w:val="nil"/>
              <w:left w:val="nil"/>
              <w:bottom w:val="single" w:color="000000" w:sz="4" w:space="0"/>
              <w:right w:val="single" w:color="000000" w:sz="4" w:space="0"/>
            </w:tcBorders>
            <w:shd w:val="clear" w:color="auto" w:fill="auto"/>
            <w:vAlign w:val="center"/>
          </w:tcPr>
          <w:p w14:paraId="62865353">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年</w:t>
            </w:r>
          </w:p>
        </w:tc>
        <w:tc>
          <w:tcPr>
            <w:tcW w:w="900" w:type="dxa"/>
            <w:gridSpan w:val="7"/>
            <w:tcBorders>
              <w:top w:val="nil"/>
              <w:left w:val="nil"/>
              <w:bottom w:val="single" w:color="000000" w:sz="4" w:space="0"/>
              <w:right w:val="single" w:color="000000" w:sz="4" w:space="0"/>
            </w:tcBorders>
            <w:shd w:val="clear" w:color="auto" w:fill="auto"/>
            <w:vAlign w:val="center"/>
          </w:tcPr>
          <w:p w14:paraId="5BC6CF25">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3</w:t>
            </w:r>
          </w:p>
        </w:tc>
        <w:tc>
          <w:tcPr>
            <w:tcW w:w="588" w:type="dxa"/>
            <w:gridSpan w:val="6"/>
            <w:tcBorders>
              <w:top w:val="nil"/>
              <w:left w:val="nil"/>
              <w:bottom w:val="single" w:color="000000" w:sz="4" w:space="0"/>
              <w:right w:val="single" w:color="000000" w:sz="4" w:space="0"/>
            </w:tcBorders>
            <w:shd w:val="clear" w:color="auto" w:fill="auto"/>
            <w:vAlign w:val="center"/>
          </w:tcPr>
          <w:p w14:paraId="478851C7">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w:t>
            </w:r>
          </w:p>
        </w:tc>
        <w:tc>
          <w:tcPr>
            <w:tcW w:w="369" w:type="dxa"/>
            <w:gridSpan w:val="4"/>
            <w:tcBorders>
              <w:top w:val="nil"/>
              <w:left w:val="nil"/>
              <w:bottom w:val="single" w:color="000000" w:sz="4" w:space="0"/>
              <w:right w:val="single" w:color="000000" w:sz="4" w:space="0"/>
            </w:tcBorders>
            <w:shd w:val="clear" w:color="auto" w:fill="auto"/>
            <w:vAlign w:val="center"/>
          </w:tcPr>
          <w:p w14:paraId="38537FAA">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　10</w:t>
            </w:r>
          </w:p>
        </w:tc>
        <w:tc>
          <w:tcPr>
            <w:tcW w:w="1708" w:type="dxa"/>
            <w:gridSpan w:val="3"/>
            <w:tcBorders>
              <w:top w:val="nil"/>
              <w:left w:val="nil"/>
              <w:bottom w:val="single" w:color="000000" w:sz="4" w:space="0"/>
              <w:right w:val="single" w:color="000000" w:sz="4" w:space="0"/>
            </w:tcBorders>
            <w:shd w:val="clear" w:color="auto" w:fill="auto"/>
            <w:vAlign w:val="center"/>
          </w:tcPr>
          <w:p w14:paraId="72815BBB">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　</w:t>
            </w:r>
          </w:p>
        </w:tc>
      </w:tr>
      <w:tr w14:paraId="5E094C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613"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A884801">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21"/>
              </w:rPr>
            </w:pPr>
          </w:p>
        </w:tc>
        <w:tc>
          <w:tcPr>
            <w:tcW w:w="907" w:type="dxa"/>
            <w:gridSpan w:val="3"/>
            <w:tcBorders>
              <w:top w:val="nil"/>
              <w:left w:val="nil"/>
              <w:bottom w:val="single" w:color="000000" w:sz="4" w:space="0"/>
              <w:right w:val="single" w:color="000000" w:sz="4" w:space="0"/>
            </w:tcBorders>
            <w:shd w:val="clear" w:color="auto" w:fill="auto"/>
            <w:vAlign w:val="center"/>
          </w:tcPr>
          <w:p w14:paraId="0FC075EE">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满意度指标</w:t>
            </w:r>
          </w:p>
        </w:tc>
        <w:tc>
          <w:tcPr>
            <w:tcW w:w="788" w:type="dxa"/>
            <w:gridSpan w:val="5"/>
            <w:tcBorders>
              <w:top w:val="nil"/>
              <w:left w:val="nil"/>
              <w:bottom w:val="single" w:color="000000" w:sz="4" w:space="0"/>
              <w:right w:val="single" w:color="000000" w:sz="4" w:space="0"/>
            </w:tcBorders>
            <w:shd w:val="clear" w:color="auto" w:fill="auto"/>
            <w:vAlign w:val="center"/>
          </w:tcPr>
          <w:p w14:paraId="31ACDA64">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服务对象满意度指标</w:t>
            </w:r>
          </w:p>
        </w:tc>
        <w:tc>
          <w:tcPr>
            <w:tcW w:w="2200" w:type="dxa"/>
            <w:gridSpan w:val="6"/>
            <w:tcBorders>
              <w:top w:val="nil"/>
              <w:left w:val="nil"/>
              <w:bottom w:val="single" w:color="000000" w:sz="4" w:space="0"/>
              <w:right w:val="single" w:color="000000" w:sz="4" w:space="0"/>
            </w:tcBorders>
            <w:shd w:val="clear" w:color="auto" w:fill="auto"/>
            <w:vAlign w:val="center"/>
          </w:tcPr>
          <w:p w14:paraId="45BF16CE">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相关部门、群众满意度能够达到95%左右。</w:t>
            </w:r>
          </w:p>
        </w:tc>
        <w:tc>
          <w:tcPr>
            <w:tcW w:w="661" w:type="dxa"/>
            <w:gridSpan w:val="6"/>
            <w:tcBorders>
              <w:top w:val="nil"/>
              <w:left w:val="nil"/>
              <w:bottom w:val="single" w:color="000000" w:sz="4" w:space="0"/>
              <w:right w:val="single" w:color="000000" w:sz="4" w:space="0"/>
            </w:tcBorders>
            <w:shd w:val="clear" w:color="auto" w:fill="auto"/>
            <w:vAlign w:val="center"/>
          </w:tcPr>
          <w:p w14:paraId="68159EC1">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655" w:type="dxa"/>
            <w:gridSpan w:val="8"/>
            <w:tcBorders>
              <w:top w:val="nil"/>
              <w:left w:val="nil"/>
              <w:bottom w:val="single" w:color="000000" w:sz="4" w:space="0"/>
              <w:right w:val="single" w:color="000000" w:sz="4" w:space="0"/>
            </w:tcBorders>
            <w:shd w:val="clear" w:color="auto" w:fill="auto"/>
            <w:vAlign w:val="center"/>
          </w:tcPr>
          <w:p w14:paraId="4E249772">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95</w:t>
            </w:r>
          </w:p>
        </w:tc>
        <w:tc>
          <w:tcPr>
            <w:tcW w:w="623" w:type="dxa"/>
            <w:gridSpan w:val="7"/>
            <w:tcBorders>
              <w:top w:val="nil"/>
              <w:left w:val="nil"/>
              <w:bottom w:val="single" w:color="000000" w:sz="4" w:space="0"/>
              <w:right w:val="single" w:color="000000" w:sz="4" w:space="0"/>
            </w:tcBorders>
            <w:shd w:val="clear" w:color="auto" w:fill="auto"/>
            <w:vAlign w:val="center"/>
          </w:tcPr>
          <w:p w14:paraId="6032AF7C">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900" w:type="dxa"/>
            <w:gridSpan w:val="7"/>
            <w:tcBorders>
              <w:top w:val="nil"/>
              <w:left w:val="nil"/>
              <w:bottom w:val="single" w:color="000000" w:sz="4" w:space="0"/>
              <w:right w:val="single" w:color="000000" w:sz="4" w:space="0"/>
            </w:tcBorders>
            <w:shd w:val="clear" w:color="auto" w:fill="auto"/>
            <w:vAlign w:val="center"/>
          </w:tcPr>
          <w:p w14:paraId="5AE7E8B9">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90</w:t>
            </w:r>
          </w:p>
        </w:tc>
        <w:tc>
          <w:tcPr>
            <w:tcW w:w="588" w:type="dxa"/>
            <w:gridSpan w:val="6"/>
            <w:tcBorders>
              <w:top w:val="nil"/>
              <w:left w:val="nil"/>
              <w:bottom w:val="single" w:color="000000" w:sz="4" w:space="0"/>
              <w:right w:val="single" w:color="000000" w:sz="4" w:space="0"/>
            </w:tcBorders>
            <w:shd w:val="clear" w:color="auto" w:fill="auto"/>
            <w:vAlign w:val="center"/>
          </w:tcPr>
          <w:p w14:paraId="00816D86">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w:t>
            </w:r>
          </w:p>
        </w:tc>
        <w:tc>
          <w:tcPr>
            <w:tcW w:w="369" w:type="dxa"/>
            <w:gridSpan w:val="4"/>
            <w:tcBorders>
              <w:top w:val="nil"/>
              <w:left w:val="nil"/>
              <w:bottom w:val="single" w:color="000000" w:sz="4" w:space="0"/>
              <w:right w:val="single" w:color="000000" w:sz="4" w:space="0"/>
            </w:tcBorders>
            <w:shd w:val="clear" w:color="auto" w:fill="auto"/>
            <w:vAlign w:val="center"/>
          </w:tcPr>
          <w:p w14:paraId="181446A9">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9　</w:t>
            </w:r>
          </w:p>
        </w:tc>
        <w:tc>
          <w:tcPr>
            <w:tcW w:w="1708" w:type="dxa"/>
            <w:gridSpan w:val="3"/>
            <w:tcBorders>
              <w:top w:val="nil"/>
              <w:left w:val="nil"/>
              <w:bottom w:val="single" w:color="000000" w:sz="4" w:space="0"/>
              <w:right w:val="single" w:color="000000" w:sz="4" w:space="0"/>
            </w:tcBorders>
            <w:shd w:val="clear" w:color="auto" w:fill="auto"/>
            <w:vAlign w:val="center"/>
          </w:tcPr>
          <w:p w14:paraId="3F077F66">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微软雅黑"/>
                <w:i/>
                <w:iCs/>
                <w:color w:val="000000"/>
                <w:sz w:val="15"/>
                <w:szCs w:val="15"/>
              </w:rPr>
              <w:t>科普经费有限，服务群众满意度未达设定目标。扣1分。　</w:t>
            </w:r>
          </w:p>
        </w:tc>
      </w:tr>
      <w:tr w14:paraId="38A6EB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369" w:hRule="atLeast"/>
        </w:trPr>
        <w:tc>
          <w:tcPr>
            <w:tcW w:w="8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EF6B6C6">
            <w:pPr>
              <w:keepNext w:val="0"/>
              <w:keepLines w:val="0"/>
              <w:suppressLineNumbers w:val="0"/>
              <w:spacing w:before="0" w:beforeAutospacing="0" w:after="0" w:afterAutospacing="0" w:line="180" w:lineRule="exact"/>
              <w:ind w:left="0" w:right="0"/>
              <w:rPr>
                <w:rFonts w:hint="default" w:ascii="Calibri" w:hAnsi="Calibri" w:eastAsia="宋体" w:cs="Times New Roman"/>
                <w:kern w:val="2"/>
                <w:sz w:val="21"/>
              </w:rPr>
            </w:pPr>
          </w:p>
        </w:tc>
        <w:tc>
          <w:tcPr>
            <w:tcW w:w="907" w:type="dxa"/>
            <w:gridSpan w:val="3"/>
            <w:tcBorders>
              <w:top w:val="nil"/>
              <w:left w:val="nil"/>
              <w:bottom w:val="single" w:color="000000" w:sz="4" w:space="0"/>
              <w:right w:val="single" w:color="000000" w:sz="4" w:space="0"/>
            </w:tcBorders>
            <w:shd w:val="clear" w:color="auto" w:fill="auto"/>
            <w:vAlign w:val="center"/>
          </w:tcPr>
          <w:p w14:paraId="0C0718D9">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成本指标</w:t>
            </w:r>
          </w:p>
        </w:tc>
        <w:tc>
          <w:tcPr>
            <w:tcW w:w="788" w:type="dxa"/>
            <w:gridSpan w:val="5"/>
            <w:tcBorders>
              <w:top w:val="nil"/>
              <w:left w:val="nil"/>
              <w:bottom w:val="single" w:color="000000" w:sz="4" w:space="0"/>
              <w:right w:val="single" w:color="000000" w:sz="4" w:space="0"/>
            </w:tcBorders>
            <w:shd w:val="clear" w:color="auto" w:fill="auto"/>
            <w:vAlign w:val="center"/>
          </w:tcPr>
          <w:p w14:paraId="70CC18C7">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经济成本指标</w:t>
            </w:r>
          </w:p>
        </w:tc>
        <w:tc>
          <w:tcPr>
            <w:tcW w:w="2200" w:type="dxa"/>
            <w:gridSpan w:val="6"/>
            <w:tcBorders>
              <w:top w:val="nil"/>
              <w:left w:val="nil"/>
              <w:bottom w:val="single" w:color="000000" w:sz="4" w:space="0"/>
              <w:right w:val="single" w:color="000000" w:sz="4" w:space="0"/>
            </w:tcBorders>
            <w:shd w:val="clear" w:color="auto" w:fill="auto"/>
            <w:vAlign w:val="center"/>
          </w:tcPr>
          <w:p w14:paraId="627CEE40">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年度完成各项目工作费用</w:t>
            </w:r>
          </w:p>
        </w:tc>
        <w:tc>
          <w:tcPr>
            <w:tcW w:w="661" w:type="dxa"/>
            <w:gridSpan w:val="6"/>
            <w:tcBorders>
              <w:top w:val="nil"/>
              <w:left w:val="nil"/>
              <w:bottom w:val="single" w:color="000000" w:sz="4" w:space="0"/>
              <w:right w:val="single" w:color="000000" w:sz="4" w:space="0"/>
            </w:tcBorders>
            <w:shd w:val="clear" w:color="auto" w:fill="auto"/>
            <w:vAlign w:val="center"/>
          </w:tcPr>
          <w:p w14:paraId="75051D3D">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w:t>
            </w:r>
          </w:p>
        </w:tc>
        <w:tc>
          <w:tcPr>
            <w:tcW w:w="655" w:type="dxa"/>
            <w:gridSpan w:val="8"/>
            <w:tcBorders>
              <w:top w:val="nil"/>
              <w:left w:val="nil"/>
              <w:bottom w:val="single" w:color="000000" w:sz="4" w:space="0"/>
              <w:right w:val="single" w:color="000000" w:sz="4" w:space="0"/>
            </w:tcBorders>
            <w:shd w:val="clear" w:color="auto" w:fill="auto"/>
            <w:vAlign w:val="center"/>
          </w:tcPr>
          <w:p w14:paraId="5F4F8ACC">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148</w:t>
            </w:r>
          </w:p>
        </w:tc>
        <w:tc>
          <w:tcPr>
            <w:tcW w:w="623" w:type="dxa"/>
            <w:gridSpan w:val="7"/>
            <w:tcBorders>
              <w:top w:val="nil"/>
              <w:left w:val="nil"/>
              <w:bottom w:val="single" w:color="000000" w:sz="4" w:space="0"/>
              <w:right w:val="single" w:color="000000" w:sz="4" w:space="0"/>
            </w:tcBorders>
            <w:shd w:val="clear" w:color="auto" w:fill="auto"/>
            <w:vAlign w:val="center"/>
          </w:tcPr>
          <w:p w14:paraId="223C0682">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万元</w:t>
            </w:r>
          </w:p>
        </w:tc>
        <w:tc>
          <w:tcPr>
            <w:tcW w:w="900" w:type="dxa"/>
            <w:gridSpan w:val="7"/>
            <w:tcBorders>
              <w:top w:val="nil"/>
              <w:left w:val="nil"/>
              <w:bottom w:val="single" w:color="000000" w:sz="4" w:space="0"/>
              <w:right w:val="single" w:color="000000" w:sz="4" w:space="0"/>
            </w:tcBorders>
            <w:shd w:val="clear" w:color="auto" w:fill="auto"/>
            <w:vAlign w:val="center"/>
          </w:tcPr>
          <w:p w14:paraId="0C085AB1">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宋体"/>
                <w:i/>
                <w:iCs/>
                <w:color w:val="000000"/>
                <w:sz w:val="15"/>
                <w:szCs w:val="15"/>
              </w:rPr>
              <w:t>148　</w:t>
            </w:r>
          </w:p>
        </w:tc>
        <w:tc>
          <w:tcPr>
            <w:tcW w:w="588" w:type="dxa"/>
            <w:gridSpan w:val="6"/>
            <w:tcBorders>
              <w:top w:val="nil"/>
              <w:left w:val="nil"/>
              <w:bottom w:val="single" w:color="000000" w:sz="4" w:space="0"/>
              <w:right w:val="single" w:color="000000" w:sz="4" w:space="0"/>
            </w:tcBorders>
            <w:shd w:val="clear" w:color="auto" w:fill="auto"/>
            <w:vAlign w:val="center"/>
          </w:tcPr>
          <w:p w14:paraId="42342571">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20</w:t>
            </w:r>
          </w:p>
        </w:tc>
        <w:tc>
          <w:tcPr>
            <w:tcW w:w="369" w:type="dxa"/>
            <w:gridSpan w:val="4"/>
            <w:tcBorders>
              <w:top w:val="nil"/>
              <w:left w:val="nil"/>
              <w:bottom w:val="single" w:color="000000" w:sz="4" w:space="0"/>
              <w:right w:val="single" w:color="000000" w:sz="4" w:space="0"/>
            </w:tcBorders>
            <w:shd w:val="clear" w:color="auto" w:fill="auto"/>
            <w:vAlign w:val="center"/>
          </w:tcPr>
          <w:p w14:paraId="2345B778">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19　</w:t>
            </w:r>
          </w:p>
        </w:tc>
        <w:tc>
          <w:tcPr>
            <w:tcW w:w="1708" w:type="dxa"/>
            <w:gridSpan w:val="3"/>
            <w:tcBorders>
              <w:top w:val="nil"/>
              <w:left w:val="nil"/>
              <w:bottom w:val="single" w:color="000000" w:sz="4" w:space="0"/>
              <w:right w:val="single" w:color="000000" w:sz="4" w:space="0"/>
            </w:tcBorders>
            <w:shd w:val="clear" w:color="auto" w:fill="auto"/>
            <w:vAlign w:val="center"/>
          </w:tcPr>
          <w:p w14:paraId="0E3652EF">
            <w:pPr>
              <w:keepNext w:val="0"/>
              <w:keepLines w:val="0"/>
              <w:suppressLineNumbers w:val="0"/>
              <w:spacing w:before="0" w:beforeAutospacing="0" w:after="0" w:afterAutospacing="0" w:line="180" w:lineRule="exact"/>
              <w:ind w:left="0" w:right="0"/>
              <w:jc w:val="center"/>
              <w:rPr>
                <w:rFonts w:hint="default" w:ascii="微软雅黑" w:hAnsi="微软雅黑" w:cs="宋体"/>
                <w:i/>
                <w:iCs/>
                <w:color w:val="000000"/>
                <w:sz w:val="15"/>
                <w:szCs w:val="15"/>
              </w:rPr>
            </w:pPr>
            <w:r>
              <w:rPr>
                <w:rFonts w:hint="eastAsia" w:ascii="微软雅黑" w:hAnsi="微软雅黑" w:cs="微软雅黑"/>
                <w:i/>
                <w:iCs/>
                <w:color w:val="000000"/>
                <w:sz w:val="15"/>
                <w:szCs w:val="15"/>
              </w:rPr>
              <w:t>支付前期较缓慢。扣1分。　</w:t>
            </w:r>
          </w:p>
        </w:tc>
      </w:tr>
      <w:tr w14:paraId="01906E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287" w:hRule="atLeast"/>
        </w:trPr>
        <w:tc>
          <w:tcPr>
            <w:tcW w:w="7538"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14:paraId="35D87ABF">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合计</w:t>
            </w:r>
          </w:p>
        </w:tc>
        <w:tc>
          <w:tcPr>
            <w:tcW w:w="588" w:type="dxa"/>
            <w:gridSpan w:val="6"/>
            <w:tcBorders>
              <w:top w:val="nil"/>
              <w:left w:val="nil"/>
              <w:bottom w:val="single" w:color="000000" w:sz="4" w:space="0"/>
              <w:right w:val="single" w:color="000000" w:sz="4" w:space="0"/>
            </w:tcBorders>
            <w:shd w:val="clear" w:color="auto" w:fill="auto"/>
            <w:vAlign w:val="center"/>
          </w:tcPr>
          <w:p w14:paraId="3BEA4C8A">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100</w:t>
            </w:r>
          </w:p>
        </w:tc>
        <w:tc>
          <w:tcPr>
            <w:tcW w:w="369" w:type="dxa"/>
            <w:gridSpan w:val="4"/>
            <w:tcBorders>
              <w:top w:val="nil"/>
              <w:left w:val="nil"/>
              <w:bottom w:val="single" w:color="000000" w:sz="4" w:space="0"/>
              <w:right w:val="single" w:color="000000" w:sz="4" w:space="0"/>
            </w:tcBorders>
            <w:shd w:val="clear" w:color="auto" w:fill="auto"/>
            <w:vAlign w:val="center"/>
          </w:tcPr>
          <w:p w14:paraId="55F8C185">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5"/>
                <w:szCs w:val="15"/>
              </w:rPr>
            </w:pPr>
            <w:r>
              <w:rPr>
                <w:rFonts w:hint="eastAsia" w:ascii="宋体" w:hAnsi="宋体" w:eastAsia="宋体" w:cs="宋体"/>
                <w:color w:val="000000"/>
                <w:sz w:val="15"/>
                <w:szCs w:val="15"/>
              </w:rPr>
              <w:t>　98</w:t>
            </w:r>
          </w:p>
        </w:tc>
        <w:tc>
          <w:tcPr>
            <w:tcW w:w="1708" w:type="dxa"/>
            <w:gridSpan w:val="3"/>
            <w:tcBorders>
              <w:top w:val="nil"/>
              <w:left w:val="nil"/>
              <w:bottom w:val="single" w:color="000000" w:sz="4" w:space="0"/>
              <w:right w:val="single" w:color="000000" w:sz="4" w:space="0"/>
            </w:tcBorders>
            <w:shd w:val="clear" w:color="auto" w:fill="auto"/>
            <w:vAlign w:val="center"/>
          </w:tcPr>
          <w:p w14:paraId="444CB768">
            <w:pPr>
              <w:keepNext w:val="0"/>
              <w:keepLines w:val="0"/>
              <w:suppressLineNumbers w:val="0"/>
              <w:spacing w:before="0" w:beforeAutospacing="0" w:after="0" w:afterAutospacing="0" w:line="180" w:lineRule="exact"/>
              <w:ind w:left="0" w:right="0"/>
              <w:rPr>
                <w:rFonts w:hint="default" w:ascii="宋体" w:hAnsi="宋体" w:eastAsia="宋体" w:cs="宋体"/>
                <w:color w:val="000000"/>
                <w:sz w:val="15"/>
                <w:szCs w:val="15"/>
              </w:rPr>
            </w:pPr>
            <w:r>
              <w:rPr>
                <w:rFonts w:hint="eastAsia" w:ascii="宋体" w:hAnsi="宋体" w:eastAsia="宋体" w:cs="宋体"/>
                <w:color w:val="000000"/>
                <w:sz w:val="15"/>
                <w:szCs w:val="15"/>
              </w:rPr>
              <w:t>　</w:t>
            </w:r>
          </w:p>
        </w:tc>
      </w:tr>
      <w:tr w14:paraId="28EDAC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583" w:hRule="atLeast"/>
        </w:trPr>
        <w:tc>
          <w:tcPr>
            <w:tcW w:w="804" w:type="dxa"/>
            <w:gridSpan w:val="3"/>
            <w:tcBorders>
              <w:top w:val="nil"/>
              <w:left w:val="single" w:color="000000" w:sz="4" w:space="0"/>
              <w:bottom w:val="single" w:color="000000" w:sz="4" w:space="0"/>
              <w:right w:val="single" w:color="000000" w:sz="4" w:space="0"/>
            </w:tcBorders>
            <w:shd w:val="clear" w:color="auto" w:fill="auto"/>
            <w:vAlign w:val="center"/>
          </w:tcPr>
          <w:p w14:paraId="173ED261">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评价结论</w:t>
            </w:r>
          </w:p>
        </w:tc>
        <w:tc>
          <w:tcPr>
            <w:tcW w:w="9399" w:type="dxa"/>
            <w:gridSpan w:val="55"/>
            <w:tcBorders>
              <w:top w:val="single" w:color="000000" w:sz="4" w:space="0"/>
              <w:left w:val="nil"/>
              <w:bottom w:val="single" w:color="000000" w:sz="4" w:space="0"/>
              <w:right w:val="single" w:color="000000" w:sz="4" w:space="0"/>
            </w:tcBorders>
            <w:shd w:val="clear" w:color="auto" w:fill="auto"/>
            <w:vAlign w:val="center"/>
          </w:tcPr>
          <w:p w14:paraId="1584A9DE">
            <w:pPr>
              <w:keepNext w:val="0"/>
              <w:keepLines w:val="0"/>
              <w:suppressLineNumbers w:val="0"/>
              <w:spacing w:before="0" w:beforeAutospacing="0" w:after="0" w:afterAutospacing="0" w:line="180" w:lineRule="exact"/>
              <w:ind w:left="0" w:right="0"/>
              <w:textAlignment w:val="center"/>
              <w:rPr>
                <w:rFonts w:hint="default" w:ascii="微软雅黑" w:hAnsi="微软雅黑" w:cs="宋体"/>
                <w:i/>
                <w:iCs/>
                <w:color w:val="000000"/>
                <w:sz w:val="15"/>
                <w:szCs w:val="15"/>
              </w:rPr>
            </w:pPr>
            <w:r>
              <w:rPr>
                <w:rFonts w:hint="eastAsia" w:ascii="微软雅黑" w:hAnsi="微软雅黑" w:cs="微软雅黑"/>
                <w:i/>
                <w:iCs/>
                <w:color w:val="000000"/>
                <w:sz w:val="15"/>
                <w:szCs w:val="15"/>
              </w:rPr>
              <w:t>围绕省科协天府科技云服务重点工作，5个项目组完成了设定的表彰奖励优秀科技工作者，维护视讯中心、互联网+科普平台建设网络运行，实施学会能力提升计划；开发科普资源；组织开展青少年科技创新教育活动；院士专家工作站及企事业科协建设；参加中国科协省科协及相关部门业务党务培训；开展科普进乡村大篷车进校园等科普活动等任务。项目的实施助推了凉山经济社会发展。从产出、效益、满意度等指标进行了以上打分，预算执行率100%，执行情况良好，自评得分98分。</w:t>
            </w:r>
          </w:p>
        </w:tc>
      </w:tr>
      <w:tr w14:paraId="66A4C3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369" w:hRule="atLeast"/>
        </w:trPr>
        <w:tc>
          <w:tcPr>
            <w:tcW w:w="804" w:type="dxa"/>
            <w:gridSpan w:val="3"/>
            <w:tcBorders>
              <w:top w:val="nil"/>
              <w:left w:val="single" w:color="000000" w:sz="4" w:space="0"/>
              <w:bottom w:val="single" w:color="000000" w:sz="4" w:space="0"/>
              <w:right w:val="single" w:color="000000" w:sz="4" w:space="0"/>
            </w:tcBorders>
            <w:shd w:val="clear" w:color="auto" w:fill="auto"/>
            <w:vAlign w:val="center"/>
          </w:tcPr>
          <w:p w14:paraId="20C3275E">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存在问题</w:t>
            </w:r>
          </w:p>
        </w:tc>
        <w:tc>
          <w:tcPr>
            <w:tcW w:w="9399" w:type="dxa"/>
            <w:gridSpan w:val="55"/>
            <w:tcBorders>
              <w:top w:val="single" w:color="000000" w:sz="4" w:space="0"/>
              <w:left w:val="nil"/>
              <w:bottom w:val="single" w:color="000000" w:sz="4" w:space="0"/>
              <w:right w:val="single" w:color="000000" w:sz="4" w:space="0"/>
            </w:tcBorders>
            <w:shd w:val="clear" w:color="auto" w:fill="auto"/>
            <w:vAlign w:val="center"/>
          </w:tcPr>
          <w:p w14:paraId="1324EF31">
            <w:pPr>
              <w:keepNext w:val="0"/>
              <w:keepLines w:val="0"/>
              <w:suppressLineNumbers w:val="0"/>
              <w:spacing w:before="0" w:beforeAutospacing="0" w:after="0" w:afterAutospacing="0" w:line="180" w:lineRule="exact"/>
              <w:ind w:left="0" w:right="0"/>
              <w:textAlignment w:val="center"/>
              <w:rPr>
                <w:rFonts w:hint="default" w:ascii="微软雅黑" w:hAnsi="微软雅黑" w:cs="宋体"/>
                <w:i/>
                <w:iCs/>
                <w:color w:val="000000"/>
                <w:sz w:val="15"/>
                <w:szCs w:val="15"/>
              </w:rPr>
            </w:pPr>
            <w:r>
              <w:rPr>
                <w:rFonts w:hint="eastAsia" w:ascii="微软雅黑" w:hAnsi="微软雅黑" w:cs="微软雅黑"/>
                <w:i/>
                <w:iCs/>
                <w:color w:val="000000"/>
                <w:sz w:val="15"/>
                <w:szCs w:val="15"/>
              </w:rPr>
              <w:t>因新冠疫情余波影响部分项目资金支付前期较缓慢，影响了资金使用效率。预算经济科目编制不够准确，与实际支出存在差异。科普经费有限，服务群众满意度未达设定目标。</w:t>
            </w:r>
          </w:p>
        </w:tc>
      </w:tr>
      <w:tr w14:paraId="28818D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448" w:hRule="atLeast"/>
        </w:trPr>
        <w:tc>
          <w:tcPr>
            <w:tcW w:w="804" w:type="dxa"/>
            <w:gridSpan w:val="3"/>
            <w:tcBorders>
              <w:top w:val="nil"/>
              <w:left w:val="single" w:color="000000" w:sz="4" w:space="0"/>
              <w:bottom w:val="single" w:color="000000" w:sz="4" w:space="0"/>
              <w:right w:val="single" w:color="000000" w:sz="4" w:space="0"/>
            </w:tcBorders>
            <w:shd w:val="clear" w:color="auto" w:fill="auto"/>
            <w:vAlign w:val="center"/>
          </w:tcPr>
          <w:p w14:paraId="15CFE984">
            <w:pPr>
              <w:keepNext w:val="0"/>
              <w:keepLines w:val="0"/>
              <w:suppressLineNumbers w:val="0"/>
              <w:spacing w:before="0" w:beforeAutospacing="0" w:after="0" w:afterAutospacing="0" w:line="180" w:lineRule="exact"/>
              <w:ind w:left="0" w:right="0"/>
              <w:jc w:val="center"/>
              <w:rPr>
                <w:rFonts w:hint="default" w:ascii="宋体" w:hAnsi="宋体" w:eastAsia="宋体" w:cs="宋体"/>
                <w:color w:val="000000"/>
                <w:sz w:val="15"/>
                <w:szCs w:val="15"/>
              </w:rPr>
            </w:pPr>
            <w:r>
              <w:rPr>
                <w:rFonts w:hint="eastAsia" w:ascii="宋体" w:hAnsi="宋体" w:eastAsia="宋体" w:cs="宋体"/>
                <w:color w:val="000000"/>
                <w:sz w:val="15"/>
                <w:szCs w:val="15"/>
              </w:rPr>
              <w:t>改进措施</w:t>
            </w:r>
          </w:p>
        </w:tc>
        <w:tc>
          <w:tcPr>
            <w:tcW w:w="9399" w:type="dxa"/>
            <w:gridSpan w:val="55"/>
            <w:tcBorders>
              <w:top w:val="single" w:color="000000" w:sz="4" w:space="0"/>
              <w:left w:val="nil"/>
              <w:bottom w:val="single" w:color="000000" w:sz="4" w:space="0"/>
              <w:right w:val="single" w:color="000000" w:sz="4" w:space="0"/>
            </w:tcBorders>
            <w:shd w:val="clear" w:color="auto" w:fill="auto"/>
            <w:vAlign w:val="center"/>
          </w:tcPr>
          <w:p w14:paraId="366BA4DE">
            <w:pPr>
              <w:keepNext w:val="0"/>
              <w:keepLines w:val="0"/>
              <w:suppressLineNumbers w:val="0"/>
              <w:spacing w:before="0" w:beforeAutospacing="0" w:after="0" w:afterAutospacing="0" w:line="180" w:lineRule="exact"/>
              <w:ind w:left="0" w:right="0"/>
              <w:textAlignment w:val="center"/>
              <w:rPr>
                <w:rFonts w:hint="default" w:ascii="微软雅黑" w:hAnsi="微软雅黑" w:cs="宋体"/>
                <w:i/>
                <w:iCs/>
                <w:color w:val="000000"/>
                <w:sz w:val="15"/>
                <w:szCs w:val="15"/>
              </w:rPr>
            </w:pPr>
            <w:r>
              <w:rPr>
                <w:rFonts w:hint="eastAsia" w:ascii="微软雅黑" w:hAnsi="微软雅黑" w:cs="微软雅黑"/>
                <w:i/>
                <w:iCs/>
                <w:color w:val="000000"/>
                <w:sz w:val="15"/>
                <w:szCs w:val="15"/>
              </w:rPr>
              <w:t>项目组应设定备选方案，并与财务及时沟通，尽量减少因客观原因造成项目无法实施形成沉淀资金，努力提高资金使用效率。经济科目预算编制应尽量准确。争取科普经费的投入、尽可能满足人民群众需求。</w:t>
            </w:r>
          </w:p>
        </w:tc>
      </w:tr>
      <w:tr w14:paraId="1E6366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496" w:type="dxa"/>
          <w:trHeight w:val="278" w:hRule="atLeast"/>
        </w:trPr>
        <w:tc>
          <w:tcPr>
            <w:tcW w:w="5360"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375248CA">
            <w:pPr>
              <w:keepNext w:val="0"/>
              <w:keepLines w:val="0"/>
              <w:suppressLineNumbers w:val="0"/>
              <w:spacing w:before="0" w:beforeAutospacing="0" w:after="0" w:afterAutospacing="0" w:line="180" w:lineRule="exact"/>
              <w:ind w:left="0" w:right="0"/>
              <w:rPr>
                <w:rFonts w:hint="default" w:ascii="Courier New" w:hAnsi="Courier New" w:cs="Courier New"/>
                <w:color w:val="000000"/>
                <w:sz w:val="15"/>
                <w:szCs w:val="15"/>
              </w:rPr>
            </w:pPr>
            <w:r>
              <w:rPr>
                <w:rFonts w:hint="eastAsia" w:ascii="Courier New" w:hAnsi="Courier New" w:eastAsia="宋体" w:cs="Courier New"/>
                <w:color w:val="000000"/>
                <w:sz w:val="15"/>
                <w:szCs w:val="15"/>
              </w:rPr>
              <w:t>项目负责人：凌静、吴家英、吴朝兰、赵菲、李阳德</w:t>
            </w:r>
          </w:p>
        </w:tc>
        <w:tc>
          <w:tcPr>
            <w:tcW w:w="4843" w:type="dxa"/>
            <w:gridSpan w:val="35"/>
            <w:tcBorders>
              <w:top w:val="single" w:color="000000" w:sz="4" w:space="0"/>
              <w:left w:val="nil"/>
              <w:bottom w:val="single" w:color="000000" w:sz="4" w:space="0"/>
              <w:right w:val="single" w:color="000000" w:sz="4" w:space="0"/>
            </w:tcBorders>
            <w:shd w:val="clear" w:color="auto" w:fill="auto"/>
            <w:vAlign w:val="center"/>
          </w:tcPr>
          <w:p w14:paraId="7D15731D">
            <w:pPr>
              <w:keepNext w:val="0"/>
              <w:keepLines w:val="0"/>
              <w:suppressLineNumbers w:val="0"/>
              <w:spacing w:before="0" w:beforeAutospacing="0" w:after="0" w:afterAutospacing="0" w:line="180" w:lineRule="exact"/>
              <w:ind w:left="0" w:right="0"/>
              <w:rPr>
                <w:rFonts w:hint="default" w:ascii="Courier New" w:hAnsi="Courier New" w:cs="Courier New"/>
                <w:color w:val="000000"/>
                <w:sz w:val="15"/>
                <w:szCs w:val="15"/>
              </w:rPr>
            </w:pPr>
            <w:r>
              <w:rPr>
                <w:rFonts w:hint="eastAsia" w:ascii="Courier New" w:hAnsi="Courier New" w:eastAsia="宋体" w:cs="Courier New"/>
                <w:color w:val="000000"/>
                <w:sz w:val="15"/>
                <w:szCs w:val="15"/>
              </w:rPr>
              <w:t>财务负责人：毛正华</w:t>
            </w:r>
          </w:p>
        </w:tc>
      </w:tr>
      <w:tr w14:paraId="2D37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401" w:hRule="atLeast"/>
        </w:trPr>
        <w:tc>
          <w:tcPr>
            <w:tcW w:w="9579"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6330">
            <w:pPr>
              <w:keepNext w:val="0"/>
              <w:keepLines w:val="0"/>
              <w:widowControl/>
              <w:suppressLineNumbers w:val="0"/>
              <w:spacing w:before="0" w:beforeAutospacing="0" w:after="0" w:afterAutospacing="0" w:line="220" w:lineRule="exact"/>
              <w:ind w:left="0" w:right="0"/>
              <w:jc w:val="center"/>
              <w:textAlignment w:val="center"/>
              <w:rPr>
                <w:rFonts w:hint="eastAsia" w:ascii="黑体" w:hAnsi="宋体" w:eastAsia="黑体" w:cs="黑体"/>
                <w:b/>
                <w:bCs w:val="0"/>
                <w:color w:val="000000"/>
                <w:sz w:val="15"/>
                <w:szCs w:val="15"/>
                <w:lang w:val="en-US"/>
              </w:rPr>
            </w:pPr>
            <w:r>
              <w:rPr>
                <w:rFonts w:hint="eastAsia" w:ascii="黑体" w:hAnsi="宋体" w:eastAsia="黑体" w:cs="黑体"/>
                <w:b/>
                <w:bCs w:val="0"/>
                <w:color w:val="000000"/>
                <w:kern w:val="0"/>
                <w:sz w:val="24"/>
                <w:szCs w:val="24"/>
                <w:lang w:val="en-US" w:eastAsia="zh-CN" w:bidi="ar"/>
              </w:rPr>
              <w:t>部门预算项目支出绩效自评表（2023年度）</w:t>
            </w:r>
          </w:p>
        </w:tc>
      </w:tr>
      <w:tr w14:paraId="6224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198" w:hRule="atLeast"/>
        </w:trPr>
        <w:tc>
          <w:tcPr>
            <w:tcW w:w="17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6E3F4">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项目名称</w:t>
            </w:r>
          </w:p>
        </w:tc>
        <w:tc>
          <w:tcPr>
            <w:tcW w:w="786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1C47C">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51340022T000000279095-凉山州科学技术协会换届选举项目</w:t>
            </w:r>
          </w:p>
        </w:tc>
      </w:tr>
      <w:tr w14:paraId="47AF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17" w:hRule="atLeast"/>
        </w:trPr>
        <w:tc>
          <w:tcPr>
            <w:tcW w:w="17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C5692">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主管部门</w:t>
            </w:r>
          </w:p>
        </w:tc>
        <w:tc>
          <w:tcPr>
            <w:tcW w:w="428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A1580">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凉山州科学技术协会部门</w:t>
            </w:r>
          </w:p>
        </w:tc>
        <w:tc>
          <w:tcPr>
            <w:tcW w:w="893" w:type="dxa"/>
            <w:gridSpan w:val="7"/>
            <w:shd w:val="clear" w:color="auto" w:fill="auto"/>
            <w:tcMar>
              <w:top w:w="15" w:type="dxa"/>
              <w:left w:w="15" w:type="dxa"/>
              <w:right w:w="15" w:type="dxa"/>
            </w:tcMar>
            <w:vAlign w:val="center"/>
          </w:tcPr>
          <w:p w14:paraId="3567AC3C">
            <w:pPr>
              <w:keepNext w:val="0"/>
              <w:keepLines w:val="0"/>
              <w:widowControl/>
              <w:suppressLineNumbers w:val="0"/>
              <w:spacing w:before="0" w:beforeAutospacing="0" w:after="0" w:afterAutospacing="0" w:line="180" w:lineRule="exact"/>
              <w:ind w:left="0" w:right="0"/>
              <w:jc w:val="left"/>
              <w:textAlignment w:val="center"/>
              <w:rPr>
                <w:rFonts w:hint="eastAsia" w:ascii="黑体" w:hAnsi="宋体" w:eastAsia="黑体" w:cs="黑体"/>
                <w:color w:val="000000"/>
                <w:sz w:val="15"/>
                <w:szCs w:val="15"/>
                <w:lang w:val="en-US"/>
              </w:rPr>
            </w:pPr>
            <w:r>
              <w:rPr>
                <w:rFonts w:hint="eastAsia" w:ascii="黑体" w:hAnsi="宋体" w:eastAsia="黑体" w:cs="黑体"/>
                <w:color w:val="000000"/>
                <w:kern w:val="0"/>
                <w:sz w:val="15"/>
                <w:szCs w:val="15"/>
                <w:lang w:val="en-US" w:eastAsia="zh-CN" w:bidi="ar"/>
              </w:rPr>
              <w:t>实施单位 （盖章）</w:t>
            </w:r>
          </w:p>
        </w:tc>
        <w:tc>
          <w:tcPr>
            <w:tcW w:w="269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079C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凉山州科学技术协会</w:t>
            </w:r>
          </w:p>
        </w:tc>
      </w:tr>
      <w:tr w14:paraId="3420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198" w:hRule="atLeast"/>
        </w:trPr>
        <w:tc>
          <w:tcPr>
            <w:tcW w:w="8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54EB1">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项目基本情况</w:t>
            </w:r>
          </w:p>
        </w:tc>
        <w:tc>
          <w:tcPr>
            <w:tcW w:w="8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2F4B">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1.项目年度目标完成情况</w:t>
            </w:r>
          </w:p>
        </w:tc>
        <w:tc>
          <w:tcPr>
            <w:tcW w:w="428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259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项目年度目标</w:t>
            </w:r>
          </w:p>
        </w:tc>
        <w:tc>
          <w:tcPr>
            <w:tcW w:w="3583"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436D5">
            <w:pPr>
              <w:keepNext w:val="0"/>
              <w:keepLines w:val="0"/>
              <w:widowControl/>
              <w:suppressLineNumbers w:val="0"/>
              <w:spacing w:before="0" w:beforeAutospacing="0" w:after="0" w:afterAutospacing="0" w:line="180" w:lineRule="exact"/>
              <w:ind w:left="0" w:right="0"/>
              <w:jc w:val="center"/>
              <w:textAlignment w:val="center"/>
              <w:rPr>
                <w:rFonts w:hint="eastAsia" w:ascii="黑体" w:hAnsi="宋体" w:eastAsia="黑体" w:cs="黑体"/>
                <w:color w:val="000000"/>
                <w:sz w:val="15"/>
                <w:szCs w:val="15"/>
                <w:lang w:val="en-US"/>
              </w:rPr>
            </w:pPr>
            <w:r>
              <w:rPr>
                <w:rFonts w:hint="eastAsia" w:ascii="宋体" w:hAnsi="宋体" w:eastAsia="宋体" w:cs="宋体"/>
                <w:color w:val="000000"/>
                <w:kern w:val="0"/>
                <w:sz w:val="15"/>
                <w:szCs w:val="15"/>
                <w:lang w:val="en-US" w:eastAsia="zh-CN" w:bidi="ar"/>
              </w:rPr>
              <w:t>年度目标完成情况</w:t>
            </w:r>
          </w:p>
        </w:tc>
      </w:tr>
      <w:tr w14:paraId="5C9B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1437"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988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CFC6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428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DCAB3">
            <w:pPr>
              <w:pStyle w:val="16"/>
              <w:keepNext w:val="0"/>
              <w:keepLines w:val="0"/>
              <w:widowControl w:val="0"/>
              <w:suppressLineNumbers w:val="0"/>
              <w:autoSpaceDE w:val="0"/>
              <w:autoSpaceDN w:val="0"/>
              <w:adjustRightInd w:val="0"/>
              <w:spacing w:before="0" w:beforeAutospacing="0" w:after="0" w:afterAutospacing="0" w:line="200" w:lineRule="exact"/>
              <w:ind w:left="0" w:right="0" w:firstLine="300" w:firstLineChars="200"/>
              <w:jc w:val="both"/>
              <w:rPr>
                <w:rFonts w:hint="eastAsia" w:ascii="宋体" w:hAnsi="宋体" w:eastAsia="宋体" w:cs="宋体"/>
                <w:kern w:val="2"/>
                <w:sz w:val="15"/>
                <w:szCs w:val="15"/>
                <w:lang w:val="en-US"/>
              </w:rPr>
            </w:pPr>
            <w:r>
              <w:rPr>
                <w:rFonts w:hint="eastAsia" w:ascii="宋体" w:hAnsi="宋体" w:eastAsia="宋体" w:cs="宋体"/>
                <w:color w:val="000000"/>
                <w:kern w:val="2"/>
                <w:sz w:val="15"/>
                <w:szCs w:val="15"/>
                <w:lang w:val="en-US" w:eastAsia="zh-CN" w:bidi="ar"/>
              </w:rPr>
              <w:t>召开州科协第五次代表大会选举产生新一届委员会。意在按照《中国科学技术协会章程》开展换届工作，听取和审议凉山彝族自治州科学技术协会第四届委员会工作报告；审议通过凉山彝族自治州科学技术协会实施《四川省科学技术协会实施〈中国科学技术协会章程〉细则》的办法（修改草案）；选举凉山彝族自治州科学技术协会新一届领导班子。</w:t>
            </w:r>
          </w:p>
        </w:tc>
        <w:tc>
          <w:tcPr>
            <w:tcW w:w="3583"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DD670">
            <w:pPr>
              <w:pStyle w:val="16"/>
              <w:keepNext w:val="0"/>
              <w:keepLines w:val="0"/>
              <w:widowControl w:val="0"/>
              <w:suppressLineNumbers w:val="0"/>
              <w:autoSpaceDE w:val="0"/>
              <w:autoSpaceDN w:val="0"/>
              <w:adjustRightInd w:val="0"/>
              <w:spacing w:before="0" w:beforeAutospacing="0" w:after="0" w:afterAutospacing="0" w:line="200" w:lineRule="exact"/>
              <w:ind w:left="0" w:right="0" w:firstLine="300" w:firstLineChars="200"/>
              <w:jc w:val="both"/>
              <w:rPr>
                <w:rFonts w:hint="eastAsia" w:ascii="宋体" w:hAnsi="宋体" w:eastAsia="宋体" w:cs="宋体"/>
                <w:color w:val="auto"/>
                <w:kern w:val="2"/>
                <w:sz w:val="15"/>
                <w:szCs w:val="15"/>
                <w:lang w:val="en-US"/>
              </w:rPr>
            </w:pPr>
            <w:r>
              <w:rPr>
                <w:rFonts w:hint="eastAsia" w:ascii="宋体" w:hAnsi="宋体" w:eastAsia="宋体" w:cs="宋体"/>
                <w:color w:val="auto"/>
                <w:kern w:val="2"/>
                <w:sz w:val="15"/>
                <w:szCs w:val="15"/>
                <w:lang w:val="en-US" w:eastAsia="zh-CN" w:bidi="ar"/>
              </w:rPr>
              <w:t>凉山州科学技术协会第五次代表大会于11月16日至17日成功召开，本次代表大会应到代表243名，实到代表204名，选举产生了第五届委员会委员53名、常委委员25名、主席1名、副主席（含兼职）9名、秘书长1名。顺利的完成了此次换届选举各项工作事宜。</w:t>
            </w:r>
          </w:p>
          <w:p w14:paraId="1D5D8F5A">
            <w:pPr>
              <w:keepNext w:val="0"/>
              <w:keepLines w:val="0"/>
              <w:widowControl/>
              <w:suppressLineNumbers w:val="0"/>
              <w:spacing w:before="0" w:beforeAutospacing="0" w:after="0" w:afterAutospacing="0" w:line="180" w:lineRule="exact"/>
              <w:ind w:left="0" w:right="0"/>
              <w:jc w:val="left"/>
              <w:textAlignment w:val="center"/>
              <w:rPr>
                <w:rFonts w:hint="eastAsia" w:ascii="黑体" w:hAnsi="宋体" w:eastAsia="黑体" w:cs="黑体"/>
                <w:sz w:val="15"/>
                <w:szCs w:val="15"/>
                <w:lang w:val="en-US"/>
              </w:rPr>
            </w:pPr>
          </w:p>
        </w:tc>
      </w:tr>
      <w:tr w14:paraId="3F3D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71"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AB8B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2B09">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2.项目实施内容及过程概述</w:t>
            </w:r>
          </w:p>
        </w:tc>
        <w:tc>
          <w:tcPr>
            <w:tcW w:w="786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1545">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2022年预算财政资金44.84万元，准备召开州科协第五次代表大会，由于疫情形势严峻，第五次代表大会被迫延迟召开。2023年3月，第五次代表大会安排部署工作正式启动，并成立会议筹备小组，历时8个多月，经多部门沟通、协调、请示、审批等程序，最终完成会议筹备工作。会议于2024年11月15日至11月17日如期召开。项目实施流程包括筹备阶段、宣传阶段、选举阶段以及总结交接阶段，各阶段工作均按照既定计划有序进行。本次换届项目使用资金44.29万元，节约会议费开支0.55万元，如数上交财政。</w:t>
            </w:r>
          </w:p>
        </w:tc>
      </w:tr>
      <w:tr w14:paraId="3B5C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71" w:hRule="atLeast"/>
        </w:trPr>
        <w:tc>
          <w:tcPr>
            <w:tcW w:w="8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51DA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预算执行情况（10分）</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4288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年度预算数（万元）</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B32B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年初预算</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2C0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调整后预算数</w:t>
            </w:r>
          </w:p>
        </w:tc>
        <w:tc>
          <w:tcPr>
            <w:tcW w:w="15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503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预算执行数</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459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预算执行率</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449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权重</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DEFB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得分</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0C0F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原因</w:t>
            </w:r>
          </w:p>
        </w:tc>
      </w:tr>
      <w:tr w14:paraId="2216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71"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8633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B81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总额</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D0A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E40A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44.29</w:t>
            </w:r>
          </w:p>
        </w:tc>
        <w:tc>
          <w:tcPr>
            <w:tcW w:w="15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30E2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44.29</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C83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100.00%</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2A46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E1B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　</w:t>
            </w:r>
          </w:p>
        </w:tc>
        <w:tc>
          <w:tcPr>
            <w:tcW w:w="1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CC13B">
            <w:pPr>
              <w:keepNext w:val="0"/>
              <w:keepLines w:val="0"/>
              <w:widowControl/>
              <w:suppressLineNumbers w:val="0"/>
              <w:spacing w:before="0" w:beforeAutospacing="0" w:after="0" w:afterAutospacing="0" w:line="180" w:lineRule="exact"/>
              <w:ind w:left="0" w:right="0"/>
              <w:jc w:val="left"/>
              <w:textAlignment w:val="center"/>
              <w:rPr>
                <w:rFonts w:hint="eastAsia" w:ascii="黑体" w:hAnsi="宋体" w:eastAsia="黑体" w:cs="黑体"/>
                <w:i/>
                <w:iCs w:val="0"/>
                <w:color w:val="000000"/>
                <w:sz w:val="15"/>
                <w:szCs w:val="15"/>
                <w:lang w:val="en-US"/>
              </w:rPr>
            </w:pPr>
          </w:p>
        </w:tc>
      </w:tr>
      <w:tr w14:paraId="69C9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71"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7973">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753D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其中：财政资金</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8957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0B2D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44.29</w:t>
            </w:r>
          </w:p>
        </w:tc>
        <w:tc>
          <w:tcPr>
            <w:tcW w:w="15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078C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44.29</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0887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100.00%</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9D8F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E70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1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1ED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61FE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403"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8A7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234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财政专户管理资金</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DDC1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F16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15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68B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4BDD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85A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8DB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1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1028D">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3A90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36"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C505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F122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单位资金</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106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7CC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15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C99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915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80F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2D97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1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41A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55F6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09"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4AF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EC5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其他资金</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7F51F">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8DDCF">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15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8B687">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C90E2">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4BA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7B7B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1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16AA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5E5B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421" w:hRule="atLeast"/>
        </w:trPr>
        <w:tc>
          <w:tcPr>
            <w:tcW w:w="8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94E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绩效指标（90分）</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2B8A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一级指标</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6A8C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二级指标</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8B31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三级指标</w:t>
            </w:r>
          </w:p>
        </w:tc>
        <w:tc>
          <w:tcPr>
            <w:tcW w:w="4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457A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指标性质</w:t>
            </w:r>
          </w:p>
        </w:tc>
        <w:tc>
          <w:tcPr>
            <w:tcW w:w="6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BBEA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指标值</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A17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度量单位</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958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完成值</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290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权重</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699E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得分</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D5B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未完成原因分析</w:t>
            </w:r>
          </w:p>
        </w:tc>
      </w:tr>
      <w:tr w14:paraId="4C96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415"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F40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AAE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产出指标</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B0D8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数量指标</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E318F">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FF"/>
                <w:sz w:val="15"/>
                <w:szCs w:val="15"/>
                <w:lang w:val="en-US"/>
              </w:rPr>
            </w:pPr>
            <w:r>
              <w:rPr>
                <w:rFonts w:hint="eastAsia" w:ascii="宋体" w:hAnsi="宋体" w:eastAsia="宋体" w:cs="宋体"/>
                <w:kern w:val="0"/>
                <w:sz w:val="15"/>
                <w:szCs w:val="15"/>
                <w:lang w:val="en-US" w:eastAsia="zh-CN" w:bidi="ar"/>
              </w:rPr>
              <w:t>预计参会代表230人次。</w:t>
            </w:r>
          </w:p>
        </w:tc>
        <w:tc>
          <w:tcPr>
            <w:tcW w:w="4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A1F7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6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EC9B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230</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BEF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人</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150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204</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5D8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20</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9A39A">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20</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2A92A">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r>
      <w:tr w14:paraId="0F90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446"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115A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7BFE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E9B2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质量指标</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5DDC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FF"/>
                <w:sz w:val="15"/>
                <w:szCs w:val="15"/>
                <w:lang w:val="en-US"/>
              </w:rPr>
            </w:pPr>
            <w:r>
              <w:rPr>
                <w:rFonts w:hint="eastAsia" w:ascii="宋体" w:hAnsi="宋体" w:eastAsia="宋体" w:cs="宋体"/>
                <w:color w:val="000000"/>
                <w:kern w:val="2"/>
                <w:sz w:val="15"/>
                <w:szCs w:val="15"/>
                <w:lang w:val="en-US" w:eastAsia="zh-CN" w:bidi="ar"/>
              </w:rPr>
              <w:t>州科协第五次代表大会代表参会率</w:t>
            </w:r>
          </w:p>
        </w:tc>
        <w:tc>
          <w:tcPr>
            <w:tcW w:w="4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30B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6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BD00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80</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3C1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397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89%</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8E4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B15D">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E672">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r>
      <w:tr w14:paraId="0668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77"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AA5B">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0118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6371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时效指标</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BFEB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2023年1-11月完成</w:t>
            </w:r>
          </w:p>
        </w:tc>
        <w:tc>
          <w:tcPr>
            <w:tcW w:w="4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A261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6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418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E91C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年</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902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CA3D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E14E">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5F5A">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r>
      <w:tr w14:paraId="43B4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2435"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71D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F73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效益指标</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461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社会效益指标</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330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通过本项目的实施，州科协换届选举工作得以顺利进行，为科协注入了新的活力。新一届科协领导班子将带领全州广大科协工作者继续推动凉山科技事业的发展，为地方经济社会发展作出更大的贡献。同时，项目的实施也提高了科协代表的参与度和满意度，增强了科协的凝聚力和影响力。</w:t>
            </w:r>
          </w:p>
          <w:p w14:paraId="518B9A0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FF"/>
                <w:sz w:val="15"/>
                <w:szCs w:val="15"/>
                <w:lang w:val="en-US"/>
              </w:rPr>
            </w:pPr>
          </w:p>
        </w:tc>
        <w:tc>
          <w:tcPr>
            <w:tcW w:w="4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8F9E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6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D2BE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3</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EB8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项</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209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5</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E0D0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FDFCE">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7D511">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r>
      <w:tr w14:paraId="7AEF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295"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A2D0D">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F78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6DCF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可持续影响</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F3F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5</w:t>
            </w:r>
          </w:p>
        </w:tc>
        <w:tc>
          <w:tcPr>
            <w:tcW w:w="4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E00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6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02F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5</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A53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年</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559D">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宋体" w:hAnsi="宋体" w:eastAsia="宋体" w:cs="宋体"/>
                <w:color w:val="000000"/>
                <w:kern w:val="0"/>
                <w:sz w:val="15"/>
                <w:szCs w:val="15"/>
                <w:lang w:val="en-US" w:eastAsia="zh-CN" w:bidi="ar"/>
              </w:rPr>
              <w:t>5</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C66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5675E">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BE142">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r>
      <w:tr w14:paraId="1F7A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462"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918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B2E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满意度指标</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5DF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服务对象满意度指标</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985F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相关部门、参会代表满意度。</w:t>
            </w:r>
          </w:p>
        </w:tc>
        <w:tc>
          <w:tcPr>
            <w:tcW w:w="4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09FD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6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CDF8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95</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FE4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F0A14">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93%</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ADAC">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10</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F5C06">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9</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2901">
            <w:pPr>
              <w:keepNext w:val="0"/>
              <w:keepLines w:val="0"/>
              <w:widowControl w:val="0"/>
              <w:suppressLineNumbers w:val="0"/>
              <w:spacing w:before="0" w:beforeAutospacing="0" w:after="0" w:afterAutospacing="0" w:line="180" w:lineRule="exact"/>
              <w:ind w:left="0" w:right="0"/>
              <w:jc w:val="left"/>
              <w:rPr>
                <w:rFonts w:hint="eastAsia" w:ascii="微软雅黑" w:hAnsi="微软雅黑" w:eastAsia="微软雅黑" w:cs="微软雅黑"/>
                <w:i/>
                <w:iCs w:val="0"/>
                <w:color w:val="000000"/>
                <w:sz w:val="15"/>
                <w:szCs w:val="15"/>
                <w:lang w:val="en-US"/>
              </w:rPr>
            </w:pPr>
            <w:r>
              <w:rPr>
                <w:rFonts w:hint="eastAsia" w:ascii="Calibri" w:hAnsi="Calibri" w:eastAsia="宋体" w:cs="宋体"/>
                <w:kern w:val="2"/>
                <w:sz w:val="15"/>
                <w:szCs w:val="15"/>
                <w:lang w:val="en-US" w:eastAsia="zh-CN" w:bidi="ar"/>
              </w:rPr>
              <w:t>选举宣传工作还不够深、培训活动的针对性还不够强。</w:t>
            </w:r>
          </w:p>
        </w:tc>
      </w:tr>
      <w:tr w14:paraId="6537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71" w:hRule="atLeast"/>
        </w:trPr>
        <w:tc>
          <w:tcPr>
            <w:tcW w:w="8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CBDF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CA7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成本指标</w:t>
            </w:r>
          </w:p>
        </w:tc>
        <w:tc>
          <w:tcPr>
            <w:tcW w:w="1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6C46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经济成本指标</w:t>
            </w:r>
          </w:p>
        </w:tc>
        <w:tc>
          <w:tcPr>
            <w:tcW w:w="1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C36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换届选举会议费用</w:t>
            </w:r>
          </w:p>
        </w:tc>
        <w:tc>
          <w:tcPr>
            <w:tcW w:w="4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7AD0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6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EF3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44.29</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8433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万元</w:t>
            </w:r>
          </w:p>
        </w:tc>
        <w:tc>
          <w:tcPr>
            <w:tcW w:w="89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AD210">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sz w:val="15"/>
                <w:szCs w:val="15"/>
                <w:lang w:val="en-US"/>
              </w:rPr>
            </w:pPr>
            <w:r>
              <w:rPr>
                <w:rFonts w:hint="eastAsia" w:ascii="宋体" w:hAnsi="宋体" w:eastAsia="宋体" w:cs="宋体"/>
                <w:kern w:val="0"/>
                <w:sz w:val="15"/>
                <w:szCs w:val="15"/>
                <w:lang w:val="en-US" w:eastAsia="zh-CN" w:bidi="ar"/>
              </w:rPr>
              <w:t>44.29</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88CB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20</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2EB0D">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20</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CCC7D">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r>
      <w:tr w14:paraId="3784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296" w:hRule="atLeast"/>
        </w:trPr>
        <w:tc>
          <w:tcPr>
            <w:tcW w:w="6889"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A4F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合计</w:t>
            </w:r>
          </w:p>
        </w:tc>
        <w:tc>
          <w:tcPr>
            <w:tcW w:w="5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070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100</w:t>
            </w:r>
          </w:p>
        </w:tc>
        <w:tc>
          <w:tcPr>
            <w:tcW w:w="4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D8764">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99</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ADB7F">
            <w:pPr>
              <w:keepNext w:val="0"/>
              <w:keepLines w:val="0"/>
              <w:widowControl w:val="0"/>
              <w:suppressLineNumbers w:val="0"/>
              <w:spacing w:before="0" w:beforeAutospacing="0" w:after="0" w:afterAutospacing="0" w:line="180" w:lineRule="exact"/>
              <w:ind w:left="0" w:right="0"/>
              <w:jc w:val="both"/>
              <w:rPr>
                <w:rFonts w:hint="eastAsia" w:ascii="宋体" w:hAnsi="宋体" w:eastAsia="宋体" w:cs="宋体"/>
                <w:color w:val="000000"/>
                <w:sz w:val="15"/>
                <w:szCs w:val="15"/>
                <w:lang w:val="en-US"/>
              </w:rPr>
            </w:pPr>
          </w:p>
        </w:tc>
      </w:tr>
      <w:tr w14:paraId="0DFE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81" w:hRule="atLeast"/>
        </w:trPr>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FF7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评价结论</w:t>
            </w:r>
          </w:p>
        </w:tc>
        <w:tc>
          <w:tcPr>
            <w:tcW w:w="873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0AE3F">
            <w:pPr>
              <w:keepNext w:val="0"/>
              <w:keepLines w:val="0"/>
              <w:widowControl/>
              <w:suppressLineNumbers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5"/>
                <w:szCs w:val="15"/>
                <w:lang w:val="en-US"/>
              </w:rPr>
            </w:pPr>
            <w:r>
              <w:rPr>
                <w:rFonts w:hint="eastAsia" w:ascii="Calibri" w:hAnsi="Calibri" w:eastAsia="宋体" w:cs="宋体"/>
                <w:kern w:val="2"/>
                <w:sz w:val="15"/>
                <w:szCs w:val="15"/>
                <w:lang w:val="en-US" w:eastAsia="zh-CN" w:bidi="ar"/>
              </w:rPr>
              <w:t>严格执行换届选举项目预算，会议经费从严控制，及时申请支用保障会议如期召开。从产出、效益、满意度指标等进行了以上打分，预算执行率</w:t>
            </w:r>
            <w:r>
              <w:rPr>
                <w:rFonts w:hint="default" w:ascii="Calibri" w:hAnsi="Calibri" w:eastAsia="宋体" w:cs="Times New Roman"/>
                <w:kern w:val="2"/>
                <w:sz w:val="15"/>
                <w:szCs w:val="15"/>
                <w:lang w:val="en-US" w:eastAsia="zh-CN" w:bidi="ar"/>
              </w:rPr>
              <w:t>100%</w:t>
            </w:r>
            <w:r>
              <w:rPr>
                <w:rFonts w:hint="eastAsia" w:ascii="Calibri" w:hAnsi="Calibri" w:eastAsia="宋体" w:cs="宋体"/>
                <w:kern w:val="2"/>
                <w:sz w:val="15"/>
                <w:szCs w:val="15"/>
                <w:lang w:val="en-US" w:eastAsia="zh-CN" w:bidi="ar"/>
              </w:rPr>
              <w:t>，执行情况良好，自评得分</w:t>
            </w:r>
            <w:r>
              <w:rPr>
                <w:rFonts w:hint="default" w:ascii="Calibri" w:hAnsi="Calibri" w:eastAsia="宋体" w:cs="Times New Roman"/>
                <w:kern w:val="2"/>
                <w:sz w:val="15"/>
                <w:szCs w:val="15"/>
                <w:lang w:val="en-US" w:eastAsia="zh-CN" w:bidi="ar"/>
              </w:rPr>
              <w:t>99</w:t>
            </w:r>
            <w:r>
              <w:rPr>
                <w:rFonts w:hint="eastAsia" w:ascii="Calibri" w:hAnsi="Calibri" w:eastAsia="宋体" w:cs="宋体"/>
                <w:kern w:val="2"/>
                <w:sz w:val="15"/>
                <w:szCs w:val="15"/>
                <w:lang w:val="en-US" w:eastAsia="zh-CN" w:bidi="ar"/>
              </w:rPr>
              <w:t>分。</w:t>
            </w:r>
          </w:p>
        </w:tc>
      </w:tr>
      <w:tr w14:paraId="760A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10" w:hRule="atLeast"/>
        </w:trPr>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2D1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存在问题</w:t>
            </w:r>
          </w:p>
        </w:tc>
        <w:tc>
          <w:tcPr>
            <w:tcW w:w="873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6218F">
            <w:pPr>
              <w:keepNext w:val="0"/>
              <w:keepLines w:val="0"/>
              <w:widowControl/>
              <w:suppressLineNumbers w:val="0"/>
              <w:spacing w:before="0" w:beforeAutospacing="0" w:after="0" w:afterAutospacing="0" w:line="180" w:lineRule="exact"/>
              <w:ind w:left="0" w:right="0"/>
              <w:jc w:val="both"/>
              <w:textAlignment w:val="center"/>
              <w:rPr>
                <w:rFonts w:hint="eastAsia" w:ascii="微软雅黑" w:hAnsi="微软雅黑" w:eastAsia="微软雅黑" w:cs="微软雅黑"/>
                <w:i/>
                <w:iCs w:val="0"/>
                <w:color w:val="000000"/>
                <w:sz w:val="15"/>
                <w:szCs w:val="15"/>
                <w:lang w:val="en-US"/>
              </w:rPr>
            </w:pPr>
            <w:r>
              <w:rPr>
                <w:rFonts w:hint="eastAsia" w:ascii="Calibri" w:hAnsi="Calibri" w:eastAsia="宋体" w:cs="宋体"/>
                <w:kern w:val="2"/>
                <w:sz w:val="15"/>
                <w:szCs w:val="15"/>
                <w:lang w:val="en-US" w:eastAsia="zh-CN" w:bidi="ar"/>
              </w:rPr>
              <w:t>部分地区的选举宣传工作还不够深入，导致部分代表对选举工作的了解不够充分；部分选举培训活动的针对性还不够强，需要进一步提高培训效果等。</w:t>
            </w:r>
          </w:p>
        </w:tc>
      </w:tr>
      <w:tr w14:paraId="7A1C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425" w:hRule="atLeast"/>
        </w:trPr>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FA89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改进措施</w:t>
            </w:r>
          </w:p>
        </w:tc>
        <w:tc>
          <w:tcPr>
            <w:tcW w:w="873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02CFD">
            <w:pPr>
              <w:keepNext w:val="0"/>
              <w:keepLines w:val="0"/>
              <w:widowControl w:val="0"/>
              <w:suppressLineNumbers w:val="0"/>
              <w:spacing w:before="0" w:beforeAutospacing="0" w:after="0" w:afterAutospacing="0" w:line="200" w:lineRule="exact"/>
              <w:ind w:left="0" w:right="0"/>
              <w:jc w:val="both"/>
              <w:rPr>
                <w:rFonts w:hint="default"/>
                <w:sz w:val="15"/>
                <w:szCs w:val="15"/>
                <w:lang w:val="en-US"/>
              </w:rPr>
            </w:pPr>
            <w:r>
              <w:rPr>
                <w:rFonts w:hint="eastAsia" w:ascii="Calibri" w:hAnsi="Calibri" w:eastAsia="宋体" w:cs="宋体"/>
                <w:kern w:val="2"/>
                <w:sz w:val="15"/>
                <w:szCs w:val="15"/>
                <w:lang w:val="en-US" w:eastAsia="zh-CN" w:bidi="ar"/>
              </w:rPr>
              <w:t>建议在下一次科协换届选举工作中进一步加强选举宣传工作，提高代表的参与度和了解程度；同时，加强选举培训活动的针对性和实效性，确保培训效果达到预期目标。</w:t>
            </w:r>
          </w:p>
          <w:p w14:paraId="3512F181">
            <w:pPr>
              <w:keepNext w:val="0"/>
              <w:keepLines w:val="0"/>
              <w:widowControl/>
              <w:suppressLineNumbers w:val="0"/>
              <w:spacing w:before="0" w:beforeAutospacing="0" w:after="0" w:afterAutospacing="0" w:line="180" w:lineRule="exact"/>
              <w:ind w:left="0" w:right="0"/>
              <w:jc w:val="left"/>
              <w:textAlignment w:val="center"/>
              <w:rPr>
                <w:rFonts w:hint="eastAsia" w:ascii="微软雅黑" w:hAnsi="微软雅黑" w:eastAsia="微软雅黑" w:cs="微软雅黑"/>
                <w:i/>
                <w:iCs w:val="0"/>
                <w:color w:val="000000"/>
                <w:sz w:val="15"/>
                <w:szCs w:val="15"/>
                <w:lang w:val="en-US"/>
              </w:rPr>
            </w:pPr>
          </w:p>
        </w:tc>
      </w:tr>
      <w:tr w14:paraId="649D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1120" w:type="dxa"/>
          <w:trHeight w:val="316" w:hRule="atLeast"/>
        </w:trPr>
        <w:tc>
          <w:tcPr>
            <w:tcW w:w="4876"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80E69">
            <w:pPr>
              <w:keepNext w:val="0"/>
              <w:keepLines w:val="0"/>
              <w:widowControl/>
              <w:suppressLineNumbers w:val="0"/>
              <w:spacing w:before="0" w:beforeAutospacing="0" w:after="0" w:afterAutospacing="0" w:line="200" w:lineRule="exact"/>
              <w:ind w:left="0" w:right="0"/>
              <w:jc w:val="left"/>
              <w:rPr>
                <w:rFonts w:hint="eastAsia" w:ascii="黑体" w:hAnsi="宋体" w:eastAsia="黑体" w:cs="黑体"/>
                <w:color w:val="000000"/>
                <w:sz w:val="15"/>
                <w:szCs w:val="15"/>
                <w:lang w:val="en-US"/>
              </w:rPr>
            </w:pPr>
            <w:r>
              <w:rPr>
                <w:rFonts w:hint="eastAsia" w:ascii="Courier New" w:hAnsi="Courier New" w:eastAsia="宋体" w:cs="Courier New"/>
                <w:color w:val="000000"/>
                <w:kern w:val="0"/>
                <w:sz w:val="15"/>
                <w:szCs w:val="15"/>
                <w:lang w:val="en-US" w:eastAsia="zh-CN" w:bidi="ar"/>
              </w:rPr>
              <w:t>项目负责人：齐雯</w:t>
            </w:r>
          </w:p>
        </w:tc>
        <w:tc>
          <w:tcPr>
            <w:tcW w:w="470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8FD89">
            <w:pPr>
              <w:keepNext w:val="0"/>
              <w:keepLines w:val="0"/>
              <w:widowControl/>
              <w:suppressLineNumbers w:val="0"/>
              <w:spacing w:before="0" w:beforeAutospacing="0" w:after="0" w:afterAutospacing="0" w:line="200" w:lineRule="exact"/>
              <w:ind w:left="0" w:right="0"/>
              <w:jc w:val="left"/>
              <w:rPr>
                <w:rFonts w:hint="eastAsia" w:ascii="黑体" w:hAnsi="宋体" w:eastAsia="黑体" w:cs="黑体"/>
                <w:color w:val="000000"/>
                <w:sz w:val="15"/>
                <w:szCs w:val="15"/>
                <w:lang w:val="en-US"/>
              </w:rPr>
            </w:pPr>
            <w:r>
              <w:rPr>
                <w:rFonts w:hint="eastAsia" w:ascii="Courier New" w:hAnsi="Courier New" w:eastAsia="宋体" w:cs="Courier New"/>
                <w:color w:val="000000"/>
                <w:kern w:val="0"/>
                <w:sz w:val="15"/>
                <w:szCs w:val="15"/>
                <w:lang w:val="en-US" w:eastAsia="zh-CN" w:bidi="ar"/>
              </w:rPr>
              <w:t>财务负责人：毛正华</w:t>
            </w:r>
          </w:p>
        </w:tc>
      </w:tr>
    </w:tbl>
    <w:tbl>
      <w:tblPr>
        <w:tblStyle w:val="18"/>
        <w:tblpPr w:leftFromText="180" w:rightFromText="180" w:vertAnchor="text" w:horzAnchor="margin" w:tblpXSpec="left" w:tblpY="28"/>
        <w:tblOverlap w:val="never"/>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1273"/>
        <w:gridCol w:w="1125"/>
        <w:gridCol w:w="1400"/>
        <w:gridCol w:w="398"/>
        <w:gridCol w:w="153"/>
        <w:gridCol w:w="142"/>
        <w:gridCol w:w="425"/>
        <w:gridCol w:w="706"/>
        <w:gridCol w:w="851"/>
        <w:gridCol w:w="489"/>
        <w:gridCol w:w="486"/>
        <w:gridCol w:w="1720"/>
      </w:tblGrid>
      <w:tr w14:paraId="1E48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74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868A10D">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color w:val="000000"/>
                <w:kern w:val="0"/>
                <w:sz w:val="15"/>
                <w:szCs w:val="15"/>
                <w:lang w:val="en-US"/>
              </w:rPr>
            </w:pPr>
            <w:r>
              <w:rPr>
                <w:rFonts w:hint="eastAsia" w:ascii="黑体" w:hAnsi="宋体" w:eastAsia="黑体" w:cs="宋体"/>
                <w:b/>
                <w:bCs/>
                <w:color w:val="000000"/>
                <w:kern w:val="0"/>
                <w:sz w:val="24"/>
                <w:szCs w:val="24"/>
                <w:lang w:val="en-US" w:eastAsia="zh-CN" w:bidi="ar"/>
              </w:rPr>
              <w:t>部门预算项目支出绩效自评表（2023年度）</w:t>
            </w:r>
          </w:p>
        </w:tc>
      </w:tr>
      <w:tr w14:paraId="7777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0C627">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项目名称</w:t>
            </w:r>
          </w:p>
        </w:tc>
        <w:tc>
          <w:tcPr>
            <w:tcW w:w="7895" w:type="dxa"/>
            <w:gridSpan w:val="11"/>
            <w:tcBorders>
              <w:top w:val="single" w:color="000000" w:sz="4" w:space="0"/>
              <w:left w:val="nil"/>
              <w:bottom w:val="single" w:color="000000" w:sz="4" w:space="0"/>
              <w:right w:val="single" w:color="000000" w:sz="4" w:space="0"/>
            </w:tcBorders>
            <w:shd w:val="clear" w:color="auto" w:fill="auto"/>
            <w:vAlign w:val="center"/>
          </w:tcPr>
          <w:p w14:paraId="4E21F80F">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51340022T000000278904-科普宣传活动业务经费</w:t>
            </w:r>
          </w:p>
        </w:tc>
      </w:tr>
      <w:tr w14:paraId="099E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4072C">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主管部门</w:t>
            </w:r>
          </w:p>
        </w:tc>
        <w:tc>
          <w:tcPr>
            <w:tcW w:w="4349" w:type="dxa"/>
            <w:gridSpan w:val="7"/>
            <w:tcBorders>
              <w:top w:val="single" w:color="000000" w:sz="4" w:space="0"/>
              <w:left w:val="nil"/>
              <w:bottom w:val="single" w:color="000000" w:sz="4" w:space="0"/>
              <w:right w:val="single" w:color="000000" w:sz="4" w:space="0"/>
            </w:tcBorders>
            <w:shd w:val="clear" w:color="auto" w:fill="auto"/>
            <w:vAlign w:val="center"/>
          </w:tcPr>
          <w:p w14:paraId="3D8B1987">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凉山州科学技术协会部门</w:t>
            </w:r>
          </w:p>
        </w:tc>
        <w:tc>
          <w:tcPr>
            <w:tcW w:w="851" w:type="dxa"/>
            <w:shd w:val="clear" w:color="auto" w:fill="auto"/>
            <w:vAlign w:val="center"/>
          </w:tcPr>
          <w:p w14:paraId="43BBEE3C">
            <w:pPr>
              <w:keepNext w:val="0"/>
              <w:keepLines w:val="0"/>
              <w:widowControl/>
              <w:suppressLineNumbers w:val="0"/>
              <w:spacing w:before="0" w:beforeAutospacing="0" w:after="0" w:afterAutospacing="0" w:line="180" w:lineRule="exact"/>
              <w:ind w:left="0" w:right="0"/>
              <w:jc w:val="left"/>
              <w:rPr>
                <w:rFonts w:hint="default" w:ascii="Courier New" w:hAnsi="Courier New" w:cs="宋体"/>
                <w:color w:val="000000"/>
                <w:kern w:val="0"/>
                <w:sz w:val="15"/>
                <w:szCs w:val="15"/>
                <w:lang w:val="en-US"/>
              </w:rPr>
            </w:pPr>
            <w:r>
              <w:rPr>
                <w:rFonts w:hint="eastAsia" w:ascii="Courier New" w:hAnsi="Courier New" w:eastAsia="宋体" w:cs="宋体"/>
                <w:color w:val="000000"/>
                <w:kern w:val="0"/>
                <w:sz w:val="15"/>
                <w:szCs w:val="15"/>
                <w:lang w:val="en-US" w:eastAsia="zh-CN" w:bidi="ar"/>
              </w:rPr>
              <w:t>实施单位</w:t>
            </w:r>
            <w:r>
              <w:rPr>
                <w:rFonts w:hint="default" w:ascii="Courier New" w:hAnsi="Courier New" w:eastAsia="宋体" w:cs="宋体"/>
                <w:color w:val="000000"/>
                <w:kern w:val="0"/>
                <w:sz w:val="15"/>
                <w:szCs w:val="15"/>
                <w:lang w:val="en-US" w:eastAsia="zh-CN" w:bidi="ar"/>
              </w:rPr>
              <w:t xml:space="preserve"> </w:t>
            </w:r>
            <w:r>
              <w:rPr>
                <w:rFonts w:hint="eastAsia" w:ascii="Courier New" w:hAnsi="Courier New" w:eastAsia="宋体" w:cs="宋体"/>
                <w:color w:val="000000"/>
                <w:kern w:val="0"/>
                <w:sz w:val="15"/>
                <w:szCs w:val="15"/>
                <w:lang w:val="en-US" w:eastAsia="zh-CN" w:bidi="ar"/>
              </w:rPr>
              <w:t>（盖章）</w:t>
            </w:r>
          </w:p>
        </w:tc>
        <w:tc>
          <w:tcPr>
            <w:tcW w:w="2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951A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凉山州科学技术协会</w:t>
            </w:r>
          </w:p>
        </w:tc>
      </w:tr>
      <w:tr w14:paraId="5700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9" w:type="dxa"/>
            <w:vMerge w:val="restart"/>
            <w:tcBorders>
              <w:top w:val="nil"/>
              <w:left w:val="single" w:color="000000" w:sz="4" w:space="0"/>
              <w:bottom w:val="single" w:color="000000" w:sz="4" w:space="0"/>
              <w:right w:val="single" w:color="000000" w:sz="4" w:space="0"/>
            </w:tcBorders>
            <w:shd w:val="clear" w:color="auto" w:fill="auto"/>
            <w:vAlign w:val="center"/>
          </w:tcPr>
          <w:p w14:paraId="0A902DDB">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项目基本情况</w:t>
            </w:r>
          </w:p>
        </w:tc>
        <w:tc>
          <w:tcPr>
            <w:tcW w:w="1273" w:type="dxa"/>
            <w:vMerge w:val="restart"/>
            <w:tcBorders>
              <w:top w:val="nil"/>
              <w:left w:val="single" w:color="000000" w:sz="4" w:space="0"/>
              <w:bottom w:val="single" w:color="000000" w:sz="4" w:space="0"/>
              <w:right w:val="single" w:color="000000" w:sz="4" w:space="0"/>
            </w:tcBorders>
            <w:shd w:val="clear" w:color="auto" w:fill="auto"/>
            <w:vAlign w:val="center"/>
          </w:tcPr>
          <w:p w14:paraId="0D836F12">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1.项目年度目标完成情况</w:t>
            </w:r>
          </w:p>
        </w:tc>
        <w:tc>
          <w:tcPr>
            <w:tcW w:w="4349" w:type="dxa"/>
            <w:gridSpan w:val="7"/>
            <w:tcBorders>
              <w:top w:val="single" w:color="000000" w:sz="4" w:space="0"/>
              <w:left w:val="nil"/>
              <w:bottom w:val="single" w:color="000000" w:sz="4" w:space="0"/>
              <w:right w:val="single" w:color="000000" w:sz="4" w:space="0"/>
            </w:tcBorders>
            <w:shd w:val="clear" w:color="auto" w:fill="auto"/>
            <w:vAlign w:val="center"/>
          </w:tcPr>
          <w:p w14:paraId="5E9D9B2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项目年度目标</w:t>
            </w:r>
          </w:p>
        </w:tc>
        <w:tc>
          <w:tcPr>
            <w:tcW w:w="3546" w:type="dxa"/>
            <w:gridSpan w:val="4"/>
            <w:tcBorders>
              <w:top w:val="single" w:color="000000" w:sz="4" w:space="0"/>
              <w:left w:val="nil"/>
              <w:bottom w:val="single" w:color="000000" w:sz="4" w:space="0"/>
              <w:right w:val="single" w:color="000000" w:sz="4" w:space="0"/>
            </w:tcBorders>
            <w:shd w:val="clear" w:color="auto" w:fill="auto"/>
            <w:vAlign w:val="center"/>
          </w:tcPr>
          <w:p w14:paraId="3CED5523">
            <w:pPr>
              <w:keepNext w:val="0"/>
              <w:keepLines w:val="0"/>
              <w:widowControl/>
              <w:suppressLineNumbers w:val="0"/>
              <w:spacing w:before="0" w:beforeAutospacing="0" w:after="0" w:afterAutospacing="0" w:line="180" w:lineRule="exact"/>
              <w:ind w:left="0" w:right="0"/>
              <w:jc w:val="center"/>
              <w:rPr>
                <w:rFonts w:hint="default" w:ascii="Courier New" w:hAnsi="Courier New" w:cs="宋体"/>
                <w:color w:val="000000"/>
                <w:kern w:val="0"/>
                <w:sz w:val="15"/>
                <w:szCs w:val="15"/>
                <w:lang w:val="en-US"/>
              </w:rPr>
            </w:pPr>
            <w:r>
              <w:rPr>
                <w:rFonts w:hint="eastAsia" w:ascii="Courier New" w:hAnsi="Courier New" w:eastAsia="宋体" w:cs="宋体"/>
                <w:color w:val="000000"/>
                <w:kern w:val="0"/>
                <w:sz w:val="15"/>
                <w:szCs w:val="15"/>
                <w:lang w:val="en-US" w:eastAsia="zh-CN" w:bidi="ar"/>
              </w:rPr>
              <w:t>年度目标完成情况</w:t>
            </w:r>
          </w:p>
        </w:tc>
      </w:tr>
      <w:tr w14:paraId="294E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77849B9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vMerge w:val="continue"/>
            <w:tcBorders>
              <w:top w:val="nil"/>
              <w:left w:val="single" w:color="000000" w:sz="4" w:space="0"/>
              <w:bottom w:val="single" w:color="000000" w:sz="4" w:space="0"/>
              <w:right w:val="single" w:color="000000" w:sz="4" w:space="0"/>
            </w:tcBorders>
            <w:shd w:val="clear" w:color="auto" w:fill="auto"/>
            <w:vAlign w:val="center"/>
          </w:tcPr>
          <w:p w14:paraId="59503D9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4349" w:type="dxa"/>
            <w:gridSpan w:val="7"/>
            <w:tcBorders>
              <w:top w:val="single" w:color="000000" w:sz="4" w:space="0"/>
              <w:left w:val="nil"/>
              <w:bottom w:val="single" w:color="000000" w:sz="4" w:space="0"/>
              <w:right w:val="single" w:color="000000" w:sz="4" w:space="0"/>
            </w:tcBorders>
            <w:shd w:val="clear" w:color="auto" w:fill="auto"/>
            <w:vAlign w:val="center"/>
          </w:tcPr>
          <w:p w14:paraId="4307D23A">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组织100名以上科技辅导员参加能力提升学习，开阔视野，提升科技辅导员队伍素质，推动凉山中小学校科技教育事业的健康发展。</w:t>
            </w:r>
          </w:p>
        </w:tc>
        <w:tc>
          <w:tcPr>
            <w:tcW w:w="3546" w:type="dxa"/>
            <w:gridSpan w:val="4"/>
            <w:tcBorders>
              <w:top w:val="single" w:color="000000" w:sz="4" w:space="0"/>
              <w:left w:val="nil"/>
              <w:bottom w:val="single" w:color="000000" w:sz="4" w:space="0"/>
              <w:right w:val="single" w:color="000000" w:sz="4" w:space="0"/>
            </w:tcBorders>
            <w:shd w:val="clear" w:color="auto" w:fill="auto"/>
            <w:vAlign w:val="center"/>
          </w:tcPr>
          <w:p w14:paraId="48CB2FD1">
            <w:pPr>
              <w:keepNext w:val="0"/>
              <w:keepLines w:val="0"/>
              <w:widowControl/>
              <w:suppressLineNumbers w:val="0"/>
              <w:spacing w:before="0" w:beforeAutospacing="0" w:after="0" w:afterAutospacing="0" w:line="180" w:lineRule="exact"/>
              <w:ind w:left="0" w:right="0"/>
              <w:jc w:val="left"/>
              <w:rPr>
                <w:rFonts w:hint="default" w:ascii="Courier New" w:hAnsi="Courier New" w:cs="宋体"/>
                <w:color w:val="000000"/>
                <w:kern w:val="0"/>
                <w:sz w:val="15"/>
                <w:szCs w:val="15"/>
                <w:lang w:val="en-US"/>
              </w:rPr>
            </w:pPr>
            <w:r>
              <w:rPr>
                <w:rFonts w:hint="eastAsia" w:ascii="Courier New" w:hAnsi="Courier New" w:eastAsia="宋体" w:cs="宋体"/>
                <w:color w:val="000000"/>
                <w:kern w:val="0"/>
                <w:sz w:val="15"/>
                <w:szCs w:val="15"/>
                <w:lang w:val="en-US" w:eastAsia="zh-CN" w:bidi="ar"/>
              </w:rPr>
              <w:t>举办科技骨干教师培训班，</w:t>
            </w:r>
            <w:r>
              <w:rPr>
                <w:rFonts w:hint="default" w:ascii="Courier New" w:hAnsi="Courier New" w:eastAsia="宋体" w:cs="宋体"/>
                <w:color w:val="000000"/>
                <w:kern w:val="0"/>
                <w:sz w:val="15"/>
                <w:szCs w:val="15"/>
                <w:lang w:val="en-US" w:eastAsia="zh-CN" w:bidi="ar"/>
              </w:rPr>
              <w:t>220</w:t>
            </w:r>
            <w:r>
              <w:rPr>
                <w:rFonts w:hint="eastAsia" w:ascii="Courier New" w:hAnsi="Courier New" w:eastAsia="宋体" w:cs="宋体"/>
                <w:color w:val="000000"/>
                <w:kern w:val="0"/>
                <w:sz w:val="15"/>
                <w:szCs w:val="15"/>
                <w:lang w:val="en-US" w:eastAsia="zh-CN" w:bidi="ar"/>
              </w:rPr>
              <w:t>余名科技教师参加了学习培训，提升了科技教师队伍的素质。</w:t>
            </w:r>
          </w:p>
        </w:tc>
      </w:tr>
      <w:tr w14:paraId="0C0F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0B118F3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tcBorders>
              <w:top w:val="nil"/>
              <w:left w:val="nil"/>
              <w:bottom w:val="single" w:color="000000" w:sz="4" w:space="0"/>
              <w:right w:val="single" w:color="000000" w:sz="4" w:space="0"/>
            </w:tcBorders>
            <w:shd w:val="clear" w:color="auto" w:fill="auto"/>
            <w:vAlign w:val="center"/>
          </w:tcPr>
          <w:p w14:paraId="67957D58">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2.项目实施内容及过程概述</w:t>
            </w:r>
          </w:p>
        </w:tc>
        <w:tc>
          <w:tcPr>
            <w:tcW w:w="7895" w:type="dxa"/>
            <w:gridSpan w:val="11"/>
            <w:tcBorders>
              <w:top w:val="single" w:color="000000" w:sz="4" w:space="0"/>
              <w:left w:val="nil"/>
              <w:bottom w:val="single" w:color="000000" w:sz="4" w:space="0"/>
              <w:right w:val="single" w:color="000000" w:sz="4" w:space="0"/>
            </w:tcBorders>
            <w:shd w:val="clear" w:color="auto" w:fill="auto"/>
            <w:vAlign w:val="center"/>
          </w:tcPr>
          <w:p w14:paraId="28477970">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　6月5日-7日，在凉山农业学校多功能厅举办了第38届凉山州青少年科技创新大赛暨科技骨干教师培训班，对全州17县（市）的220余名科技骨干教师及青少年科技创新大赛的组织工作者进行专题培训。培训会邀请到四川大学、成都、重庆和凉山州本土的5名专家和科技教育名师到会作专题讲座，为参训教师们分享经验、指点迷津。通过专家们的专题讲座和经验分享，科技教师们对青少年科技创新教育有了全新的认识，对如何开展学校的科创工作产生了很多有益的启发和思考，树立了做好科教工作的信心，找到了“在教育‘双减’中做好科学教育加法”的思路和方法,开阔了广大科技辅导员科技视野，提高了科技教师的专业素质和辅导能力。</w:t>
            </w:r>
          </w:p>
        </w:tc>
      </w:tr>
      <w:tr w14:paraId="7E19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579" w:type="dxa"/>
            <w:vMerge w:val="restart"/>
            <w:tcBorders>
              <w:top w:val="nil"/>
              <w:left w:val="single" w:color="000000" w:sz="4" w:space="0"/>
              <w:bottom w:val="single" w:color="000000" w:sz="4" w:space="0"/>
              <w:right w:val="single" w:color="000000" w:sz="4" w:space="0"/>
            </w:tcBorders>
            <w:shd w:val="clear" w:color="auto" w:fill="auto"/>
            <w:vAlign w:val="center"/>
          </w:tcPr>
          <w:p w14:paraId="60B1B39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预算执行情况（10分）</w:t>
            </w:r>
          </w:p>
        </w:tc>
        <w:tc>
          <w:tcPr>
            <w:tcW w:w="1273" w:type="dxa"/>
            <w:tcBorders>
              <w:top w:val="nil"/>
              <w:left w:val="nil"/>
              <w:bottom w:val="single" w:color="000000" w:sz="4" w:space="0"/>
              <w:right w:val="single" w:color="000000" w:sz="4" w:space="0"/>
            </w:tcBorders>
            <w:shd w:val="clear" w:color="auto" w:fill="auto"/>
            <w:vAlign w:val="center"/>
          </w:tcPr>
          <w:p w14:paraId="1108E75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年度预算数（万元）</w:t>
            </w:r>
          </w:p>
        </w:tc>
        <w:tc>
          <w:tcPr>
            <w:tcW w:w="1125" w:type="dxa"/>
            <w:tcBorders>
              <w:top w:val="nil"/>
              <w:left w:val="nil"/>
              <w:bottom w:val="single" w:color="000000" w:sz="4" w:space="0"/>
              <w:right w:val="single" w:color="000000" w:sz="4" w:space="0"/>
            </w:tcBorders>
            <w:shd w:val="clear" w:color="auto" w:fill="auto"/>
            <w:vAlign w:val="center"/>
          </w:tcPr>
          <w:p w14:paraId="0F80AC0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年初预算</w:t>
            </w:r>
          </w:p>
        </w:tc>
        <w:tc>
          <w:tcPr>
            <w:tcW w:w="1400" w:type="dxa"/>
            <w:tcBorders>
              <w:top w:val="nil"/>
              <w:left w:val="nil"/>
              <w:bottom w:val="single" w:color="000000" w:sz="4" w:space="0"/>
              <w:right w:val="single" w:color="000000" w:sz="4" w:space="0"/>
            </w:tcBorders>
            <w:shd w:val="clear" w:color="auto" w:fill="auto"/>
            <w:vAlign w:val="center"/>
          </w:tcPr>
          <w:p w14:paraId="7853599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调整后预算数</w:t>
            </w:r>
          </w:p>
        </w:tc>
        <w:tc>
          <w:tcPr>
            <w:tcW w:w="1824" w:type="dxa"/>
            <w:gridSpan w:val="5"/>
            <w:tcBorders>
              <w:top w:val="single" w:color="000000" w:sz="4" w:space="0"/>
              <w:left w:val="nil"/>
              <w:bottom w:val="single" w:color="000000" w:sz="4" w:space="0"/>
              <w:right w:val="single" w:color="000000" w:sz="4" w:space="0"/>
            </w:tcBorders>
            <w:shd w:val="clear" w:color="auto" w:fill="auto"/>
            <w:vAlign w:val="center"/>
          </w:tcPr>
          <w:p w14:paraId="598005C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预算执行数</w:t>
            </w:r>
          </w:p>
        </w:tc>
        <w:tc>
          <w:tcPr>
            <w:tcW w:w="851" w:type="dxa"/>
            <w:tcBorders>
              <w:top w:val="nil"/>
              <w:left w:val="nil"/>
              <w:bottom w:val="single" w:color="000000" w:sz="4" w:space="0"/>
              <w:right w:val="single" w:color="000000" w:sz="4" w:space="0"/>
            </w:tcBorders>
            <w:shd w:val="clear" w:color="auto" w:fill="auto"/>
            <w:vAlign w:val="center"/>
          </w:tcPr>
          <w:p w14:paraId="7CD817B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预算执行率</w:t>
            </w:r>
          </w:p>
        </w:tc>
        <w:tc>
          <w:tcPr>
            <w:tcW w:w="489" w:type="dxa"/>
            <w:tcBorders>
              <w:top w:val="nil"/>
              <w:left w:val="nil"/>
              <w:bottom w:val="single" w:color="000000" w:sz="4" w:space="0"/>
              <w:right w:val="single" w:color="000000" w:sz="4" w:space="0"/>
            </w:tcBorders>
            <w:shd w:val="clear" w:color="auto" w:fill="auto"/>
            <w:vAlign w:val="center"/>
          </w:tcPr>
          <w:p w14:paraId="0533A11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权重</w:t>
            </w:r>
          </w:p>
        </w:tc>
        <w:tc>
          <w:tcPr>
            <w:tcW w:w="486" w:type="dxa"/>
            <w:tcBorders>
              <w:top w:val="nil"/>
              <w:left w:val="nil"/>
              <w:bottom w:val="single" w:color="000000" w:sz="4" w:space="0"/>
              <w:right w:val="single" w:color="000000" w:sz="4" w:space="0"/>
            </w:tcBorders>
            <w:shd w:val="clear" w:color="auto" w:fill="auto"/>
            <w:vAlign w:val="center"/>
          </w:tcPr>
          <w:p w14:paraId="0E5D32F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得分</w:t>
            </w:r>
          </w:p>
        </w:tc>
        <w:tc>
          <w:tcPr>
            <w:tcW w:w="1720" w:type="dxa"/>
            <w:tcBorders>
              <w:top w:val="nil"/>
              <w:left w:val="nil"/>
              <w:bottom w:val="single" w:color="000000" w:sz="4" w:space="0"/>
              <w:right w:val="single" w:color="000000" w:sz="4" w:space="0"/>
            </w:tcBorders>
            <w:shd w:val="clear" w:color="auto" w:fill="auto"/>
            <w:vAlign w:val="center"/>
          </w:tcPr>
          <w:p w14:paraId="410A68A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原因</w:t>
            </w:r>
          </w:p>
        </w:tc>
      </w:tr>
      <w:tr w14:paraId="5A58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235B72C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tcBorders>
              <w:top w:val="nil"/>
              <w:left w:val="nil"/>
              <w:bottom w:val="single" w:color="000000" w:sz="4" w:space="0"/>
              <w:right w:val="single" w:color="000000" w:sz="4" w:space="0"/>
            </w:tcBorders>
            <w:shd w:val="clear" w:color="auto" w:fill="auto"/>
            <w:vAlign w:val="center"/>
          </w:tcPr>
          <w:p w14:paraId="3CCB1D8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总额</w:t>
            </w:r>
          </w:p>
        </w:tc>
        <w:tc>
          <w:tcPr>
            <w:tcW w:w="1125" w:type="dxa"/>
            <w:tcBorders>
              <w:top w:val="nil"/>
              <w:left w:val="nil"/>
              <w:bottom w:val="single" w:color="000000" w:sz="4" w:space="0"/>
              <w:right w:val="single" w:color="000000" w:sz="4" w:space="0"/>
            </w:tcBorders>
            <w:shd w:val="clear" w:color="auto" w:fill="auto"/>
            <w:vAlign w:val="center"/>
          </w:tcPr>
          <w:p w14:paraId="5DD83DC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12.00</w:t>
            </w:r>
          </w:p>
        </w:tc>
        <w:tc>
          <w:tcPr>
            <w:tcW w:w="1400" w:type="dxa"/>
            <w:tcBorders>
              <w:top w:val="nil"/>
              <w:left w:val="nil"/>
              <w:bottom w:val="single" w:color="000000" w:sz="4" w:space="0"/>
              <w:right w:val="single" w:color="000000" w:sz="4" w:space="0"/>
            </w:tcBorders>
            <w:shd w:val="clear" w:color="auto" w:fill="auto"/>
            <w:vAlign w:val="center"/>
          </w:tcPr>
          <w:p w14:paraId="3B06280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12.00</w:t>
            </w:r>
          </w:p>
        </w:tc>
        <w:tc>
          <w:tcPr>
            <w:tcW w:w="1824" w:type="dxa"/>
            <w:gridSpan w:val="5"/>
            <w:tcBorders>
              <w:top w:val="single" w:color="000000" w:sz="4" w:space="0"/>
              <w:left w:val="nil"/>
              <w:bottom w:val="single" w:color="000000" w:sz="4" w:space="0"/>
              <w:right w:val="single" w:color="000000" w:sz="4" w:space="0"/>
            </w:tcBorders>
            <w:shd w:val="clear" w:color="auto" w:fill="auto"/>
            <w:vAlign w:val="center"/>
          </w:tcPr>
          <w:p w14:paraId="1E247EA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12.00</w:t>
            </w:r>
          </w:p>
        </w:tc>
        <w:tc>
          <w:tcPr>
            <w:tcW w:w="851" w:type="dxa"/>
            <w:tcBorders>
              <w:top w:val="nil"/>
              <w:left w:val="nil"/>
              <w:bottom w:val="single" w:color="000000" w:sz="4" w:space="0"/>
              <w:right w:val="single" w:color="000000" w:sz="4" w:space="0"/>
            </w:tcBorders>
            <w:shd w:val="clear" w:color="auto" w:fill="auto"/>
            <w:vAlign w:val="center"/>
          </w:tcPr>
          <w:p w14:paraId="0F87FC3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100.00%</w:t>
            </w:r>
          </w:p>
        </w:tc>
        <w:tc>
          <w:tcPr>
            <w:tcW w:w="489" w:type="dxa"/>
            <w:tcBorders>
              <w:top w:val="nil"/>
              <w:left w:val="nil"/>
              <w:bottom w:val="single" w:color="000000" w:sz="4" w:space="0"/>
              <w:right w:val="single" w:color="000000" w:sz="4" w:space="0"/>
            </w:tcBorders>
            <w:shd w:val="clear" w:color="auto" w:fill="auto"/>
            <w:vAlign w:val="center"/>
          </w:tcPr>
          <w:p w14:paraId="58F9DEB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86" w:type="dxa"/>
            <w:tcBorders>
              <w:top w:val="nil"/>
              <w:left w:val="nil"/>
              <w:bottom w:val="single" w:color="000000" w:sz="4" w:space="0"/>
              <w:right w:val="single" w:color="000000" w:sz="4" w:space="0"/>
            </w:tcBorders>
            <w:shd w:val="clear" w:color="auto" w:fill="auto"/>
            <w:vAlign w:val="center"/>
          </w:tcPr>
          <w:p w14:paraId="2EEFDDA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720" w:type="dxa"/>
            <w:vMerge w:val="restart"/>
            <w:tcBorders>
              <w:top w:val="nil"/>
              <w:left w:val="single" w:color="000000" w:sz="4" w:space="0"/>
              <w:bottom w:val="single" w:color="000000" w:sz="4" w:space="0"/>
              <w:right w:val="single" w:color="000000" w:sz="4" w:space="0"/>
            </w:tcBorders>
            <w:shd w:val="clear" w:color="auto" w:fill="auto"/>
            <w:vAlign w:val="center"/>
          </w:tcPr>
          <w:p w14:paraId="1C686B55">
            <w:pPr>
              <w:keepNext w:val="0"/>
              <w:keepLines w:val="0"/>
              <w:widowControl/>
              <w:suppressLineNumbers w:val="0"/>
              <w:spacing w:before="0" w:beforeAutospacing="0" w:after="0" w:afterAutospacing="0" w:line="180" w:lineRule="exact"/>
              <w:ind w:left="0" w:right="0"/>
              <w:jc w:val="left"/>
              <w:rPr>
                <w:rFonts w:hint="default" w:ascii="Courier New" w:hAnsi="Courier New" w:cs="宋体"/>
                <w:i/>
                <w:iCs/>
                <w:color w:val="000000"/>
                <w:kern w:val="0"/>
                <w:sz w:val="15"/>
                <w:szCs w:val="15"/>
                <w:lang w:val="en-US"/>
              </w:rPr>
            </w:pPr>
          </w:p>
        </w:tc>
      </w:tr>
      <w:tr w14:paraId="1B626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4356134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tcBorders>
              <w:top w:val="nil"/>
              <w:left w:val="nil"/>
              <w:bottom w:val="single" w:color="000000" w:sz="4" w:space="0"/>
              <w:right w:val="single" w:color="000000" w:sz="4" w:space="0"/>
            </w:tcBorders>
            <w:shd w:val="clear" w:color="auto" w:fill="auto"/>
            <w:vAlign w:val="center"/>
          </w:tcPr>
          <w:p w14:paraId="6634915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其中：财政资金</w:t>
            </w:r>
          </w:p>
        </w:tc>
        <w:tc>
          <w:tcPr>
            <w:tcW w:w="1125" w:type="dxa"/>
            <w:tcBorders>
              <w:top w:val="nil"/>
              <w:left w:val="nil"/>
              <w:bottom w:val="single" w:color="000000" w:sz="4" w:space="0"/>
              <w:right w:val="single" w:color="000000" w:sz="4" w:space="0"/>
            </w:tcBorders>
            <w:shd w:val="clear" w:color="auto" w:fill="auto"/>
            <w:vAlign w:val="center"/>
          </w:tcPr>
          <w:p w14:paraId="0C06444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12.00</w:t>
            </w:r>
          </w:p>
        </w:tc>
        <w:tc>
          <w:tcPr>
            <w:tcW w:w="1400" w:type="dxa"/>
            <w:tcBorders>
              <w:top w:val="nil"/>
              <w:left w:val="nil"/>
              <w:bottom w:val="single" w:color="000000" w:sz="4" w:space="0"/>
              <w:right w:val="single" w:color="000000" w:sz="4" w:space="0"/>
            </w:tcBorders>
            <w:shd w:val="clear" w:color="auto" w:fill="auto"/>
            <w:vAlign w:val="center"/>
          </w:tcPr>
          <w:p w14:paraId="06C13F8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12.00</w:t>
            </w:r>
          </w:p>
        </w:tc>
        <w:tc>
          <w:tcPr>
            <w:tcW w:w="1824" w:type="dxa"/>
            <w:gridSpan w:val="5"/>
            <w:tcBorders>
              <w:top w:val="single" w:color="000000" w:sz="4" w:space="0"/>
              <w:left w:val="nil"/>
              <w:bottom w:val="single" w:color="000000" w:sz="4" w:space="0"/>
              <w:right w:val="single" w:color="000000" w:sz="4" w:space="0"/>
            </w:tcBorders>
            <w:shd w:val="clear" w:color="auto" w:fill="auto"/>
            <w:vAlign w:val="center"/>
          </w:tcPr>
          <w:p w14:paraId="572CE88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12.00</w:t>
            </w:r>
          </w:p>
        </w:tc>
        <w:tc>
          <w:tcPr>
            <w:tcW w:w="851" w:type="dxa"/>
            <w:tcBorders>
              <w:top w:val="nil"/>
              <w:left w:val="nil"/>
              <w:bottom w:val="single" w:color="000000" w:sz="4" w:space="0"/>
              <w:right w:val="single" w:color="000000" w:sz="4" w:space="0"/>
            </w:tcBorders>
            <w:shd w:val="clear" w:color="auto" w:fill="auto"/>
            <w:vAlign w:val="center"/>
          </w:tcPr>
          <w:p w14:paraId="0ECE46E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100.00%</w:t>
            </w:r>
          </w:p>
        </w:tc>
        <w:tc>
          <w:tcPr>
            <w:tcW w:w="489" w:type="dxa"/>
            <w:tcBorders>
              <w:top w:val="nil"/>
              <w:left w:val="nil"/>
              <w:bottom w:val="single" w:color="000000" w:sz="4" w:space="0"/>
              <w:right w:val="single" w:color="000000" w:sz="4" w:space="0"/>
            </w:tcBorders>
            <w:shd w:val="clear" w:color="auto" w:fill="auto"/>
            <w:vAlign w:val="center"/>
          </w:tcPr>
          <w:p w14:paraId="1439150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86" w:type="dxa"/>
            <w:tcBorders>
              <w:top w:val="nil"/>
              <w:left w:val="nil"/>
              <w:bottom w:val="single" w:color="000000" w:sz="4" w:space="0"/>
              <w:right w:val="single" w:color="000000" w:sz="4" w:space="0"/>
            </w:tcBorders>
            <w:shd w:val="clear" w:color="auto" w:fill="auto"/>
            <w:vAlign w:val="center"/>
          </w:tcPr>
          <w:p w14:paraId="5CDFAEC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720" w:type="dxa"/>
            <w:vMerge w:val="continue"/>
            <w:tcBorders>
              <w:top w:val="nil"/>
              <w:left w:val="single" w:color="000000" w:sz="4" w:space="0"/>
              <w:bottom w:val="single" w:color="000000" w:sz="4" w:space="0"/>
              <w:right w:val="single" w:color="000000" w:sz="4" w:space="0"/>
            </w:tcBorders>
            <w:shd w:val="clear" w:color="auto" w:fill="auto"/>
            <w:vAlign w:val="center"/>
          </w:tcPr>
          <w:p w14:paraId="5E3C77A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6C11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3F2D122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tcBorders>
              <w:top w:val="nil"/>
              <w:left w:val="nil"/>
              <w:bottom w:val="single" w:color="000000" w:sz="4" w:space="0"/>
              <w:right w:val="single" w:color="000000" w:sz="4" w:space="0"/>
            </w:tcBorders>
            <w:shd w:val="clear" w:color="auto" w:fill="auto"/>
            <w:vAlign w:val="center"/>
          </w:tcPr>
          <w:p w14:paraId="730742F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财政专户管理资金</w:t>
            </w:r>
          </w:p>
        </w:tc>
        <w:tc>
          <w:tcPr>
            <w:tcW w:w="1125" w:type="dxa"/>
            <w:tcBorders>
              <w:top w:val="nil"/>
              <w:left w:val="nil"/>
              <w:bottom w:val="single" w:color="000000" w:sz="4" w:space="0"/>
              <w:right w:val="single" w:color="000000" w:sz="4" w:space="0"/>
            </w:tcBorders>
            <w:shd w:val="clear" w:color="auto" w:fill="auto"/>
            <w:vAlign w:val="center"/>
          </w:tcPr>
          <w:p w14:paraId="407E721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400" w:type="dxa"/>
            <w:tcBorders>
              <w:top w:val="nil"/>
              <w:left w:val="nil"/>
              <w:bottom w:val="single" w:color="000000" w:sz="4" w:space="0"/>
              <w:right w:val="single" w:color="000000" w:sz="4" w:space="0"/>
            </w:tcBorders>
            <w:shd w:val="clear" w:color="auto" w:fill="auto"/>
            <w:vAlign w:val="center"/>
          </w:tcPr>
          <w:p w14:paraId="33480B4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824" w:type="dxa"/>
            <w:gridSpan w:val="5"/>
            <w:tcBorders>
              <w:top w:val="single" w:color="000000" w:sz="4" w:space="0"/>
              <w:left w:val="nil"/>
              <w:bottom w:val="single" w:color="000000" w:sz="4" w:space="0"/>
              <w:right w:val="single" w:color="000000" w:sz="4" w:space="0"/>
            </w:tcBorders>
            <w:shd w:val="clear" w:color="auto" w:fill="auto"/>
            <w:vAlign w:val="center"/>
          </w:tcPr>
          <w:p w14:paraId="38B623F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851" w:type="dxa"/>
            <w:tcBorders>
              <w:top w:val="nil"/>
              <w:left w:val="nil"/>
              <w:bottom w:val="single" w:color="000000" w:sz="4" w:space="0"/>
              <w:right w:val="single" w:color="000000" w:sz="4" w:space="0"/>
            </w:tcBorders>
            <w:shd w:val="clear" w:color="auto" w:fill="auto"/>
            <w:vAlign w:val="center"/>
          </w:tcPr>
          <w:p w14:paraId="4B10493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489" w:type="dxa"/>
            <w:tcBorders>
              <w:top w:val="nil"/>
              <w:left w:val="nil"/>
              <w:bottom w:val="single" w:color="000000" w:sz="4" w:space="0"/>
              <w:right w:val="single" w:color="000000" w:sz="4" w:space="0"/>
            </w:tcBorders>
            <w:shd w:val="clear" w:color="auto" w:fill="auto"/>
            <w:vAlign w:val="center"/>
          </w:tcPr>
          <w:p w14:paraId="00B388C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86" w:type="dxa"/>
            <w:tcBorders>
              <w:top w:val="nil"/>
              <w:left w:val="nil"/>
              <w:bottom w:val="single" w:color="000000" w:sz="4" w:space="0"/>
              <w:right w:val="single" w:color="000000" w:sz="4" w:space="0"/>
            </w:tcBorders>
            <w:shd w:val="clear" w:color="auto" w:fill="auto"/>
            <w:vAlign w:val="center"/>
          </w:tcPr>
          <w:p w14:paraId="68DDC3F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720" w:type="dxa"/>
            <w:vMerge w:val="continue"/>
            <w:tcBorders>
              <w:top w:val="nil"/>
              <w:left w:val="single" w:color="000000" w:sz="4" w:space="0"/>
              <w:bottom w:val="single" w:color="000000" w:sz="4" w:space="0"/>
              <w:right w:val="single" w:color="000000" w:sz="4" w:space="0"/>
            </w:tcBorders>
            <w:shd w:val="clear" w:color="auto" w:fill="auto"/>
            <w:vAlign w:val="center"/>
          </w:tcPr>
          <w:p w14:paraId="03A06D5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01A9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3838A83B">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tcBorders>
              <w:top w:val="nil"/>
              <w:left w:val="nil"/>
              <w:bottom w:val="single" w:color="000000" w:sz="4" w:space="0"/>
              <w:right w:val="single" w:color="000000" w:sz="4" w:space="0"/>
            </w:tcBorders>
            <w:shd w:val="clear" w:color="auto" w:fill="auto"/>
            <w:vAlign w:val="center"/>
          </w:tcPr>
          <w:p w14:paraId="219A9ED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单位资金</w:t>
            </w:r>
          </w:p>
        </w:tc>
        <w:tc>
          <w:tcPr>
            <w:tcW w:w="1125" w:type="dxa"/>
            <w:tcBorders>
              <w:top w:val="nil"/>
              <w:left w:val="nil"/>
              <w:bottom w:val="single" w:color="000000" w:sz="4" w:space="0"/>
              <w:right w:val="single" w:color="000000" w:sz="4" w:space="0"/>
            </w:tcBorders>
            <w:shd w:val="clear" w:color="auto" w:fill="auto"/>
            <w:vAlign w:val="center"/>
          </w:tcPr>
          <w:p w14:paraId="5F93B48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400" w:type="dxa"/>
            <w:tcBorders>
              <w:top w:val="nil"/>
              <w:left w:val="nil"/>
              <w:bottom w:val="single" w:color="000000" w:sz="4" w:space="0"/>
              <w:right w:val="single" w:color="000000" w:sz="4" w:space="0"/>
            </w:tcBorders>
            <w:shd w:val="clear" w:color="auto" w:fill="auto"/>
            <w:vAlign w:val="center"/>
          </w:tcPr>
          <w:p w14:paraId="79B1320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824" w:type="dxa"/>
            <w:gridSpan w:val="5"/>
            <w:tcBorders>
              <w:top w:val="single" w:color="000000" w:sz="4" w:space="0"/>
              <w:left w:val="nil"/>
              <w:bottom w:val="single" w:color="000000" w:sz="4" w:space="0"/>
              <w:right w:val="single" w:color="000000" w:sz="4" w:space="0"/>
            </w:tcBorders>
            <w:shd w:val="clear" w:color="auto" w:fill="auto"/>
            <w:vAlign w:val="center"/>
          </w:tcPr>
          <w:p w14:paraId="37EDD18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851" w:type="dxa"/>
            <w:tcBorders>
              <w:top w:val="nil"/>
              <w:left w:val="nil"/>
              <w:bottom w:val="single" w:color="000000" w:sz="4" w:space="0"/>
              <w:right w:val="single" w:color="000000" w:sz="4" w:space="0"/>
            </w:tcBorders>
            <w:shd w:val="clear" w:color="auto" w:fill="auto"/>
            <w:vAlign w:val="center"/>
          </w:tcPr>
          <w:p w14:paraId="5FEE875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489" w:type="dxa"/>
            <w:tcBorders>
              <w:top w:val="nil"/>
              <w:left w:val="nil"/>
              <w:bottom w:val="single" w:color="000000" w:sz="4" w:space="0"/>
              <w:right w:val="single" w:color="000000" w:sz="4" w:space="0"/>
            </w:tcBorders>
            <w:shd w:val="clear" w:color="auto" w:fill="auto"/>
            <w:vAlign w:val="center"/>
          </w:tcPr>
          <w:p w14:paraId="279953E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86" w:type="dxa"/>
            <w:tcBorders>
              <w:top w:val="nil"/>
              <w:left w:val="nil"/>
              <w:bottom w:val="single" w:color="000000" w:sz="4" w:space="0"/>
              <w:right w:val="single" w:color="000000" w:sz="4" w:space="0"/>
            </w:tcBorders>
            <w:shd w:val="clear" w:color="auto" w:fill="auto"/>
            <w:vAlign w:val="center"/>
          </w:tcPr>
          <w:p w14:paraId="131459D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720" w:type="dxa"/>
            <w:vMerge w:val="continue"/>
            <w:tcBorders>
              <w:top w:val="nil"/>
              <w:left w:val="single" w:color="000000" w:sz="4" w:space="0"/>
              <w:bottom w:val="single" w:color="000000" w:sz="4" w:space="0"/>
              <w:right w:val="single" w:color="000000" w:sz="4" w:space="0"/>
            </w:tcBorders>
            <w:shd w:val="clear" w:color="auto" w:fill="auto"/>
            <w:vAlign w:val="center"/>
          </w:tcPr>
          <w:p w14:paraId="28A3DDC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2518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24FE8E2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tcBorders>
              <w:top w:val="nil"/>
              <w:left w:val="nil"/>
              <w:bottom w:val="single" w:color="000000" w:sz="4" w:space="0"/>
              <w:right w:val="single" w:color="000000" w:sz="4" w:space="0"/>
            </w:tcBorders>
            <w:shd w:val="clear" w:color="auto" w:fill="auto"/>
            <w:vAlign w:val="center"/>
          </w:tcPr>
          <w:p w14:paraId="11866BB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其他资金</w:t>
            </w:r>
          </w:p>
        </w:tc>
        <w:tc>
          <w:tcPr>
            <w:tcW w:w="1125" w:type="dxa"/>
            <w:tcBorders>
              <w:top w:val="nil"/>
              <w:left w:val="nil"/>
              <w:bottom w:val="single" w:color="000000" w:sz="4" w:space="0"/>
              <w:right w:val="single" w:color="000000" w:sz="4" w:space="0"/>
            </w:tcBorders>
            <w:shd w:val="clear" w:color="auto" w:fill="auto"/>
            <w:vAlign w:val="center"/>
          </w:tcPr>
          <w:p w14:paraId="12020671">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1400" w:type="dxa"/>
            <w:tcBorders>
              <w:top w:val="nil"/>
              <w:left w:val="nil"/>
              <w:bottom w:val="single" w:color="000000" w:sz="4" w:space="0"/>
              <w:right w:val="single" w:color="000000" w:sz="4" w:space="0"/>
            </w:tcBorders>
            <w:shd w:val="clear" w:color="auto" w:fill="auto"/>
            <w:vAlign w:val="center"/>
          </w:tcPr>
          <w:p w14:paraId="5F353FE3">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1824" w:type="dxa"/>
            <w:gridSpan w:val="5"/>
            <w:tcBorders>
              <w:top w:val="single" w:color="000000" w:sz="4" w:space="0"/>
              <w:left w:val="nil"/>
              <w:bottom w:val="single" w:color="000000" w:sz="4" w:space="0"/>
              <w:right w:val="single" w:color="000000" w:sz="4" w:space="0"/>
            </w:tcBorders>
            <w:shd w:val="clear" w:color="auto" w:fill="auto"/>
            <w:vAlign w:val="center"/>
          </w:tcPr>
          <w:p w14:paraId="38086062">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851" w:type="dxa"/>
            <w:tcBorders>
              <w:top w:val="nil"/>
              <w:left w:val="nil"/>
              <w:bottom w:val="single" w:color="000000" w:sz="4" w:space="0"/>
              <w:right w:val="single" w:color="000000" w:sz="4" w:space="0"/>
            </w:tcBorders>
            <w:shd w:val="clear" w:color="auto" w:fill="auto"/>
            <w:vAlign w:val="center"/>
          </w:tcPr>
          <w:p w14:paraId="0EF99169">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489" w:type="dxa"/>
            <w:tcBorders>
              <w:top w:val="nil"/>
              <w:left w:val="nil"/>
              <w:bottom w:val="single" w:color="000000" w:sz="4" w:space="0"/>
              <w:right w:val="single" w:color="000000" w:sz="4" w:space="0"/>
            </w:tcBorders>
            <w:shd w:val="clear" w:color="auto" w:fill="auto"/>
            <w:vAlign w:val="center"/>
          </w:tcPr>
          <w:p w14:paraId="58E4C85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86" w:type="dxa"/>
            <w:tcBorders>
              <w:top w:val="nil"/>
              <w:left w:val="nil"/>
              <w:bottom w:val="single" w:color="000000" w:sz="4" w:space="0"/>
              <w:right w:val="single" w:color="000000" w:sz="4" w:space="0"/>
            </w:tcBorders>
            <w:shd w:val="clear" w:color="auto" w:fill="auto"/>
            <w:vAlign w:val="center"/>
          </w:tcPr>
          <w:p w14:paraId="0638868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720" w:type="dxa"/>
            <w:vMerge w:val="continue"/>
            <w:tcBorders>
              <w:top w:val="nil"/>
              <w:left w:val="single" w:color="000000" w:sz="4" w:space="0"/>
              <w:bottom w:val="single" w:color="000000" w:sz="4" w:space="0"/>
              <w:right w:val="single" w:color="000000" w:sz="4" w:space="0"/>
            </w:tcBorders>
            <w:shd w:val="clear" w:color="auto" w:fill="auto"/>
            <w:vAlign w:val="center"/>
          </w:tcPr>
          <w:p w14:paraId="1E75976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7E5C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vMerge w:val="restart"/>
            <w:tcBorders>
              <w:top w:val="nil"/>
              <w:left w:val="single" w:color="000000" w:sz="4" w:space="0"/>
              <w:bottom w:val="single" w:color="000000" w:sz="4" w:space="0"/>
              <w:right w:val="single" w:color="000000" w:sz="4" w:space="0"/>
            </w:tcBorders>
            <w:shd w:val="clear" w:color="auto" w:fill="auto"/>
            <w:vAlign w:val="center"/>
          </w:tcPr>
          <w:p w14:paraId="28AE984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绩效指标（90分）</w:t>
            </w:r>
          </w:p>
        </w:tc>
        <w:tc>
          <w:tcPr>
            <w:tcW w:w="1273" w:type="dxa"/>
            <w:tcBorders>
              <w:top w:val="nil"/>
              <w:left w:val="nil"/>
              <w:bottom w:val="single" w:color="000000" w:sz="4" w:space="0"/>
              <w:right w:val="single" w:color="000000" w:sz="4" w:space="0"/>
            </w:tcBorders>
            <w:shd w:val="clear" w:color="auto" w:fill="auto"/>
            <w:vAlign w:val="center"/>
          </w:tcPr>
          <w:p w14:paraId="557BA92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一级指标</w:t>
            </w:r>
          </w:p>
        </w:tc>
        <w:tc>
          <w:tcPr>
            <w:tcW w:w="1125" w:type="dxa"/>
            <w:tcBorders>
              <w:top w:val="nil"/>
              <w:left w:val="nil"/>
              <w:bottom w:val="single" w:color="000000" w:sz="4" w:space="0"/>
              <w:right w:val="single" w:color="000000" w:sz="4" w:space="0"/>
            </w:tcBorders>
            <w:shd w:val="clear" w:color="auto" w:fill="auto"/>
            <w:vAlign w:val="center"/>
          </w:tcPr>
          <w:p w14:paraId="0D7525A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二级指标</w:t>
            </w:r>
          </w:p>
        </w:tc>
        <w:tc>
          <w:tcPr>
            <w:tcW w:w="1400" w:type="dxa"/>
            <w:tcBorders>
              <w:top w:val="nil"/>
              <w:left w:val="nil"/>
              <w:bottom w:val="single" w:color="000000" w:sz="4" w:space="0"/>
              <w:right w:val="single" w:color="000000" w:sz="4" w:space="0"/>
            </w:tcBorders>
            <w:shd w:val="clear" w:color="auto" w:fill="auto"/>
            <w:vAlign w:val="center"/>
          </w:tcPr>
          <w:p w14:paraId="0815AC5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三级指标</w:t>
            </w:r>
          </w:p>
        </w:tc>
        <w:tc>
          <w:tcPr>
            <w:tcW w:w="693" w:type="dxa"/>
            <w:gridSpan w:val="3"/>
            <w:tcBorders>
              <w:top w:val="nil"/>
              <w:left w:val="nil"/>
              <w:bottom w:val="single" w:color="000000" w:sz="4" w:space="0"/>
              <w:right w:val="single" w:color="000000" w:sz="4" w:space="0"/>
            </w:tcBorders>
            <w:shd w:val="clear" w:color="auto" w:fill="auto"/>
            <w:vAlign w:val="center"/>
          </w:tcPr>
          <w:p w14:paraId="581D41B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指标性质</w:t>
            </w:r>
          </w:p>
        </w:tc>
        <w:tc>
          <w:tcPr>
            <w:tcW w:w="425" w:type="dxa"/>
            <w:tcBorders>
              <w:top w:val="nil"/>
              <w:left w:val="nil"/>
              <w:bottom w:val="single" w:color="000000" w:sz="4" w:space="0"/>
              <w:right w:val="single" w:color="000000" w:sz="4" w:space="0"/>
            </w:tcBorders>
            <w:shd w:val="clear" w:color="auto" w:fill="auto"/>
            <w:vAlign w:val="center"/>
          </w:tcPr>
          <w:p w14:paraId="1FE3ECC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指标值</w:t>
            </w:r>
          </w:p>
        </w:tc>
        <w:tc>
          <w:tcPr>
            <w:tcW w:w="706" w:type="dxa"/>
            <w:tcBorders>
              <w:top w:val="nil"/>
              <w:left w:val="nil"/>
              <w:bottom w:val="single" w:color="000000" w:sz="4" w:space="0"/>
              <w:right w:val="single" w:color="000000" w:sz="4" w:space="0"/>
            </w:tcBorders>
            <w:shd w:val="clear" w:color="auto" w:fill="auto"/>
            <w:vAlign w:val="center"/>
          </w:tcPr>
          <w:p w14:paraId="57867EF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度量单位</w:t>
            </w:r>
          </w:p>
        </w:tc>
        <w:tc>
          <w:tcPr>
            <w:tcW w:w="851" w:type="dxa"/>
            <w:tcBorders>
              <w:top w:val="nil"/>
              <w:left w:val="nil"/>
              <w:bottom w:val="single" w:color="000000" w:sz="4" w:space="0"/>
              <w:right w:val="single" w:color="000000" w:sz="4" w:space="0"/>
            </w:tcBorders>
            <w:shd w:val="clear" w:color="auto" w:fill="auto"/>
            <w:vAlign w:val="center"/>
          </w:tcPr>
          <w:p w14:paraId="62AFBF4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完成值</w:t>
            </w:r>
          </w:p>
        </w:tc>
        <w:tc>
          <w:tcPr>
            <w:tcW w:w="489" w:type="dxa"/>
            <w:tcBorders>
              <w:top w:val="nil"/>
              <w:left w:val="nil"/>
              <w:bottom w:val="single" w:color="000000" w:sz="4" w:space="0"/>
              <w:right w:val="single" w:color="000000" w:sz="4" w:space="0"/>
            </w:tcBorders>
            <w:shd w:val="clear" w:color="auto" w:fill="auto"/>
            <w:vAlign w:val="center"/>
          </w:tcPr>
          <w:p w14:paraId="0EB42CC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权重</w:t>
            </w:r>
          </w:p>
        </w:tc>
        <w:tc>
          <w:tcPr>
            <w:tcW w:w="486" w:type="dxa"/>
            <w:tcBorders>
              <w:top w:val="nil"/>
              <w:left w:val="nil"/>
              <w:bottom w:val="single" w:color="000000" w:sz="4" w:space="0"/>
              <w:right w:val="single" w:color="000000" w:sz="4" w:space="0"/>
            </w:tcBorders>
            <w:shd w:val="clear" w:color="auto" w:fill="auto"/>
            <w:vAlign w:val="center"/>
          </w:tcPr>
          <w:p w14:paraId="3E981E4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得分</w:t>
            </w:r>
          </w:p>
        </w:tc>
        <w:tc>
          <w:tcPr>
            <w:tcW w:w="1720" w:type="dxa"/>
            <w:tcBorders>
              <w:top w:val="nil"/>
              <w:left w:val="nil"/>
              <w:bottom w:val="single" w:color="000000" w:sz="4" w:space="0"/>
              <w:right w:val="single" w:color="000000" w:sz="4" w:space="0"/>
            </w:tcBorders>
            <w:shd w:val="clear" w:color="auto" w:fill="auto"/>
            <w:vAlign w:val="center"/>
          </w:tcPr>
          <w:p w14:paraId="7A8BB32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未完成原因分析</w:t>
            </w:r>
          </w:p>
        </w:tc>
      </w:tr>
      <w:tr w14:paraId="103E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2A99AE0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vMerge w:val="restart"/>
            <w:tcBorders>
              <w:top w:val="nil"/>
              <w:left w:val="single" w:color="000000" w:sz="4" w:space="0"/>
              <w:bottom w:val="single" w:color="000000" w:sz="4" w:space="0"/>
              <w:right w:val="single" w:color="000000" w:sz="4" w:space="0"/>
            </w:tcBorders>
            <w:shd w:val="clear" w:color="auto" w:fill="auto"/>
            <w:vAlign w:val="center"/>
          </w:tcPr>
          <w:p w14:paraId="0AF402F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产出指标</w:t>
            </w:r>
          </w:p>
        </w:tc>
        <w:tc>
          <w:tcPr>
            <w:tcW w:w="1125" w:type="dxa"/>
            <w:tcBorders>
              <w:top w:val="nil"/>
              <w:left w:val="nil"/>
              <w:bottom w:val="single" w:color="000000" w:sz="4" w:space="0"/>
              <w:right w:val="single" w:color="000000" w:sz="4" w:space="0"/>
            </w:tcBorders>
            <w:shd w:val="clear" w:color="auto" w:fill="auto"/>
            <w:vAlign w:val="center"/>
          </w:tcPr>
          <w:p w14:paraId="44637DB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数量指标</w:t>
            </w:r>
          </w:p>
        </w:tc>
        <w:tc>
          <w:tcPr>
            <w:tcW w:w="1400" w:type="dxa"/>
            <w:tcBorders>
              <w:top w:val="nil"/>
              <w:left w:val="nil"/>
              <w:bottom w:val="single" w:color="000000" w:sz="4" w:space="0"/>
              <w:right w:val="single" w:color="000000" w:sz="4" w:space="0"/>
            </w:tcBorders>
            <w:shd w:val="clear" w:color="auto" w:fill="auto"/>
            <w:vAlign w:val="center"/>
          </w:tcPr>
          <w:p w14:paraId="67C04D2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组织100名以上科技辅导员参加能力提升学习</w:t>
            </w:r>
          </w:p>
        </w:tc>
        <w:tc>
          <w:tcPr>
            <w:tcW w:w="551" w:type="dxa"/>
            <w:gridSpan w:val="2"/>
            <w:tcBorders>
              <w:top w:val="nil"/>
              <w:left w:val="nil"/>
              <w:bottom w:val="single" w:color="000000" w:sz="4" w:space="0"/>
              <w:right w:val="single" w:color="000000" w:sz="4" w:space="0"/>
            </w:tcBorders>
            <w:shd w:val="clear" w:color="auto" w:fill="auto"/>
            <w:vAlign w:val="center"/>
          </w:tcPr>
          <w:p w14:paraId="62CA764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gridSpan w:val="2"/>
            <w:tcBorders>
              <w:top w:val="nil"/>
              <w:left w:val="nil"/>
              <w:bottom w:val="single" w:color="000000" w:sz="4" w:space="0"/>
              <w:right w:val="single" w:color="000000" w:sz="4" w:space="0"/>
            </w:tcBorders>
            <w:shd w:val="clear" w:color="auto" w:fill="auto"/>
            <w:vAlign w:val="center"/>
          </w:tcPr>
          <w:p w14:paraId="53BA599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w:t>
            </w:r>
          </w:p>
        </w:tc>
        <w:tc>
          <w:tcPr>
            <w:tcW w:w="706" w:type="dxa"/>
            <w:tcBorders>
              <w:top w:val="nil"/>
              <w:left w:val="nil"/>
              <w:bottom w:val="single" w:color="000000" w:sz="4" w:space="0"/>
              <w:right w:val="single" w:color="000000" w:sz="4" w:space="0"/>
            </w:tcBorders>
            <w:shd w:val="clear" w:color="auto" w:fill="auto"/>
            <w:vAlign w:val="center"/>
          </w:tcPr>
          <w:p w14:paraId="5B4B898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名</w:t>
            </w:r>
          </w:p>
        </w:tc>
        <w:tc>
          <w:tcPr>
            <w:tcW w:w="851" w:type="dxa"/>
            <w:tcBorders>
              <w:top w:val="nil"/>
              <w:left w:val="nil"/>
              <w:bottom w:val="single" w:color="000000" w:sz="4" w:space="0"/>
              <w:right w:val="single" w:color="000000" w:sz="4" w:space="0"/>
            </w:tcBorders>
            <w:shd w:val="clear" w:color="auto" w:fill="auto"/>
            <w:vAlign w:val="center"/>
          </w:tcPr>
          <w:p w14:paraId="75E5B1A1">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220　</w:t>
            </w:r>
          </w:p>
        </w:tc>
        <w:tc>
          <w:tcPr>
            <w:tcW w:w="489" w:type="dxa"/>
            <w:tcBorders>
              <w:top w:val="nil"/>
              <w:left w:val="nil"/>
              <w:bottom w:val="single" w:color="000000" w:sz="4" w:space="0"/>
              <w:right w:val="single" w:color="000000" w:sz="4" w:space="0"/>
            </w:tcBorders>
            <w:shd w:val="clear" w:color="auto" w:fill="auto"/>
            <w:vAlign w:val="center"/>
          </w:tcPr>
          <w:p w14:paraId="48BCEE3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86" w:type="dxa"/>
            <w:tcBorders>
              <w:top w:val="nil"/>
              <w:left w:val="nil"/>
              <w:bottom w:val="single" w:color="000000" w:sz="4" w:space="0"/>
              <w:right w:val="single" w:color="000000" w:sz="4" w:space="0"/>
            </w:tcBorders>
            <w:shd w:val="clear" w:color="auto" w:fill="auto"/>
            <w:vAlign w:val="center"/>
          </w:tcPr>
          <w:p w14:paraId="7967F65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720" w:type="dxa"/>
            <w:tcBorders>
              <w:top w:val="nil"/>
              <w:left w:val="nil"/>
              <w:bottom w:val="single" w:color="000000" w:sz="4" w:space="0"/>
              <w:right w:val="single" w:color="000000" w:sz="4" w:space="0"/>
            </w:tcBorders>
            <w:shd w:val="clear" w:color="auto" w:fill="auto"/>
            <w:vAlign w:val="center"/>
          </w:tcPr>
          <w:p w14:paraId="064DB4E6">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5CF2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4EC5C9B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vMerge w:val="continue"/>
            <w:tcBorders>
              <w:top w:val="nil"/>
              <w:left w:val="single" w:color="000000" w:sz="4" w:space="0"/>
              <w:bottom w:val="single" w:color="000000" w:sz="4" w:space="0"/>
              <w:right w:val="single" w:color="000000" w:sz="4" w:space="0"/>
            </w:tcBorders>
            <w:shd w:val="clear" w:color="auto" w:fill="auto"/>
            <w:vAlign w:val="center"/>
          </w:tcPr>
          <w:p w14:paraId="4614EF3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25" w:type="dxa"/>
            <w:tcBorders>
              <w:top w:val="nil"/>
              <w:left w:val="nil"/>
              <w:bottom w:val="single" w:color="000000" w:sz="4" w:space="0"/>
              <w:right w:val="single" w:color="000000" w:sz="4" w:space="0"/>
            </w:tcBorders>
            <w:shd w:val="clear" w:color="auto" w:fill="auto"/>
            <w:vAlign w:val="center"/>
          </w:tcPr>
          <w:p w14:paraId="6DAFCC6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质量指标</w:t>
            </w:r>
          </w:p>
        </w:tc>
        <w:tc>
          <w:tcPr>
            <w:tcW w:w="1400" w:type="dxa"/>
            <w:tcBorders>
              <w:top w:val="nil"/>
              <w:left w:val="nil"/>
              <w:bottom w:val="single" w:color="000000" w:sz="4" w:space="0"/>
              <w:right w:val="single" w:color="000000" w:sz="4" w:space="0"/>
            </w:tcBorders>
            <w:shd w:val="clear" w:color="auto" w:fill="auto"/>
            <w:vAlign w:val="center"/>
          </w:tcPr>
          <w:p w14:paraId="62C4F18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参加培训的教师能力得到提升</w:t>
            </w:r>
          </w:p>
        </w:tc>
        <w:tc>
          <w:tcPr>
            <w:tcW w:w="551" w:type="dxa"/>
            <w:gridSpan w:val="2"/>
            <w:tcBorders>
              <w:top w:val="nil"/>
              <w:left w:val="nil"/>
              <w:bottom w:val="single" w:color="000000" w:sz="4" w:space="0"/>
              <w:right w:val="single" w:color="000000" w:sz="4" w:space="0"/>
            </w:tcBorders>
            <w:shd w:val="clear" w:color="auto" w:fill="auto"/>
            <w:vAlign w:val="center"/>
          </w:tcPr>
          <w:p w14:paraId="4164C3E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gridSpan w:val="2"/>
            <w:tcBorders>
              <w:top w:val="nil"/>
              <w:left w:val="nil"/>
              <w:bottom w:val="single" w:color="000000" w:sz="4" w:space="0"/>
              <w:right w:val="single" w:color="000000" w:sz="4" w:space="0"/>
            </w:tcBorders>
            <w:shd w:val="clear" w:color="auto" w:fill="auto"/>
            <w:vAlign w:val="center"/>
          </w:tcPr>
          <w:p w14:paraId="2D80A40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w:t>
            </w:r>
          </w:p>
        </w:tc>
        <w:tc>
          <w:tcPr>
            <w:tcW w:w="706" w:type="dxa"/>
            <w:tcBorders>
              <w:top w:val="nil"/>
              <w:left w:val="nil"/>
              <w:bottom w:val="single" w:color="000000" w:sz="4" w:space="0"/>
              <w:right w:val="single" w:color="000000" w:sz="4" w:space="0"/>
            </w:tcBorders>
            <w:shd w:val="clear" w:color="auto" w:fill="auto"/>
            <w:vAlign w:val="center"/>
          </w:tcPr>
          <w:p w14:paraId="6C017BB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批</w:t>
            </w:r>
          </w:p>
        </w:tc>
        <w:tc>
          <w:tcPr>
            <w:tcW w:w="851" w:type="dxa"/>
            <w:tcBorders>
              <w:top w:val="nil"/>
              <w:left w:val="nil"/>
              <w:bottom w:val="single" w:color="000000" w:sz="4" w:space="0"/>
              <w:right w:val="single" w:color="000000" w:sz="4" w:space="0"/>
            </w:tcBorders>
            <w:shd w:val="clear" w:color="auto" w:fill="auto"/>
            <w:vAlign w:val="center"/>
          </w:tcPr>
          <w:p w14:paraId="293B4339">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1　</w:t>
            </w:r>
          </w:p>
        </w:tc>
        <w:tc>
          <w:tcPr>
            <w:tcW w:w="489" w:type="dxa"/>
            <w:tcBorders>
              <w:top w:val="nil"/>
              <w:left w:val="nil"/>
              <w:bottom w:val="single" w:color="000000" w:sz="4" w:space="0"/>
              <w:right w:val="single" w:color="000000" w:sz="4" w:space="0"/>
            </w:tcBorders>
            <w:shd w:val="clear" w:color="auto" w:fill="auto"/>
            <w:vAlign w:val="center"/>
          </w:tcPr>
          <w:p w14:paraId="17DCE79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w:t>
            </w:r>
          </w:p>
        </w:tc>
        <w:tc>
          <w:tcPr>
            <w:tcW w:w="486" w:type="dxa"/>
            <w:tcBorders>
              <w:top w:val="nil"/>
              <w:left w:val="nil"/>
              <w:bottom w:val="single" w:color="000000" w:sz="4" w:space="0"/>
              <w:right w:val="single" w:color="000000" w:sz="4" w:space="0"/>
            </w:tcBorders>
            <w:shd w:val="clear" w:color="auto" w:fill="auto"/>
            <w:vAlign w:val="center"/>
          </w:tcPr>
          <w:p w14:paraId="4BAC97F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　</w:t>
            </w:r>
          </w:p>
        </w:tc>
        <w:tc>
          <w:tcPr>
            <w:tcW w:w="1720" w:type="dxa"/>
            <w:tcBorders>
              <w:top w:val="nil"/>
              <w:left w:val="nil"/>
              <w:bottom w:val="single" w:color="000000" w:sz="4" w:space="0"/>
              <w:right w:val="single" w:color="000000" w:sz="4" w:space="0"/>
            </w:tcBorders>
            <w:shd w:val="clear" w:color="auto" w:fill="auto"/>
            <w:vAlign w:val="center"/>
          </w:tcPr>
          <w:p w14:paraId="0A39B112">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7A51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0A652AB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vMerge w:val="continue"/>
            <w:tcBorders>
              <w:top w:val="nil"/>
              <w:left w:val="single" w:color="000000" w:sz="4" w:space="0"/>
              <w:bottom w:val="single" w:color="000000" w:sz="4" w:space="0"/>
              <w:right w:val="single" w:color="000000" w:sz="4" w:space="0"/>
            </w:tcBorders>
            <w:shd w:val="clear" w:color="auto" w:fill="auto"/>
            <w:vAlign w:val="center"/>
          </w:tcPr>
          <w:p w14:paraId="5F4D366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25" w:type="dxa"/>
            <w:tcBorders>
              <w:top w:val="nil"/>
              <w:left w:val="nil"/>
              <w:bottom w:val="single" w:color="000000" w:sz="4" w:space="0"/>
              <w:right w:val="single" w:color="000000" w:sz="4" w:space="0"/>
            </w:tcBorders>
            <w:shd w:val="clear" w:color="auto" w:fill="auto"/>
            <w:vAlign w:val="center"/>
          </w:tcPr>
          <w:p w14:paraId="4DED755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时效指标</w:t>
            </w:r>
          </w:p>
        </w:tc>
        <w:tc>
          <w:tcPr>
            <w:tcW w:w="1400" w:type="dxa"/>
            <w:tcBorders>
              <w:top w:val="nil"/>
              <w:left w:val="nil"/>
              <w:bottom w:val="single" w:color="000000" w:sz="4" w:space="0"/>
              <w:right w:val="single" w:color="000000" w:sz="4" w:space="0"/>
            </w:tcBorders>
            <w:shd w:val="clear" w:color="auto" w:fill="auto"/>
            <w:vAlign w:val="center"/>
          </w:tcPr>
          <w:p w14:paraId="01AA5E4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2023年4-12月前</w:t>
            </w:r>
          </w:p>
        </w:tc>
        <w:tc>
          <w:tcPr>
            <w:tcW w:w="551" w:type="dxa"/>
            <w:gridSpan w:val="2"/>
            <w:tcBorders>
              <w:top w:val="nil"/>
              <w:left w:val="nil"/>
              <w:bottom w:val="single" w:color="000000" w:sz="4" w:space="0"/>
              <w:right w:val="single" w:color="000000" w:sz="4" w:space="0"/>
            </w:tcBorders>
            <w:shd w:val="clear" w:color="auto" w:fill="auto"/>
            <w:vAlign w:val="center"/>
          </w:tcPr>
          <w:p w14:paraId="213F59B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gridSpan w:val="2"/>
            <w:tcBorders>
              <w:top w:val="nil"/>
              <w:left w:val="nil"/>
              <w:bottom w:val="single" w:color="000000" w:sz="4" w:space="0"/>
              <w:right w:val="single" w:color="000000" w:sz="4" w:space="0"/>
            </w:tcBorders>
            <w:shd w:val="clear" w:color="auto" w:fill="auto"/>
            <w:vAlign w:val="center"/>
          </w:tcPr>
          <w:p w14:paraId="0A1F1EC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w:t>
            </w:r>
          </w:p>
        </w:tc>
        <w:tc>
          <w:tcPr>
            <w:tcW w:w="706" w:type="dxa"/>
            <w:tcBorders>
              <w:top w:val="nil"/>
              <w:left w:val="nil"/>
              <w:bottom w:val="single" w:color="000000" w:sz="4" w:space="0"/>
              <w:right w:val="single" w:color="000000" w:sz="4" w:space="0"/>
            </w:tcBorders>
            <w:shd w:val="clear" w:color="auto" w:fill="auto"/>
            <w:vAlign w:val="center"/>
          </w:tcPr>
          <w:p w14:paraId="4F33AC5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w:t>
            </w:r>
          </w:p>
        </w:tc>
        <w:tc>
          <w:tcPr>
            <w:tcW w:w="851" w:type="dxa"/>
            <w:tcBorders>
              <w:top w:val="nil"/>
              <w:left w:val="nil"/>
              <w:bottom w:val="single" w:color="000000" w:sz="4" w:space="0"/>
              <w:right w:val="single" w:color="000000" w:sz="4" w:space="0"/>
            </w:tcBorders>
            <w:shd w:val="clear" w:color="auto" w:fill="auto"/>
            <w:vAlign w:val="center"/>
          </w:tcPr>
          <w:p w14:paraId="18491DF3">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489" w:type="dxa"/>
            <w:tcBorders>
              <w:top w:val="nil"/>
              <w:left w:val="nil"/>
              <w:bottom w:val="single" w:color="000000" w:sz="4" w:space="0"/>
              <w:right w:val="single" w:color="000000" w:sz="4" w:space="0"/>
            </w:tcBorders>
            <w:shd w:val="clear" w:color="auto" w:fill="auto"/>
            <w:vAlign w:val="center"/>
          </w:tcPr>
          <w:p w14:paraId="2C99F7C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86" w:type="dxa"/>
            <w:tcBorders>
              <w:top w:val="nil"/>
              <w:left w:val="nil"/>
              <w:bottom w:val="single" w:color="000000" w:sz="4" w:space="0"/>
              <w:right w:val="single" w:color="000000" w:sz="4" w:space="0"/>
            </w:tcBorders>
            <w:shd w:val="clear" w:color="auto" w:fill="auto"/>
            <w:vAlign w:val="center"/>
          </w:tcPr>
          <w:p w14:paraId="5C46DF7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720" w:type="dxa"/>
            <w:tcBorders>
              <w:top w:val="nil"/>
              <w:left w:val="nil"/>
              <w:bottom w:val="single" w:color="000000" w:sz="4" w:space="0"/>
              <w:right w:val="single" w:color="000000" w:sz="4" w:space="0"/>
            </w:tcBorders>
            <w:shd w:val="clear" w:color="auto" w:fill="auto"/>
            <w:vAlign w:val="center"/>
          </w:tcPr>
          <w:p w14:paraId="3F4664D0">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437B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0024868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vMerge w:val="restart"/>
            <w:tcBorders>
              <w:top w:val="nil"/>
              <w:left w:val="single" w:color="000000" w:sz="4" w:space="0"/>
              <w:bottom w:val="single" w:color="000000" w:sz="4" w:space="0"/>
              <w:right w:val="single" w:color="000000" w:sz="4" w:space="0"/>
            </w:tcBorders>
            <w:shd w:val="clear" w:color="auto" w:fill="auto"/>
            <w:vAlign w:val="center"/>
          </w:tcPr>
          <w:p w14:paraId="39C5AA8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效益指标</w:t>
            </w:r>
          </w:p>
        </w:tc>
        <w:tc>
          <w:tcPr>
            <w:tcW w:w="1125" w:type="dxa"/>
            <w:tcBorders>
              <w:top w:val="nil"/>
              <w:left w:val="nil"/>
              <w:bottom w:val="single" w:color="000000" w:sz="4" w:space="0"/>
              <w:right w:val="single" w:color="000000" w:sz="4" w:space="0"/>
            </w:tcBorders>
            <w:shd w:val="clear" w:color="auto" w:fill="auto"/>
            <w:vAlign w:val="center"/>
          </w:tcPr>
          <w:p w14:paraId="66F0685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社会效益指标</w:t>
            </w:r>
          </w:p>
        </w:tc>
        <w:tc>
          <w:tcPr>
            <w:tcW w:w="1400" w:type="dxa"/>
            <w:tcBorders>
              <w:top w:val="nil"/>
              <w:left w:val="nil"/>
              <w:bottom w:val="single" w:color="000000" w:sz="4" w:space="0"/>
              <w:right w:val="single" w:color="000000" w:sz="4" w:space="0"/>
            </w:tcBorders>
            <w:shd w:val="clear" w:color="auto" w:fill="auto"/>
            <w:vAlign w:val="center"/>
          </w:tcPr>
          <w:p w14:paraId="74A2E548">
            <w:pPr>
              <w:keepNext w:val="0"/>
              <w:keepLines w:val="0"/>
              <w:widowControl/>
              <w:suppressLineNumbers w:val="0"/>
              <w:spacing w:before="0" w:beforeAutospacing="0" w:after="0" w:afterAutospacing="0" w:line="180" w:lineRule="exact"/>
              <w:ind w:left="0" w:right="0"/>
              <w:jc w:val="both"/>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开阔科技教师科技视野，提高专业素质和辅导能力</w:t>
            </w:r>
          </w:p>
        </w:tc>
        <w:tc>
          <w:tcPr>
            <w:tcW w:w="551" w:type="dxa"/>
            <w:gridSpan w:val="2"/>
            <w:tcBorders>
              <w:top w:val="nil"/>
              <w:left w:val="nil"/>
              <w:bottom w:val="single" w:color="000000" w:sz="4" w:space="0"/>
              <w:right w:val="single" w:color="000000" w:sz="4" w:space="0"/>
            </w:tcBorders>
            <w:shd w:val="clear" w:color="auto" w:fill="auto"/>
            <w:vAlign w:val="center"/>
          </w:tcPr>
          <w:p w14:paraId="26041A9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gridSpan w:val="2"/>
            <w:tcBorders>
              <w:top w:val="nil"/>
              <w:left w:val="nil"/>
              <w:bottom w:val="single" w:color="000000" w:sz="4" w:space="0"/>
              <w:right w:val="single" w:color="000000" w:sz="4" w:space="0"/>
            </w:tcBorders>
            <w:shd w:val="clear" w:color="auto" w:fill="auto"/>
            <w:vAlign w:val="center"/>
          </w:tcPr>
          <w:p w14:paraId="0DC8A31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w:t>
            </w:r>
          </w:p>
        </w:tc>
        <w:tc>
          <w:tcPr>
            <w:tcW w:w="706" w:type="dxa"/>
            <w:tcBorders>
              <w:top w:val="nil"/>
              <w:left w:val="nil"/>
              <w:bottom w:val="single" w:color="000000" w:sz="4" w:space="0"/>
              <w:right w:val="single" w:color="000000" w:sz="4" w:space="0"/>
            </w:tcBorders>
            <w:shd w:val="clear" w:color="auto" w:fill="auto"/>
            <w:vAlign w:val="center"/>
          </w:tcPr>
          <w:p w14:paraId="0B60FBD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w:t>
            </w:r>
          </w:p>
        </w:tc>
        <w:tc>
          <w:tcPr>
            <w:tcW w:w="851" w:type="dxa"/>
            <w:tcBorders>
              <w:top w:val="nil"/>
              <w:left w:val="nil"/>
              <w:bottom w:val="single" w:color="000000" w:sz="4" w:space="0"/>
              <w:right w:val="single" w:color="000000" w:sz="4" w:space="0"/>
            </w:tcBorders>
            <w:shd w:val="clear" w:color="auto" w:fill="auto"/>
            <w:vAlign w:val="center"/>
          </w:tcPr>
          <w:p w14:paraId="52A0EA8C">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489" w:type="dxa"/>
            <w:tcBorders>
              <w:top w:val="nil"/>
              <w:left w:val="nil"/>
              <w:bottom w:val="single" w:color="000000" w:sz="4" w:space="0"/>
              <w:right w:val="single" w:color="000000" w:sz="4" w:space="0"/>
            </w:tcBorders>
            <w:shd w:val="clear" w:color="auto" w:fill="auto"/>
            <w:vAlign w:val="center"/>
          </w:tcPr>
          <w:p w14:paraId="11F8874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86" w:type="dxa"/>
            <w:tcBorders>
              <w:top w:val="nil"/>
              <w:left w:val="nil"/>
              <w:bottom w:val="single" w:color="000000" w:sz="4" w:space="0"/>
              <w:right w:val="single" w:color="000000" w:sz="4" w:space="0"/>
            </w:tcBorders>
            <w:shd w:val="clear" w:color="auto" w:fill="auto"/>
            <w:vAlign w:val="center"/>
          </w:tcPr>
          <w:p w14:paraId="54BF38D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720" w:type="dxa"/>
            <w:tcBorders>
              <w:top w:val="nil"/>
              <w:left w:val="nil"/>
              <w:bottom w:val="single" w:color="000000" w:sz="4" w:space="0"/>
              <w:right w:val="single" w:color="000000" w:sz="4" w:space="0"/>
            </w:tcBorders>
            <w:shd w:val="clear" w:color="auto" w:fill="auto"/>
            <w:vAlign w:val="center"/>
          </w:tcPr>
          <w:p w14:paraId="6C9C8E0F">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162F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69DD7BA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vMerge w:val="continue"/>
            <w:tcBorders>
              <w:top w:val="nil"/>
              <w:left w:val="single" w:color="000000" w:sz="4" w:space="0"/>
              <w:bottom w:val="single" w:color="000000" w:sz="4" w:space="0"/>
              <w:right w:val="single" w:color="000000" w:sz="4" w:space="0"/>
            </w:tcBorders>
            <w:shd w:val="clear" w:color="auto" w:fill="auto"/>
            <w:vAlign w:val="center"/>
          </w:tcPr>
          <w:p w14:paraId="2D6AC56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25" w:type="dxa"/>
            <w:tcBorders>
              <w:top w:val="nil"/>
              <w:left w:val="nil"/>
              <w:bottom w:val="single" w:color="000000" w:sz="4" w:space="0"/>
              <w:right w:val="single" w:color="000000" w:sz="4" w:space="0"/>
            </w:tcBorders>
            <w:shd w:val="clear" w:color="auto" w:fill="auto"/>
            <w:vAlign w:val="center"/>
          </w:tcPr>
          <w:p w14:paraId="0649EDA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可持续影响指标</w:t>
            </w:r>
          </w:p>
        </w:tc>
        <w:tc>
          <w:tcPr>
            <w:tcW w:w="1400" w:type="dxa"/>
            <w:tcBorders>
              <w:top w:val="nil"/>
              <w:left w:val="nil"/>
              <w:bottom w:val="single" w:color="000000" w:sz="4" w:space="0"/>
              <w:right w:val="single" w:color="000000" w:sz="4" w:space="0"/>
            </w:tcBorders>
            <w:shd w:val="clear" w:color="auto" w:fill="auto"/>
            <w:vAlign w:val="center"/>
          </w:tcPr>
          <w:p w14:paraId="64FFB44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对科技教师可持续影响</w:t>
            </w:r>
          </w:p>
        </w:tc>
        <w:tc>
          <w:tcPr>
            <w:tcW w:w="551" w:type="dxa"/>
            <w:gridSpan w:val="2"/>
            <w:tcBorders>
              <w:top w:val="nil"/>
              <w:left w:val="nil"/>
              <w:bottom w:val="single" w:color="000000" w:sz="4" w:space="0"/>
              <w:right w:val="single" w:color="000000" w:sz="4" w:space="0"/>
            </w:tcBorders>
            <w:shd w:val="clear" w:color="auto" w:fill="auto"/>
            <w:vAlign w:val="center"/>
          </w:tcPr>
          <w:p w14:paraId="2697824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gridSpan w:val="2"/>
            <w:tcBorders>
              <w:top w:val="nil"/>
              <w:left w:val="nil"/>
              <w:bottom w:val="single" w:color="000000" w:sz="4" w:space="0"/>
              <w:right w:val="single" w:color="000000" w:sz="4" w:space="0"/>
            </w:tcBorders>
            <w:shd w:val="clear" w:color="auto" w:fill="auto"/>
            <w:vAlign w:val="center"/>
          </w:tcPr>
          <w:p w14:paraId="404EDF1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w:t>
            </w:r>
          </w:p>
        </w:tc>
        <w:tc>
          <w:tcPr>
            <w:tcW w:w="706" w:type="dxa"/>
            <w:tcBorders>
              <w:top w:val="nil"/>
              <w:left w:val="nil"/>
              <w:bottom w:val="single" w:color="000000" w:sz="4" w:space="0"/>
              <w:right w:val="single" w:color="000000" w:sz="4" w:space="0"/>
            </w:tcBorders>
            <w:shd w:val="clear" w:color="auto" w:fill="auto"/>
            <w:vAlign w:val="center"/>
          </w:tcPr>
          <w:p w14:paraId="60802AD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w:t>
            </w:r>
          </w:p>
        </w:tc>
        <w:tc>
          <w:tcPr>
            <w:tcW w:w="851" w:type="dxa"/>
            <w:tcBorders>
              <w:top w:val="nil"/>
              <w:left w:val="nil"/>
              <w:bottom w:val="single" w:color="000000" w:sz="4" w:space="0"/>
              <w:right w:val="single" w:color="000000" w:sz="4" w:space="0"/>
            </w:tcBorders>
            <w:shd w:val="clear" w:color="auto" w:fill="auto"/>
            <w:vAlign w:val="center"/>
          </w:tcPr>
          <w:p w14:paraId="4FEEABBD">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489" w:type="dxa"/>
            <w:tcBorders>
              <w:top w:val="nil"/>
              <w:left w:val="nil"/>
              <w:bottom w:val="single" w:color="000000" w:sz="4" w:space="0"/>
              <w:right w:val="single" w:color="000000" w:sz="4" w:space="0"/>
            </w:tcBorders>
            <w:shd w:val="clear" w:color="auto" w:fill="auto"/>
            <w:vAlign w:val="center"/>
          </w:tcPr>
          <w:p w14:paraId="4994ED8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86" w:type="dxa"/>
            <w:tcBorders>
              <w:top w:val="nil"/>
              <w:left w:val="nil"/>
              <w:bottom w:val="single" w:color="000000" w:sz="4" w:space="0"/>
              <w:right w:val="single" w:color="000000" w:sz="4" w:space="0"/>
            </w:tcBorders>
            <w:shd w:val="clear" w:color="auto" w:fill="auto"/>
            <w:vAlign w:val="center"/>
          </w:tcPr>
          <w:p w14:paraId="0A877EF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720" w:type="dxa"/>
            <w:tcBorders>
              <w:top w:val="nil"/>
              <w:left w:val="nil"/>
              <w:bottom w:val="single" w:color="000000" w:sz="4" w:space="0"/>
              <w:right w:val="single" w:color="000000" w:sz="4" w:space="0"/>
            </w:tcBorders>
            <w:shd w:val="clear" w:color="auto" w:fill="auto"/>
            <w:vAlign w:val="center"/>
          </w:tcPr>
          <w:p w14:paraId="51B05967">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61DE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04F58AC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tcBorders>
              <w:top w:val="nil"/>
              <w:left w:val="nil"/>
              <w:bottom w:val="single" w:color="000000" w:sz="4" w:space="0"/>
              <w:right w:val="single" w:color="000000" w:sz="4" w:space="0"/>
            </w:tcBorders>
            <w:shd w:val="clear" w:color="auto" w:fill="auto"/>
            <w:vAlign w:val="center"/>
          </w:tcPr>
          <w:p w14:paraId="4D5105B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满意度指标</w:t>
            </w:r>
          </w:p>
        </w:tc>
        <w:tc>
          <w:tcPr>
            <w:tcW w:w="1125" w:type="dxa"/>
            <w:tcBorders>
              <w:top w:val="nil"/>
              <w:left w:val="nil"/>
              <w:bottom w:val="single" w:color="000000" w:sz="4" w:space="0"/>
              <w:right w:val="single" w:color="000000" w:sz="4" w:space="0"/>
            </w:tcBorders>
            <w:shd w:val="clear" w:color="auto" w:fill="auto"/>
            <w:vAlign w:val="center"/>
          </w:tcPr>
          <w:p w14:paraId="6CD46E2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服务对象满意度指标</w:t>
            </w:r>
          </w:p>
        </w:tc>
        <w:tc>
          <w:tcPr>
            <w:tcW w:w="1400" w:type="dxa"/>
            <w:tcBorders>
              <w:top w:val="nil"/>
              <w:left w:val="nil"/>
              <w:bottom w:val="single" w:color="000000" w:sz="4" w:space="0"/>
              <w:right w:val="single" w:color="000000" w:sz="4" w:space="0"/>
            </w:tcBorders>
            <w:shd w:val="clear" w:color="auto" w:fill="auto"/>
            <w:vAlign w:val="center"/>
          </w:tcPr>
          <w:p w14:paraId="5DB02D9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参加培训的教师满意度</w:t>
            </w:r>
          </w:p>
        </w:tc>
        <w:tc>
          <w:tcPr>
            <w:tcW w:w="551" w:type="dxa"/>
            <w:gridSpan w:val="2"/>
            <w:tcBorders>
              <w:top w:val="nil"/>
              <w:left w:val="nil"/>
              <w:bottom w:val="single" w:color="000000" w:sz="4" w:space="0"/>
              <w:right w:val="single" w:color="000000" w:sz="4" w:space="0"/>
            </w:tcBorders>
            <w:shd w:val="clear" w:color="auto" w:fill="auto"/>
            <w:vAlign w:val="center"/>
          </w:tcPr>
          <w:p w14:paraId="730DCCA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gridSpan w:val="2"/>
            <w:tcBorders>
              <w:top w:val="nil"/>
              <w:left w:val="nil"/>
              <w:bottom w:val="single" w:color="000000" w:sz="4" w:space="0"/>
              <w:right w:val="single" w:color="000000" w:sz="4" w:space="0"/>
            </w:tcBorders>
            <w:shd w:val="clear" w:color="auto" w:fill="auto"/>
            <w:vAlign w:val="center"/>
          </w:tcPr>
          <w:p w14:paraId="3F2109D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95</w:t>
            </w:r>
          </w:p>
        </w:tc>
        <w:tc>
          <w:tcPr>
            <w:tcW w:w="706" w:type="dxa"/>
            <w:tcBorders>
              <w:top w:val="nil"/>
              <w:left w:val="nil"/>
              <w:bottom w:val="single" w:color="000000" w:sz="4" w:space="0"/>
              <w:right w:val="single" w:color="000000" w:sz="4" w:space="0"/>
            </w:tcBorders>
            <w:shd w:val="clear" w:color="auto" w:fill="auto"/>
            <w:vAlign w:val="center"/>
          </w:tcPr>
          <w:p w14:paraId="4CFF16C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851" w:type="dxa"/>
            <w:tcBorders>
              <w:top w:val="nil"/>
              <w:left w:val="nil"/>
              <w:bottom w:val="single" w:color="000000" w:sz="4" w:space="0"/>
              <w:right w:val="single" w:color="000000" w:sz="4" w:space="0"/>
            </w:tcBorders>
            <w:shd w:val="clear" w:color="auto" w:fill="auto"/>
            <w:vAlign w:val="center"/>
          </w:tcPr>
          <w:p w14:paraId="4359DFFE">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90</w:t>
            </w:r>
          </w:p>
        </w:tc>
        <w:tc>
          <w:tcPr>
            <w:tcW w:w="489" w:type="dxa"/>
            <w:tcBorders>
              <w:top w:val="nil"/>
              <w:left w:val="nil"/>
              <w:bottom w:val="single" w:color="000000" w:sz="4" w:space="0"/>
              <w:right w:val="single" w:color="000000" w:sz="4" w:space="0"/>
            </w:tcBorders>
            <w:shd w:val="clear" w:color="auto" w:fill="auto"/>
            <w:vAlign w:val="center"/>
          </w:tcPr>
          <w:p w14:paraId="640E50A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86" w:type="dxa"/>
            <w:tcBorders>
              <w:top w:val="nil"/>
              <w:left w:val="nil"/>
              <w:bottom w:val="single" w:color="000000" w:sz="4" w:space="0"/>
              <w:right w:val="single" w:color="000000" w:sz="4" w:space="0"/>
            </w:tcBorders>
            <w:shd w:val="clear" w:color="auto" w:fill="auto"/>
            <w:vAlign w:val="center"/>
          </w:tcPr>
          <w:p w14:paraId="090327B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　</w:t>
            </w:r>
          </w:p>
        </w:tc>
        <w:tc>
          <w:tcPr>
            <w:tcW w:w="1720" w:type="dxa"/>
            <w:tcBorders>
              <w:top w:val="nil"/>
              <w:left w:val="nil"/>
              <w:bottom w:val="single" w:color="000000" w:sz="4" w:space="0"/>
              <w:right w:val="single" w:color="000000" w:sz="4" w:space="0"/>
            </w:tcBorders>
            <w:shd w:val="clear" w:color="auto" w:fill="auto"/>
            <w:vAlign w:val="center"/>
          </w:tcPr>
          <w:p w14:paraId="4EBF6D25">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满意度未达设定指标，扣1分。　</w:t>
            </w:r>
          </w:p>
        </w:tc>
      </w:tr>
      <w:tr w14:paraId="0A00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14:paraId="2653D74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73" w:type="dxa"/>
            <w:tcBorders>
              <w:top w:val="nil"/>
              <w:left w:val="nil"/>
              <w:bottom w:val="single" w:color="000000" w:sz="4" w:space="0"/>
              <w:right w:val="single" w:color="000000" w:sz="4" w:space="0"/>
            </w:tcBorders>
            <w:shd w:val="clear" w:color="auto" w:fill="auto"/>
            <w:vAlign w:val="center"/>
          </w:tcPr>
          <w:p w14:paraId="7FFC5F9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成本指标</w:t>
            </w:r>
          </w:p>
        </w:tc>
        <w:tc>
          <w:tcPr>
            <w:tcW w:w="1125" w:type="dxa"/>
            <w:tcBorders>
              <w:top w:val="nil"/>
              <w:left w:val="nil"/>
              <w:bottom w:val="single" w:color="000000" w:sz="4" w:space="0"/>
              <w:right w:val="single" w:color="000000" w:sz="4" w:space="0"/>
            </w:tcBorders>
            <w:shd w:val="clear" w:color="auto" w:fill="auto"/>
            <w:vAlign w:val="center"/>
          </w:tcPr>
          <w:p w14:paraId="10460F3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经济成本指标</w:t>
            </w:r>
          </w:p>
        </w:tc>
        <w:tc>
          <w:tcPr>
            <w:tcW w:w="1400" w:type="dxa"/>
            <w:tcBorders>
              <w:top w:val="nil"/>
              <w:left w:val="nil"/>
              <w:bottom w:val="single" w:color="000000" w:sz="4" w:space="0"/>
              <w:right w:val="single" w:color="000000" w:sz="4" w:space="0"/>
            </w:tcBorders>
            <w:shd w:val="clear" w:color="auto" w:fill="auto"/>
            <w:vAlign w:val="center"/>
          </w:tcPr>
          <w:p w14:paraId="7A0761C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参加培训学习费用</w:t>
            </w:r>
          </w:p>
        </w:tc>
        <w:tc>
          <w:tcPr>
            <w:tcW w:w="551" w:type="dxa"/>
            <w:gridSpan w:val="2"/>
            <w:tcBorders>
              <w:top w:val="nil"/>
              <w:left w:val="nil"/>
              <w:bottom w:val="single" w:color="000000" w:sz="4" w:space="0"/>
              <w:right w:val="single" w:color="000000" w:sz="4" w:space="0"/>
            </w:tcBorders>
            <w:shd w:val="clear" w:color="auto" w:fill="auto"/>
            <w:vAlign w:val="center"/>
          </w:tcPr>
          <w:p w14:paraId="1B93995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gridSpan w:val="2"/>
            <w:tcBorders>
              <w:top w:val="nil"/>
              <w:left w:val="nil"/>
              <w:bottom w:val="single" w:color="000000" w:sz="4" w:space="0"/>
              <w:right w:val="single" w:color="000000" w:sz="4" w:space="0"/>
            </w:tcBorders>
            <w:shd w:val="clear" w:color="auto" w:fill="auto"/>
            <w:vAlign w:val="center"/>
          </w:tcPr>
          <w:p w14:paraId="0CE4972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12</w:t>
            </w:r>
          </w:p>
        </w:tc>
        <w:tc>
          <w:tcPr>
            <w:tcW w:w="706" w:type="dxa"/>
            <w:tcBorders>
              <w:top w:val="nil"/>
              <w:left w:val="nil"/>
              <w:bottom w:val="single" w:color="000000" w:sz="4" w:space="0"/>
              <w:right w:val="single" w:color="000000" w:sz="4" w:space="0"/>
            </w:tcBorders>
            <w:shd w:val="clear" w:color="auto" w:fill="auto"/>
            <w:vAlign w:val="center"/>
          </w:tcPr>
          <w:p w14:paraId="6D24A90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万元</w:t>
            </w:r>
          </w:p>
        </w:tc>
        <w:tc>
          <w:tcPr>
            <w:tcW w:w="851" w:type="dxa"/>
            <w:tcBorders>
              <w:top w:val="nil"/>
              <w:left w:val="nil"/>
              <w:bottom w:val="single" w:color="000000" w:sz="4" w:space="0"/>
              <w:right w:val="single" w:color="000000" w:sz="4" w:space="0"/>
            </w:tcBorders>
            <w:shd w:val="clear" w:color="auto" w:fill="auto"/>
            <w:vAlign w:val="center"/>
          </w:tcPr>
          <w:p w14:paraId="701F0C98">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489" w:type="dxa"/>
            <w:tcBorders>
              <w:top w:val="nil"/>
              <w:left w:val="nil"/>
              <w:bottom w:val="single" w:color="000000" w:sz="4" w:space="0"/>
              <w:right w:val="single" w:color="000000" w:sz="4" w:space="0"/>
            </w:tcBorders>
            <w:shd w:val="clear" w:color="auto" w:fill="auto"/>
            <w:vAlign w:val="center"/>
          </w:tcPr>
          <w:p w14:paraId="3E6E15A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w:t>
            </w:r>
          </w:p>
        </w:tc>
        <w:tc>
          <w:tcPr>
            <w:tcW w:w="486" w:type="dxa"/>
            <w:tcBorders>
              <w:top w:val="nil"/>
              <w:left w:val="nil"/>
              <w:bottom w:val="single" w:color="000000" w:sz="4" w:space="0"/>
              <w:right w:val="single" w:color="000000" w:sz="4" w:space="0"/>
            </w:tcBorders>
            <w:shd w:val="clear" w:color="auto" w:fill="auto"/>
            <w:vAlign w:val="center"/>
          </w:tcPr>
          <w:p w14:paraId="235D75C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720" w:type="dxa"/>
            <w:tcBorders>
              <w:top w:val="nil"/>
              <w:left w:val="nil"/>
              <w:bottom w:val="single" w:color="000000" w:sz="4" w:space="0"/>
              <w:right w:val="single" w:color="000000" w:sz="4" w:space="0"/>
            </w:tcBorders>
            <w:shd w:val="clear" w:color="auto" w:fill="auto"/>
            <w:vAlign w:val="center"/>
          </w:tcPr>
          <w:p w14:paraId="43D524C8">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4A3F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71DA0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合计</w:t>
            </w:r>
          </w:p>
        </w:tc>
        <w:tc>
          <w:tcPr>
            <w:tcW w:w="489" w:type="dxa"/>
            <w:tcBorders>
              <w:top w:val="nil"/>
              <w:left w:val="nil"/>
              <w:bottom w:val="single" w:color="000000" w:sz="4" w:space="0"/>
              <w:right w:val="single" w:color="000000" w:sz="4" w:space="0"/>
            </w:tcBorders>
            <w:shd w:val="clear" w:color="auto" w:fill="auto"/>
            <w:vAlign w:val="center"/>
          </w:tcPr>
          <w:p w14:paraId="2C7D129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w:t>
            </w:r>
          </w:p>
        </w:tc>
        <w:tc>
          <w:tcPr>
            <w:tcW w:w="486" w:type="dxa"/>
            <w:tcBorders>
              <w:top w:val="nil"/>
              <w:left w:val="nil"/>
              <w:bottom w:val="single" w:color="000000" w:sz="4" w:space="0"/>
              <w:right w:val="single" w:color="000000" w:sz="4" w:space="0"/>
            </w:tcBorders>
            <w:shd w:val="clear" w:color="auto" w:fill="auto"/>
            <w:vAlign w:val="center"/>
          </w:tcPr>
          <w:p w14:paraId="20EE6AF2">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99　</w:t>
            </w:r>
          </w:p>
        </w:tc>
        <w:tc>
          <w:tcPr>
            <w:tcW w:w="1720" w:type="dxa"/>
            <w:tcBorders>
              <w:top w:val="nil"/>
              <w:left w:val="nil"/>
              <w:bottom w:val="single" w:color="000000" w:sz="4" w:space="0"/>
              <w:right w:val="single" w:color="000000" w:sz="4" w:space="0"/>
            </w:tcBorders>
            <w:shd w:val="clear" w:color="auto" w:fill="auto"/>
            <w:vAlign w:val="center"/>
          </w:tcPr>
          <w:p w14:paraId="6762665B">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　</w:t>
            </w:r>
          </w:p>
        </w:tc>
      </w:tr>
      <w:tr w14:paraId="5DAE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79" w:type="dxa"/>
            <w:tcBorders>
              <w:top w:val="nil"/>
              <w:left w:val="single" w:color="000000" w:sz="4" w:space="0"/>
              <w:bottom w:val="single" w:color="000000" w:sz="4" w:space="0"/>
              <w:right w:val="single" w:color="000000" w:sz="4" w:space="0"/>
            </w:tcBorders>
            <w:shd w:val="clear" w:color="auto" w:fill="auto"/>
            <w:vAlign w:val="center"/>
          </w:tcPr>
          <w:p w14:paraId="4D60D3A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评价结论</w:t>
            </w:r>
          </w:p>
        </w:tc>
        <w:tc>
          <w:tcPr>
            <w:tcW w:w="9168" w:type="dxa"/>
            <w:gridSpan w:val="12"/>
            <w:tcBorders>
              <w:top w:val="single" w:color="000000" w:sz="4" w:space="0"/>
              <w:left w:val="nil"/>
              <w:bottom w:val="single" w:color="000000" w:sz="4" w:space="0"/>
              <w:right w:val="single" w:color="000000" w:sz="4" w:space="0"/>
            </w:tcBorders>
            <w:shd w:val="clear" w:color="auto" w:fill="auto"/>
            <w:vAlign w:val="center"/>
          </w:tcPr>
          <w:p w14:paraId="17EC7B48">
            <w:pPr>
              <w:keepNext w:val="0"/>
              <w:keepLines w:val="0"/>
              <w:widowControl/>
              <w:suppressLineNumbers w:val="0"/>
              <w:spacing w:before="0" w:beforeAutospacing="0" w:after="0" w:afterAutospacing="0" w:line="180" w:lineRule="exact"/>
              <w:ind w:left="0" w:right="0"/>
              <w:jc w:val="left"/>
              <w:rPr>
                <w:rFonts w:hint="eastAsia" w:ascii="微软雅黑" w:hAnsi="微软雅黑" w:eastAsia="微软雅黑" w:cs="宋体"/>
                <w:kern w:val="0"/>
                <w:sz w:val="15"/>
                <w:szCs w:val="15"/>
                <w:lang w:val="en-US"/>
              </w:rPr>
            </w:pPr>
            <w:r>
              <w:rPr>
                <w:rFonts w:hint="eastAsia" w:ascii="微软雅黑" w:hAnsi="微软雅黑" w:eastAsia="微软雅黑" w:cs="宋体"/>
                <w:kern w:val="0"/>
                <w:sz w:val="15"/>
                <w:szCs w:val="15"/>
                <w:lang w:val="en-US" w:eastAsia="zh-CN" w:bidi="ar"/>
              </w:rPr>
              <w:t>较大规模地对教师开展了科技教育专题培训，提高了教师对科技教育的重视和对科技创新大赛的认知，提高了科技教师的专业专业素质和辅导能力，为开展凉山州青少年科技创新大赛奠定了良好基础，也为全州科技教育事业健康发展起到了很好的促进作用。</w:t>
            </w:r>
            <w:r>
              <w:rPr>
                <w:rFonts w:hint="eastAsia" w:ascii="宋体" w:hAnsi="宋体" w:eastAsia="宋体" w:cs="宋体"/>
                <w:kern w:val="0"/>
                <w:sz w:val="15"/>
                <w:szCs w:val="15"/>
                <w:lang w:val="en-US" w:eastAsia="zh-CN" w:bidi="ar"/>
              </w:rPr>
              <w:t>从预算执行情况、效益、满意度指标等进行了以上打分，预算执行率100%，执行情况良好，自评得分99分。</w:t>
            </w:r>
          </w:p>
        </w:tc>
      </w:tr>
      <w:tr w14:paraId="6AD7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tcBorders>
              <w:top w:val="nil"/>
              <w:left w:val="single" w:color="000000" w:sz="4" w:space="0"/>
              <w:bottom w:val="single" w:color="000000" w:sz="4" w:space="0"/>
              <w:right w:val="single" w:color="000000" w:sz="4" w:space="0"/>
            </w:tcBorders>
            <w:shd w:val="clear" w:color="auto" w:fill="auto"/>
            <w:vAlign w:val="center"/>
          </w:tcPr>
          <w:p w14:paraId="7FF1A86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存在问题</w:t>
            </w:r>
          </w:p>
        </w:tc>
        <w:tc>
          <w:tcPr>
            <w:tcW w:w="9168" w:type="dxa"/>
            <w:gridSpan w:val="12"/>
            <w:tcBorders>
              <w:top w:val="single" w:color="000000" w:sz="4" w:space="0"/>
              <w:left w:val="nil"/>
              <w:bottom w:val="single" w:color="000000" w:sz="4" w:space="0"/>
              <w:right w:val="single" w:color="000000" w:sz="4" w:space="0"/>
            </w:tcBorders>
            <w:shd w:val="clear" w:color="auto" w:fill="auto"/>
            <w:vAlign w:val="center"/>
          </w:tcPr>
          <w:p w14:paraId="77D0D9BC">
            <w:pPr>
              <w:keepNext w:val="0"/>
              <w:keepLines w:val="0"/>
              <w:widowControl/>
              <w:suppressLineNumbers w:val="0"/>
              <w:spacing w:before="0" w:beforeAutospacing="0" w:after="0" w:afterAutospacing="0" w:line="180" w:lineRule="exact"/>
              <w:ind w:left="0" w:right="0"/>
              <w:jc w:val="left"/>
              <w:rPr>
                <w:rFonts w:hint="eastAsia" w:ascii="微软雅黑" w:hAnsi="微软雅黑" w:eastAsia="微软雅黑" w:cs="宋体"/>
                <w:color w:val="000000"/>
                <w:kern w:val="0"/>
                <w:sz w:val="15"/>
                <w:szCs w:val="15"/>
                <w:lang w:val="en-US"/>
              </w:rPr>
            </w:pPr>
            <w:r>
              <w:rPr>
                <w:rFonts w:hint="eastAsia" w:ascii="微软雅黑" w:hAnsi="微软雅黑" w:eastAsia="微软雅黑" w:cs="宋体"/>
                <w:color w:val="000000"/>
                <w:kern w:val="0"/>
                <w:sz w:val="15"/>
                <w:szCs w:val="15"/>
                <w:lang w:val="en-US" w:eastAsia="zh-CN" w:bidi="ar"/>
              </w:rPr>
              <w:t>参训的教师多为兼职科技教师或其他学科教师，在后续的科技教育工作中作用发挥不足。</w:t>
            </w:r>
          </w:p>
        </w:tc>
      </w:tr>
      <w:tr w14:paraId="4F3A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79" w:type="dxa"/>
            <w:tcBorders>
              <w:top w:val="nil"/>
              <w:left w:val="single" w:color="000000" w:sz="4" w:space="0"/>
              <w:bottom w:val="single" w:color="000000" w:sz="4" w:space="0"/>
              <w:right w:val="single" w:color="000000" w:sz="4" w:space="0"/>
            </w:tcBorders>
            <w:shd w:val="clear" w:color="auto" w:fill="auto"/>
            <w:vAlign w:val="center"/>
          </w:tcPr>
          <w:p w14:paraId="6B1A172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改进措施</w:t>
            </w:r>
          </w:p>
        </w:tc>
        <w:tc>
          <w:tcPr>
            <w:tcW w:w="9168" w:type="dxa"/>
            <w:gridSpan w:val="12"/>
            <w:tcBorders>
              <w:top w:val="single" w:color="000000" w:sz="4" w:space="0"/>
              <w:left w:val="nil"/>
              <w:bottom w:val="single" w:color="000000" w:sz="4" w:space="0"/>
              <w:right w:val="single" w:color="000000" w:sz="4" w:space="0"/>
            </w:tcBorders>
            <w:shd w:val="clear" w:color="auto" w:fill="auto"/>
            <w:vAlign w:val="center"/>
          </w:tcPr>
          <w:p w14:paraId="0F3540CC">
            <w:pPr>
              <w:keepNext w:val="0"/>
              <w:keepLines w:val="0"/>
              <w:widowControl/>
              <w:suppressLineNumbers w:val="0"/>
              <w:spacing w:before="0" w:beforeAutospacing="0" w:after="0" w:afterAutospacing="0" w:line="180" w:lineRule="exact"/>
              <w:ind w:left="0" w:right="0"/>
              <w:jc w:val="left"/>
              <w:rPr>
                <w:rFonts w:hint="eastAsia" w:ascii="微软雅黑" w:hAnsi="微软雅黑" w:eastAsia="微软雅黑" w:cs="宋体"/>
                <w:color w:val="000000"/>
                <w:kern w:val="0"/>
                <w:sz w:val="15"/>
                <w:szCs w:val="15"/>
                <w:lang w:val="en-US"/>
              </w:rPr>
            </w:pPr>
            <w:r>
              <w:rPr>
                <w:rFonts w:hint="eastAsia" w:ascii="微软雅黑" w:hAnsi="微软雅黑" w:eastAsia="微软雅黑" w:cs="宋体"/>
                <w:color w:val="000000"/>
                <w:kern w:val="0"/>
                <w:sz w:val="15"/>
                <w:szCs w:val="15"/>
                <w:lang w:val="en-US" w:eastAsia="zh-CN" w:bidi="ar"/>
              </w:rPr>
              <w:t>建议教育主管部门加大专职科技教师队伍建设，在各中小学配足配齐专职科技教师。</w:t>
            </w:r>
          </w:p>
        </w:tc>
      </w:tr>
      <w:tr w14:paraId="1BA1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29D9B7">
            <w:pPr>
              <w:keepNext w:val="0"/>
              <w:keepLines w:val="0"/>
              <w:widowControl/>
              <w:suppressLineNumbers w:val="0"/>
              <w:spacing w:before="0" w:beforeAutospacing="0" w:after="0" w:afterAutospacing="0" w:line="180" w:lineRule="exact"/>
              <w:ind w:left="0" w:right="0"/>
              <w:jc w:val="left"/>
              <w:rPr>
                <w:rFonts w:hint="default" w:ascii="Courier New" w:hAnsi="Courier New" w:cs="宋体"/>
                <w:color w:val="000000"/>
                <w:kern w:val="0"/>
                <w:sz w:val="15"/>
                <w:szCs w:val="15"/>
                <w:lang w:val="en-US"/>
              </w:rPr>
            </w:pPr>
            <w:r>
              <w:rPr>
                <w:rFonts w:hint="eastAsia" w:ascii="Courier New" w:hAnsi="Courier New" w:eastAsia="宋体" w:cs="Courier New"/>
                <w:color w:val="000000"/>
                <w:kern w:val="0"/>
                <w:sz w:val="15"/>
                <w:szCs w:val="15"/>
                <w:lang w:val="en-US" w:eastAsia="zh-CN" w:bidi="ar"/>
              </w:rPr>
              <w:t>项目负责人：吴朝兰</w:t>
            </w:r>
          </w:p>
        </w:tc>
        <w:tc>
          <w:tcPr>
            <w:tcW w:w="4972" w:type="dxa"/>
            <w:gridSpan w:val="8"/>
            <w:tcBorders>
              <w:top w:val="single" w:color="000000" w:sz="4" w:space="0"/>
              <w:left w:val="nil"/>
              <w:bottom w:val="single" w:color="000000" w:sz="4" w:space="0"/>
              <w:right w:val="single" w:color="000000" w:sz="4" w:space="0"/>
            </w:tcBorders>
            <w:shd w:val="clear" w:color="auto" w:fill="auto"/>
            <w:vAlign w:val="center"/>
          </w:tcPr>
          <w:p w14:paraId="563E8C5F">
            <w:pPr>
              <w:keepNext w:val="0"/>
              <w:keepLines w:val="0"/>
              <w:widowControl/>
              <w:suppressLineNumbers w:val="0"/>
              <w:spacing w:before="0" w:beforeAutospacing="0" w:after="0" w:afterAutospacing="0" w:line="180" w:lineRule="exact"/>
              <w:ind w:left="0" w:right="0"/>
              <w:jc w:val="left"/>
              <w:rPr>
                <w:rFonts w:hint="default" w:ascii="Courier New" w:hAnsi="Courier New" w:cs="宋体"/>
                <w:color w:val="000000"/>
                <w:kern w:val="0"/>
                <w:sz w:val="15"/>
                <w:szCs w:val="15"/>
                <w:lang w:val="en-US"/>
              </w:rPr>
            </w:pPr>
            <w:r>
              <w:rPr>
                <w:rFonts w:hint="eastAsia" w:ascii="Courier New" w:hAnsi="Courier New" w:eastAsia="宋体" w:cs="Courier New"/>
                <w:color w:val="000000"/>
                <w:kern w:val="0"/>
                <w:sz w:val="15"/>
                <w:szCs w:val="15"/>
                <w:lang w:val="en-US" w:eastAsia="zh-CN" w:bidi="ar"/>
              </w:rPr>
              <w:t>财务负责人：毛正华</w:t>
            </w:r>
          </w:p>
        </w:tc>
      </w:tr>
    </w:tbl>
    <w:p w14:paraId="2432D562">
      <w:pPr>
        <w:keepNext w:val="0"/>
        <w:keepLines w:val="0"/>
        <w:widowControl w:val="0"/>
        <w:suppressLineNumbers w:val="0"/>
        <w:spacing w:before="0" w:beforeAutospacing="0" w:after="0" w:afterAutospacing="0" w:line="180" w:lineRule="exact"/>
        <w:ind w:left="0" w:right="0"/>
        <w:jc w:val="both"/>
        <w:rPr>
          <w:sz w:val="15"/>
          <w:szCs w:val="15"/>
          <w:lang w:val="en-US"/>
        </w:rPr>
      </w:pPr>
    </w:p>
    <w:p w14:paraId="1E7065C2">
      <w:pPr>
        <w:keepNext w:val="0"/>
        <w:keepLines w:val="0"/>
        <w:widowControl w:val="0"/>
        <w:suppressLineNumbers w:val="0"/>
        <w:spacing w:before="0" w:beforeAutospacing="0" w:after="0" w:afterAutospacing="0" w:line="180" w:lineRule="exact"/>
        <w:ind w:left="0" w:right="0"/>
        <w:jc w:val="both"/>
        <w:rPr>
          <w:sz w:val="15"/>
          <w:szCs w:val="15"/>
          <w:lang w:val="en-US"/>
        </w:rPr>
      </w:pPr>
    </w:p>
    <w:p w14:paraId="2CA8C117">
      <w:pPr>
        <w:keepNext w:val="0"/>
        <w:keepLines w:val="0"/>
        <w:widowControl w:val="0"/>
        <w:suppressLineNumbers w:val="0"/>
        <w:spacing w:before="0" w:beforeAutospacing="0" w:after="0" w:afterAutospacing="0" w:line="180" w:lineRule="exact"/>
        <w:ind w:left="0" w:right="0"/>
        <w:jc w:val="both"/>
        <w:rPr>
          <w:sz w:val="15"/>
          <w:szCs w:val="15"/>
          <w:lang w:val="en-US"/>
        </w:rPr>
      </w:pPr>
    </w:p>
    <w:p w14:paraId="2AB565D8">
      <w:pPr>
        <w:keepNext w:val="0"/>
        <w:keepLines w:val="0"/>
        <w:widowControl w:val="0"/>
        <w:suppressLineNumbers w:val="0"/>
        <w:spacing w:before="0" w:beforeAutospacing="0" w:after="0" w:afterAutospacing="0" w:line="180" w:lineRule="exact"/>
        <w:ind w:left="0" w:right="0"/>
        <w:jc w:val="both"/>
        <w:rPr>
          <w:sz w:val="15"/>
          <w:szCs w:val="15"/>
          <w:lang w:val="en-US"/>
        </w:rPr>
      </w:pPr>
    </w:p>
    <w:p w14:paraId="074EF78D">
      <w:pPr>
        <w:keepNext w:val="0"/>
        <w:keepLines w:val="0"/>
        <w:widowControl w:val="0"/>
        <w:suppressLineNumbers w:val="0"/>
        <w:spacing w:before="0" w:beforeAutospacing="0" w:after="0" w:afterAutospacing="0" w:line="180" w:lineRule="exact"/>
        <w:ind w:left="0" w:right="0"/>
        <w:jc w:val="both"/>
        <w:rPr>
          <w:sz w:val="15"/>
          <w:szCs w:val="15"/>
          <w:lang w:val="en-US"/>
        </w:rPr>
      </w:pPr>
    </w:p>
    <w:p w14:paraId="6B2DE920">
      <w:pPr>
        <w:keepNext w:val="0"/>
        <w:keepLines w:val="0"/>
        <w:widowControl w:val="0"/>
        <w:suppressLineNumbers w:val="0"/>
        <w:spacing w:before="0" w:beforeAutospacing="0" w:after="0" w:afterAutospacing="0" w:line="180" w:lineRule="exact"/>
        <w:ind w:left="0" w:right="0"/>
        <w:jc w:val="both"/>
        <w:rPr>
          <w:sz w:val="15"/>
          <w:szCs w:val="15"/>
          <w:lang w:val="en-US"/>
        </w:rPr>
      </w:pPr>
      <w:r>
        <w:rPr>
          <w:rFonts w:hint="default" w:ascii="Calibri" w:hAnsi="Calibri" w:eastAsia="宋体" w:cs="Times New Roman"/>
          <w:kern w:val="2"/>
          <w:sz w:val="15"/>
          <w:szCs w:val="15"/>
          <w:lang w:val="en-US" w:eastAsia="zh-CN" w:bidi="ar"/>
        </w:rPr>
        <w:br w:type="page"/>
      </w:r>
    </w:p>
    <w:tbl>
      <w:tblPr>
        <w:tblStyle w:val="18"/>
        <w:tblW w:w="9105"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994"/>
        <w:gridCol w:w="1215"/>
        <w:gridCol w:w="1334"/>
        <w:gridCol w:w="344"/>
        <w:gridCol w:w="221"/>
        <w:gridCol w:w="424"/>
        <w:gridCol w:w="696"/>
        <w:gridCol w:w="12"/>
        <w:gridCol w:w="832"/>
        <w:gridCol w:w="17"/>
        <w:gridCol w:w="566"/>
        <w:gridCol w:w="566"/>
        <w:gridCol w:w="1301"/>
      </w:tblGrid>
      <w:tr w14:paraId="779D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911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BD10E92">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color w:val="000000"/>
                <w:kern w:val="0"/>
                <w:sz w:val="15"/>
                <w:szCs w:val="15"/>
                <w:lang w:val="en-US"/>
              </w:rPr>
            </w:pPr>
            <w:r>
              <w:rPr>
                <w:rFonts w:hint="eastAsia" w:ascii="黑体" w:hAnsi="宋体" w:eastAsia="黑体" w:cs="宋体"/>
                <w:b/>
                <w:bCs/>
                <w:color w:val="000000"/>
                <w:kern w:val="0"/>
                <w:sz w:val="24"/>
                <w:szCs w:val="24"/>
                <w:lang w:val="en-US" w:eastAsia="zh-CN" w:bidi="ar"/>
              </w:rPr>
              <w:t>部门预算项目支出绩效自评表（2023年度）</w:t>
            </w:r>
          </w:p>
        </w:tc>
      </w:tr>
      <w:tr w14:paraId="7D64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7DC1E">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项目名称</w:t>
            </w:r>
          </w:p>
        </w:tc>
        <w:tc>
          <w:tcPr>
            <w:tcW w:w="7539" w:type="dxa"/>
            <w:gridSpan w:val="12"/>
            <w:tcBorders>
              <w:top w:val="single" w:color="000000" w:sz="4" w:space="0"/>
              <w:left w:val="nil"/>
              <w:bottom w:val="single" w:color="000000" w:sz="4" w:space="0"/>
              <w:right w:val="single" w:color="000000" w:sz="4" w:space="0"/>
            </w:tcBorders>
            <w:shd w:val="clear" w:color="auto" w:fill="auto"/>
            <w:vAlign w:val="center"/>
          </w:tcPr>
          <w:p w14:paraId="4439A6DC">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51340023Y000007909602-青少年科技活动</w:t>
            </w:r>
          </w:p>
        </w:tc>
      </w:tr>
      <w:tr w14:paraId="29D7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6116F">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主管部门</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14:paraId="06BD3CAF">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凉山州科学技术协会部门</w:t>
            </w:r>
          </w:p>
        </w:tc>
        <w:tc>
          <w:tcPr>
            <w:tcW w:w="846" w:type="dxa"/>
            <w:gridSpan w:val="2"/>
            <w:shd w:val="clear" w:color="auto" w:fill="auto"/>
            <w:vAlign w:val="center"/>
          </w:tcPr>
          <w:p w14:paraId="3C27BC4E">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实施单位</w:t>
            </w:r>
            <w:r>
              <w:rPr>
                <w:rFonts w:hint="default" w:ascii="Courier New" w:hAnsi="Courier New" w:eastAsia="宋体" w:cs="Courier New"/>
                <w:color w:val="000000"/>
                <w:kern w:val="0"/>
                <w:sz w:val="15"/>
                <w:szCs w:val="15"/>
                <w:lang w:val="en-US" w:eastAsia="zh-CN" w:bidi="ar"/>
              </w:rPr>
              <w:t xml:space="preserve"> </w:t>
            </w:r>
            <w:r>
              <w:rPr>
                <w:rFonts w:hint="eastAsia" w:ascii="Courier New" w:hAnsi="Courier New" w:eastAsia="宋体" w:cs="Courier New"/>
                <w:color w:val="000000"/>
                <w:kern w:val="0"/>
                <w:sz w:val="15"/>
                <w:szCs w:val="15"/>
                <w:lang w:val="en-US" w:eastAsia="zh-CN" w:bidi="ar"/>
              </w:rPr>
              <w:t>（盖章）</w:t>
            </w:r>
          </w:p>
        </w:tc>
        <w:tc>
          <w:tcPr>
            <w:tcW w:w="2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57315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凉山州科学技术协会</w:t>
            </w:r>
          </w:p>
        </w:tc>
      </w:tr>
      <w:tr w14:paraId="0E87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14:paraId="5FCDC47C">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项目基本情况</w:t>
            </w:r>
          </w:p>
        </w:tc>
        <w:tc>
          <w:tcPr>
            <w:tcW w:w="995" w:type="dxa"/>
            <w:vMerge w:val="restart"/>
            <w:tcBorders>
              <w:top w:val="nil"/>
              <w:left w:val="single" w:color="000000" w:sz="4" w:space="0"/>
              <w:bottom w:val="single" w:color="000000" w:sz="4" w:space="0"/>
              <w:right w:val="single" w:color="000000" w:sz="4" w:space="0"/>
            </w:tcBorders>
            <w:shd w:val="clear" w:color="auto" w:fill="auto"/>
            <w:vAlign w:val="center"/>
          </w:tcPr>
          <w:p w14:paraId="37BDE86F">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1.项目年度目标完成情况</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14:paraId="1C46901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项目年度目标</w:t>
            </w:r>
          </w:p>
        </w:tc>
        <w:tc>
          <w:tcPr>
            <w:tcW w:w="3299" w:type="dxa"/>
            <w:gridSpan w:val="6"/>
            <w:tcBorders>
              <w:top w:val="single" w:color="000000" w:sz="4" w:space="0"/>
              <w:left w:val="nil"/>
              <w:bottom w:val="single" w:color="000000" w:sz="4" w:space="0"/>
              <w:right w:val="single" w:color="000000" w:sz="4" w:space="0"/>
            </w:tcBorders>
            <w:shd w:val="clear" w:color="auto" w:fill="auto"/>
            <w:vAlign w:val="center"/>
          </w:tcPr>
          <w:p w14:paraId="22569824">
            <w:pPr>
              <w:keepNext w:val="0"/>
              <w:keepLines w:val="0"/>
              <w:widowControl/>
              <w:suppressLineNumbers w:val="0"/>
              <w:spacing w:before="0" w:beforeAutospacing="0" w:after="0" w:afterAutospacing="0" w:line="180" w:lineRule="exact"/>
              <w:ind w:left="0" w:right="0"/>
              <w:jc w:val="center"/>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年度目标完成情况</w:t>
            </w:r>
          </w:p>
        </w:tc>
      </w:tr>
      <w:tr w14:paraId="6469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57AEBA5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vMerge w:val="continue"/>
            <w:tcBorders>
              <w:top w:val="nil"/>
              <w:left w:val="single" w:color="000000" w:sz="4" w:space="0"/>
              <w:bottom w:val="single" w:color="000000" w:sz="4" w:space="0"/>
              <w:right w:val="single" w:color="000000" w:sz="4" w:space="0"/>
            </w:tcBorders>
            <w:shd w:val="clear" w:color="auto" w:fill="auto"/>
            <w:vAlign w:val="center"/>
          </w:tcPr>
          <w:p w14:paraId="300F3CC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14:paraId="628CEE5E">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广泛开展各类青少年科普活动，培养青少年科学兴趣、科技创新精神和实践能力，提升青少年科学素养，推动凉山中小学校科普活动篷勃开展和整个科技教育事业的健康发展各项活动的工作补助经费。</w:t>
            </w:r>
          </w:p>
        </w:tc>
        <w:tc>
          <w:tcPr>
            <w:tcW w:w="3299" w:type="dxa"/>
            <w:gridSpan w:val="6"/>
            <w:tcBorders>
              <w:top w:val="single" w:color="000000" w:sz="4" w:space="0"/>
              <w:left w:val="nil"/>
              <w:bottom w:val="single" w:color="000000" w:sz="4" w:space="0"/>
              <w:right w:val="single" w:color="000000" w:sz="4" w:space="0"/>
            </w:tcBorders>
            <w:shd w:val="clear" w:color="auto" w:fill="auto"/>
            <w:vAlign w:val="center"/>
          </w:tcPr>
          <w:p w14:paraId="5FC13BE4">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color w:val="000000"/>
                <w:kern w:val="0"/>
                <w:sz w:val="15"/>
                <w:szCs w:val="15"/>
                <w:lang w:val="en-US"/>
              </w:rPr>
            </w:pPr>
            <w:r>
              <w:rPr>
                <w:rFonts w:hint="default" w:ascii="Courier New" w:hAnsi="Courier New" w:eastAsia="宋体" w:cs="Courier New"/>
                <w:color w:val="000000"/>
                <w:kern w:val="0"/>
                <w:sz w:val="15"/>
                <w:szCs w:val="15"/>
                <w:lang w:val="en-US" w:eastAsia="zh-CN" w:bidi="ar"/>
              </w:rPr>
              <w:t>2023</w:t>
            </w:r>
            <w:r>
              <w:rPr>
                <w:rFonts w:hint="eastAsia" w:ascii="Courier New" w:hAnsi="Courier New" w:eastAsia="宋体" w:cs="Courier New"/>
                <w:color w:val="000000"/>
                <w:kern w:val="0"/>
                <w:sz w:val="15"/>
                <w:szCs w:val="15"/>
                <w:lang w:val="en-US" w:eastAsia="zh-CN" w:bidi="ar"/>
              </w:rPr>
              <w:t>年，围绕青少年科学兴趣培养和</w:t>
            </w:r>
            <w:r>
              <w:rPr>
                <w:rFonts w:hint="default" w:ascii="Courier New" w:hAnsi="Courier New" w:eastAsia="宋体" w:cs="Courier New"/>
                <w:color w:val="000000"/>
                <w:kern w:val="0"/>
                <w:sz w:val="15"/>
                <w:szCs w:val="15"/>
                <w:lang w:val="en-US" w:eastAsia="zh-CN" w:bidi="ar"/>
              </w:rPr>
              <w:t xml:space="preserve">  </w:t>
            </w:r>
            <w:r>
              <w:rPr>
                <w:rFonts w:hint="eastAsia" w:ascii="Courier New" w:hAnsi="Courier New" w:eastAsia="宋体" w:cs="Courier New"/>
                <w:color w:val="000000"/>
                <w:kern w:val="0"/>
                <w:sz w:val="15"/>
                <w:szCs w:val="15"/>
                <w:lang w:val="en-US" w:eastAsia="zh-CN" w:bidi="ar"/>
              </w:rPr>
              <w:t>科学素质提升，开展了</w:t>
            </w:r>
            <w:r>
              <w:rPr>
                <w:rFonts w:hint="default" w:ascii="Courier New" w:hAnsi="Courier New" w:eastAsia="宋体" w:cs="Courier New"/>
                <w:color w:val="000000"/>
                <w:kern w:val="0"/>
                <w:sz w:val="15"/>
                <w:szCs w:val="15"/>
                <w:lang w:val="en-US" w:eastAsia="zh-CN" w:bidi="ar"/>
              </w:rPr>
              <w:t>2023</w:t>
            </w:r>
            <w:r>
              <w:rPr>
                <w:rFonts w:hint="eastAsia" w:ascii="Courier New" w:hAnsi="Courier New" w:eastAsia="宋体" w:cs="Courier New"/>
                <w:color w:val="000000"/>
                <w:kern w:val="0"/>
                <w:sz w:val="15"/>
                <w:szCs w:val="15"/>
                <w:lang w:val="en-US" w:eastAsia="zh-CN" w:bidi="ar"/>
              </w:rPr>
              <w:t>年凉山州青少年科学调查体验活动、第</w:t>
            </w:r>
            <w:r>
              <w:rPr>
                <w:rFonts w:hint="default" w:ascii="Courier New" w:hAnsi="Courier New" w:eastAsia="宋体" w:cs="Courier New"/>
                <w:color w:val="000000"/>
                <w:kern w:val="0"/>
                <w:sz w:val="15"/>
                <w:szCs w:val="15"/>
                <w:lang w:val="en-US" w:eastAsia="zh-CN" w:bidi="ar"/>
              </w:rPr>
              <w:t>15</w:t>
            </w:r>
            <w:r>
              <w:rPr>
                <w:rFonts w:hint="eastAsia" w:ascii="Courier New" w:hAnsi="Courier New" w:eastAsia="宋体" w:cs="Courier New"/>
                <w:color w:val="000000"/>
                <w:kern w:val="0"/>
                <w:sz w:val="15"/>
                <w:szCs w:val="15"/>
                <w:lang w:val="en-US" w:eastAsia="zh-CN" w:bidi="ar"/>
              </w:rPr>
              <w:t>届凉山州青少年科学影像节活动、科普大篷车进校园活动、科学家讲中国式现代化等活动。</w:t>
            </w:r>
          </w:p>
        </w:tc>
      </w:tr>
      <w:tr w14:paraId="09D5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27DA162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tcBorders>
              <w:top w:val="nil"/>
              <w:left w:val="nil"/>
              <w:bottom w:val="single" w:color="000000" w:sz="4" w:space="0"/>
              <w:right w:val="single" w:color="000000" w:sz="4" w:space="0"/>
            </w:tcBorders>
            <w:shd w:val="clear" w:color="auto" w:fill="auto"/>
            <w:vAlign w:val="center"/>
          </w:tcPr>
          <w:p w14:paraId="12BCF0F4">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2.项目实施内容及过程概述</w:t>
            </w:r>
          </w:p>
        </w:tc>
        <w:tc>
          <w:tcPr>
            <w:tcW w:w="7539" w:type="dxa"/>
            <w:gridSpan w:val="12"/>
            <w:tcBorders>
              <w:top w:val="single" w:color="000000" w:sz="4" w:space="0"/>
              <w:left w:val="nil"/>
              <w:bottom w:val="single" w:color="000000" w:sz="4" w:space="0"/>
              <w:right w:val="single" w:color="000000" w:sz="4" w:space="0"/>
            </w:tcBorders>
            <w:shd w:val="clear" w:color="auto" w:fill="auto"/>
            <w:vAlign w:val="center"/>
          </w:tcPr>
          <w:p w14:paraId="38B6D39E">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Courier New" w:hAnsi="Courier New" w:eastAsia="宋体" w:cs="Courier New"/>
                <w:color w:val="000000"/>
                <w:kern w:val="0"/>
                <w:sz w:val="15"/>
                <w:szCs w:val="15"/>
                <w:lang w:val="en-US" w:eastAsia="zh-CN" w:bidi="ar"/>
              </w:rPr>
              <w:t>该项目用于支持围绕青少年科学兴趣培养和</w:t>
            </w:r>
            <w:r>
              <w:rPr>
                <w:rFonts w:hint="default" w:ascii="Courier New" w:hAnsi="Courier New" w:eastAsia="宋体" w:cs="Courier New"/>
                <w:color w:val="000000"/>
                <w:kern w:val="0"/>
                <w:sz w:val="15"/>
                <w:szCs w:val="15"/>
                <w:lang w:val="en-US" w:eastAsia="zh-CN" w:bidi="ar"/>
              </w:rPr>
              <w:t xml:space="preserve">  </w:t>
            </w:r>
            <w:r>
              <w:rPr>
                <w:rFonts w:hint="eastAsia" w:ascii="Courier New" w:hAnsi="Courier New" w:eastAsia="宋体" w:cs="Courier New"/>
                <w:color w:val="000000"/>
                <w:kern w:val="0"/>
                <w:sz w:val="15"/>
                <w:szCs w:val="15"/>
                <w:lang w:val="en-US" w:eastAsia="zh-CN" w:bidi="ar"/>
              </w:rPr>
              <w:t>科学素质提升，开展了</w:t>
            </w:r>
            <w:r>
              <w:rPr>
                <w:rFonts w:hint="default" w:ascii="Courier New" w:hAnsi="Courier New" w:eastAsia="宋体" w:cs="Courier New"/>
                <w:color w:val="000000"/>
                <w:kern w:val="0"/>
                <w:sz w:val="15"/>
                <w:szCs w:val="15"/>
                <w:lang w:val="en-US" w:eastAsia="zh-CN" w:bidi="ar"/>
              </w:rPr>
              <w:t>2023</w:t>
            </w:r>
            <w:r>
              <w:rPr>
                <w:rFonts w:hint="eastAsia" w:ascii="Courier New" w:hAnsi="Courier New" w:eastAsia="宋体" w:cs="Courier New"/>
                <w:color w:val="000000"/>
                <w:kern w:val="0"/>
                <w:sz w:val="15"/>
                <w:szCs w:val="15"/>
                <w:lang w:val="en-US" w:eastAsia="zh-CN" w:bidi="ar"/>
              </w:rPr>
              <w:t>年凉山州青少年科学调查体验活动、第</w:t>
            </w:r>
            <w:r>
              <w:rPr>
                <w:rFonts w:hint="default" w:ascii="Courier New" w:hAnsi="Courier New" w:eastAsia="宋体" w:cs="Courier New"/>
                <w:color w:val="000000"/>
                <w:kern w:val="0"/>
                <w:sz w:val="15"/>
                <w:szCs w:val="15"/>
                <w:lang w:val="en-US" w:eastAsia="zh-CN" w:bidi="ar"/>
              </w:rPr>
              <w:t>15</w:t>
            </w:r>
            <w:r>
              <w:rPr>
                <w:rFonts w:hint="eastAsia" w:ascii="Courier New" w:hAnsi="Courier New" w:eastAsia="宋体" w:cs="Courier New"/>
                <w:color w:val="000000"/>
                <w:kern w:val="0"/>
                <w:sz w:val="15"/>
                <w:szCs w:val="15"/>
                <w:lang w:val="en-US" w:eastAsia="zh-CN" w:bidi="ar"/>
              </w:rPr>
              <w:t>届凉山州青少年科学影像节活动、科普大篷车进校园活动、科学家讲中国式现代化等活动的补助性经费。</w:t>
            </w:r>
          </w:p>
        </w:tc>
      </w:tr>
      <w:tr w14:paraId="350F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14:paraId="1321249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预算执行情况（10分）</w:t>
            </w:r>
          </w:p>
        </w:tc>
        <w:tc>
          <w:tcPr>
            <w:tcW w:w="995" w:type="dxa"/>
            <w:tcBorders>
              <w:top w:val="nil"/>
              <w:left w:val="nil"/>
              <w:bottom w:val="single" w:color="000000" w:sz="4" w:space="0"/>
              <w:right w:val="single" w:color="000000" w:sz="4" w:space="0"/>
            </w:tcBorders>
            <w:shd w:val="clear" w:color="auto" w:fill="auto"/>
            <w:vAlign w:val="center"/>
          </w:tcPr>
          <w:p w14:paraId="1534F58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年度预算数（万元）</w:t>
            </w:r>
          </w:p>
        </w:tc>
        <w:tc>
          <w:tcPr>
            <w:tcW w:w="1216" w:type="dxa"/>
            <w:tcBorders>
              <w:top w:val="nil"/>
              <w:left w:val="nil"/>
              <w:bottom w:val="single" w:color="000000" w:sz="4" w:space="0"/>
              <w:right w:val="single" w:color="000000" w:sz="4" w:space="0"/>
            </w:tcBorders>
            <w:shd w:val="clear" w:color="auto" w:fill="auto"/>
            <w:vAlign w:val="center"/>
          </w:tcPr>
          <w:p w14:paraId="7B49B8A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年初预算</w:t>
            </w:r>
          </w:p>
        </w:tc>
        <w:tc>
          <w:tcPr>
            <w:tcW w:w="1335" w:type="dxa"/>
            <w:tcBorders>
              <w:top w:val="nil"/>
              <w:left w:val="nil"/>
              <w:bottom w:val="single" w:color="000000" w:sz="4" w:space="0"/>
              <w:right w:val="single" w:color="000000" w:sz="4" w:space="0"/>
            </w:tcBorders>
            <w:shd w:val="clear" w:color="auto" w:fill="auto"/>
            <w:vAlign w:val="center"/>
          </w:tcPr>
          <w:p w14:paraId="631CC46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调整后预算数</w:t>
            </w:r>
          </w:p>
        </w:tc>
        <w:tc>
          <w:tcPr>
            <w:tcW w:w="1702" w:type="dxa"/>
            <w:gridSpan w:val="5"/>
            <w:tcBorders>
              <w:top w:val="single" w:color="000000" w:sz="4" w:space="0"/>
              <w:left w:val="nil"/>
              <w:bottom w:val="single" w:color="000000" w:sz="4" w:space="0"/>
              <w:right w:val="single" w:color="000000" w:sz="4" w:space="0"/>
            </w:tcBorders>
            <w:shd w:val="clear" w:color="auto" w:fill="auto"/>
            <w:vAlign w:val="center"/>
          </w:tcPr>
          <w:p w14:paraId="0559996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预算执行数</w:t>
            </w:r>
          </w:p>
        </w:tc>
        <w:tc>
          <w:tcPr>
            <w:tcW w:w="851" w:type="dxa"/>
            <w:gridSpan w:val="2"/>
            <w:tcBorders>
              <w:top w:val="nil"/>
              <w:left w:val="nil"/>
              <w:bottom w:val="single" w:color="000000" w:sz="4" w:space="0"/>
              <w:right w:val="single" w:color="000000" w:sz="4" w:space="0"/>
            </w:tcBorders>
            <w:shd w:val="clear" w:color="auto" w:fill="auto"/>
            <w:vAlign w:val="center"/>
          </w:tcPr>
          <w:p w14:paraId="1979F63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预算执行率</w:t>
            </w:r>
          </w:p>
        </w:tc>
        <w:tc>
          <w:tcPr>
            <w:tcW w:w="567" w:type="dxa"/>
            <w:tcBorders>
              <w:top w:val="nil"/>
              <w:left w:val="nil"/>
              <w:bottom w:val="single" w:color="000000" w:sz="4" w:space="0"/>
              <w:right w:val="single" w:color="000000" w:sz="4" w:space="0"/>
            </w:tcBorders>
            <w:shd w:val="clear" w:color="auto" w:fill="auto"/>
            <w:vAlign w:val="center"/>
          </w:tcPr>
          <w:p w14:paraId="3A6BFED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权重</w:t>
            </w:r>
          </w:p>
        </w:tc>
        <w:tc>
          <w:tcPr>
            <w:tcW w:w="567" w:type="dxa"/>
            <w:tcBorders>
              <w:top w:val="nil"/>
              <w:left w:val="nil"/>
              <w:bottom w:val="single" w:color="000000" w:sz="4" w:space="0"/>
              <w:right w:val="single" w:color="000000" w:sz="4" w:space="0"/>
            </w:tcBorders>
            <w:shd w:val="clear" w:color="auto" w:fill="auto"/>
            <w:vAlign w:val="center"/>
          </w:tcPr>
          <w:p w14:paraId="6BAC9C9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得分</w:t>
            </w:r>
          </w:p>
        </w:tc>
        <w:tc>
          <w:tcPr>
            <w:tcW w:w="1302" w:type="dxa"/>
            <w:tcBorders>
              <w:top w:val="nil"/>
              <w:left w:val="nil"/>
              <w:bottom w:val="single" w:color="000000" w:sz="4" w:space="0"/>
              <w:right w:val="single" w:color="000000" w:sz="4" w:space="0"/>
            </w:tcBorders>
            <w:shd w:val="clear" w:color="auto" w:fill="auto"/>
            <w:vAlign w:val="center"/>
          </w:tcPr>
          <w:p w14:paraId="46EEDE0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原因</w:t>
            </w:r>
          </w:p>
        </w:tc>
      </w:tr>
      <w:tr w14:paraId="5DF0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4EB97AC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tcBorders>
              <w:top w:val="nil"/>
              <w:left w:val="nil"/>
              <w:bottom w:val="single" w:color="000000" w:sz="4" w:space="0"/>
              <w:right w:val="single" w:color="000000" w:sz="4" w:space="0"/>
            </w:tcBorders>
            <w:shd w:val="clear" w:color="auto" w:fill="auto"/>
            <w:vAlign w:val="center"/>
          </w:tcPr>
          <w:p w14:paraId="171F22F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总额</w:t>
            </w:r>
          </w:p>
        </w:tc>
        <w:tc>
          <w:tcPr>
            <w:tcW w:w="1216" w:type="dxa"/>
            <w:tcBorders>
              <w:top w:val="nil"/>
              <w:left w:val="nil"/>
              <w:bottom w:val="single" w:color="000000" w:sz="4" w:space="0"/>
              <w:right w:val="single" w:color="000000" w:sz="4" w:space="0"/>
            </w:tcBorders>
            <w:shd w:val="clear" w:color="auto" w:fill="auto"/>
            <w:vAlign w:val="center"/>
          </w:tcPr>
          <w:p w14:paraId="0671B4D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3.00</w:t>
            </w:r>
          </w:p>
        </w:tc>
        <w:tc>
          <w:tcPr>
            <w:tcW w:w="1335" w:type="dxa"/>
            <w:tcBorders>
              <w:top w:val="nil"/>
              <w:left w:val="nil"/>
              <w:bottom w:val="single" w:color="000000" w:sz="4" w:space="0"/>
              <w:right w:val="single" w:color="000000" w:sz="4" w:space="0"/>
            </w:tcBorders>
            <w:shd w:val="clear" w:color="auto" w:fill="auto"/>
            <w:vAlign w:val="center"/>
          </w:tcPr>
          <w:p w14:paraId="0F5EC58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2.80</w:t>
            </w:r>
          </w:p>
        </w:tc>
        <w:tc>
          <w:tcPr>
            <w:tcW w:w="1702" w:type="dxa"/>
            <w:gridSpan w:val="5"/>
            <w:tcBorders>
              <w:top w:val="single" w:color="000000" w:sz="4" w:space="0"/>
              <w:left w:val="nil"/>
              <w:bottom w:val="single" w:color="000000" w:sz="4" w:space="0"/>
              <w:right w:val="single" w:color="000000" w:sz="4" w:space="0"/>
            </w:tcBorders>
            <w:shd w:val="clear" w:color="auto" w:fill="auto"/>
            <w:vAlign w:val="center"/>
          </w:tcPr>
          <w:p w14:paraId="6D988A5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2.80</w:t>
            </w:r>
          </w:p>
        </w:tc>
        <w:tc>
          <w:tcPr>
            <w:tcW w:w="851" w:type="dxa"/>
            <w:gridSpan w:val="2"/>
            <w:tcBorders>
              <w:top w:val="nil"/>
              <w:left w:val="nil"/>
              <w:bottom w:val="single" w:color="000000" w:sz="4" w:space="0"/>
              <w:right w:val="single" w:color="000000" w:sz="4" w:space="0"/>
            </w:tcBorders>
            <w:shd w:val="clear" w:color="auto" w:fill="auto"/>
            <w:vAlign w:val="center"/>
          </w:tcPr>
          <w:p w14:paraId="09A83E8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100.00%</w:t>
            </w:r>
          </w:p>
        </w:tc>
        <w:tc>
          <w:tcPr>
            <w:tcW w:w="567" w:type="dxa"/>
            <w:tcBorders>
              <w:top w:val="nil"/>
              <w:left w:val="nil"/>
              <w:bottom w:val="single" w:color="000000" w:sz="4" w:space="0"/>
              <w:right w:val="single" w:color="000000" w:sz="4" w:space="0"/>
            </w:tcBorders>
            <w:shd w:val="clear" w:color="auto" w:fill="auto"/>
            <w:vAlign w:val="center"/>
          </w:tcPr>
          <w:p w14:paraId="795CFB7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567" w:type="dxa"/>
            <w:tcBorders>
              <w:top w:val="nil"/>
              <w:left w:val="nil"/>
              <w:bottom w:val="single" w:color="000000" w:sz="4" w:space="0"/>
              <w:right w:val="single" w:color="000000" w:sz="4" w:space="0"/>
            </w:tcBorders>
            <w:shd w:val="clear" w:color="auto" w:fill="auto"/>
            <w:vAlign w:val="center"/>
          </w:tcPr>
          <w:p w14:paraId="5705579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302" w:type="dxa"/>
            <w:vMerge w:val="restart"/>
            <w:tcBorders>
              <w:top w:val="nil"/>
              <w:left w:val="single" w:color="000000" w:sz="4" w:space="0"/>
              <w:bottom w:val="single" w:color="000000" w:sz="4" w:space="0"/>
              <w:right w:val="single" w:color="000000" w:sz="4" w:space="0"/>
            </w:tcBorders>
            <w:shd w:val="clear" w:color="auto" w:fill="auto"/>
            <w:vAlign w:val="center"/>
          </w:tcPr>
          <w:p w14:paraId="4FE7FF5D">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i/>
                <w:iCs/>
                <w:color w:val="000000"/>
                <w:kern w:val="0"/>
                <w:sz w:val="15"/>
                <w:szCs w:val="15"/>
                <w:lang w:val="en-US"/>
              </w:rPr>
            </w:pPr>
          </w:p>
        </w:tc>
      </w:tr>
      <w:tr w14:paraId="28A0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3802AE9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tcBorders>
              <w:top w:val="nil"/>
              <w:left w:val="nil"/>
              <w:bottom w:val="single" w:color="000000" w:sz="4" w:space="0"/>
              <w:right w:val="single" w:color="000000" w:sz="4" w:space="0"/>
            </w:tcBorders>
            <w:shd w:val="clear" w:color="auto" w:fill="auto"/>
            <w:vAlign w:val="center"/>
          </w:tcPr>
          <w:p w14:paraId="6A10A8F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其中：财政资金</w:t>
            </w:r>
          </w:p>
        </w:tc>
        <w:tc>
          <w:tcPr>
            <w:tcW w:w="1216" w:type="dxa"/>
            <w:tcBorders>
              <w:top w:val="nil"/>
              <w:left w:val="nil"/>
              <w:bottom w:val="single" w:color="000000" w:sz="4" w:space="0"/>
              <w:right w:val="single" w:color="000000" w:sz="4" w:space="0"/>
            </w:tcBorders>
            <w:shd w:val="clear" w:color="auto" w:fill="auto"/>
            <w:vAlign w:val="center"/>
          </w:tcPr>
          <w:p w14:paraId="2DB97A0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3.00</w:t>
            </w:r>
          </w:p>
        </w:tc>
        <w:tc>
          <w:tcPr>
            <w:tcW w:w="1335" w:type="dxa"/>
            <w:tcBorders>
              <w:top w:val="nil"/>
              <w:left w:val="nil"/>
              <w:bottom w:val="single" w:color="000000" w:sz="4" w:space="0"/>
              <w:right w:val="single" w:color="000000" w:sz="4" w:space="0"/>
            </w:tcBorders>
            <w:shd w:val="clear" w:color="auto" w:fill="auto"/>
            <w:vAlign w:val="center"/>
          </w:tcPr>
          <w:p w14:paraId="2FA6E58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2.80</w:t>
            </w:r>
          </w:p>
        </w:tc>
        <w:tc>
          <w:tcPr>
            <w:tcW w:w="1702" w:type="dxa"/>
            <w:gridSpan w:val="5"/>
            <w:tcBorders>
              <w:top w:val="single" w:color="000000" w:sz="4" w:space="0"/>
              <w:left w:val="nil"/>
              <w:bottom w:val="single" w:color="000000" w:sz="4" w:space="0"/>
              <w:right w:val="single" w:color="000000" w:sz="4" w:space="0"/>
            </w:tcBorders>
            <w:shd w:val="clear" w:color="auto" w:fill="auto"/>
            <w:vAlign w:val="center"/>
          </w:tcPr>
          <w:p w14:paraId="22B461D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2.80</w:t>
            </w:r>
          </w:p>
        </w:tc>
        <w:tc>
          <w:tcPr>
            <w:tcW w:w="851" w:type="dxa"/>
            <w:gridSpan w:val="2"/>
            <w:tcBorders>
              <w:top w:val="nil"/>
              <w:left w:val="nil"/>
              <w:bottom w:val="single" w:color="000000" w:sz="4" w:space="0"/>
              <w:right w:val="single" w:color="000000" w:sz="4" w:space="0"/>
            </w:tcBorders>
            <w:shd w:val="clear" w:color="auto" w:fill="auto"/>
            <w:vAlign w:val="center"/>
          </w:tcPr>
          <w:p w14:paraId="571C5A3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100.00%</w:t>
            </w:r>
          </w:p>
        </w:tc>
        <w:tc>
          <w:tcPr>
            <w:tcW w:w="567" w:type="dxa"/>
            <w:tcBorders>
              <w:top w:val="nil"/>
              <w:left w:val="nil"/>
              <w:bottom w:val="single" w:color="000000" w:sz="4" w:space="0"/>
              <w:right w:val="single" w:color="000000" w:sz="4" w:space="0"/>
            </w:tcBorders>
            <w:shd w:val="clear" w:color="auto" w:fill="auto"/>
            <w:vAlign w:val="center"/>
          </w:tcPr>
          <w:p w14:paraId="6C46EC4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tcBorders>
              <w:top w:val="nil"/>
              <w:left w:val="nil"/>
              <w:bottom w:val="single" w:color="000000" w:sz="4" w:space="0"/>
              <w:right w:val="single" w:color="000000" w:sz="4" w:space="0"/>
            </w:tcBorders>
            <w:shd w:val="clear" w:color="auto" w:fill="auto"/>
            <w:vAlign w:val="center"/>
          </w:tcPr>
          <w:p w14:paraId="3DEAF32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302" w:type="dxa"/>
            <w:vMerge w:val="continue"/>
            <w:tcBorders>
              <w:top w:val="nil"/>
              <w:left w:val="single" w:color="000000" w:sz="4" w:space="0"/>
              <w:bottom w:val="single" w:color="000000" w:sz="4" w:space="0"/>
              <w:right w:val="single" w:color="000000" w:sz="4" w:space="0"/>
            </w:tcBorders>
            <w:shd w:val="clear" w:color="auto" w:fill="auto"/>
            <w:vAlign w:val="center"/>
          </w:tcPr>
          <w:p w14:paraId="117AAF0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0C18D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7289C05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tcBorders>
              <w:top w:val="nil"/>
              <w:left w:val="nil"/>
              <w:bottom w:val="single" w:color="000000" w:sz="4" w:space="0"/>
              <w:right w:val="single" w:color="000000" w:sz="4" w:space="0"/>
            </w:tcBorders>
            <w:shd w:val="clear" w:color="auto" w:fill="auto"/>
            <w:vAlign w:val="center"/>
          </w:tcPr>
          <w:p w14:paraId="3ADF84C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财政专户管理资金</w:t>
            </w:r>
          </w:p>
        </w:tc>
        <w:tc>
          <w:tcPr>
            <w:tcW w:w="1216" w:type="dxa"/>
            <w:tcBorders>
              <w:top w:val="nil"/>
              <w:left w:val="nil"/>
              <w:bottom w:val="single" w:color="000000" w:sz="4" w:space="0"/>
              <w:right w:val="single" w:color="000000" w:sz="4" w:space="0"/>
            </w:tcBorders>
            <w:shd w:val="clear" w:color="auto" w:fill="auto"/>
            <w:vAlign w:val="center"/>
          </w:tcPr>
          <w:p w14:paraId="5E26533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335" w:type="dxa"/>
            <w:tcBorders>
              <w:top w:val="nil"/>
              <w:left w:val="nil"/>
              <w:bottom w:val="single" w:color="000000" w:sz="4" w:space="0"/>
              <w:right w:val="single" w:color="000000" w:sz="4" w:space="0"/>
            </w:tcBorders>
            <w:shd w:val="clear" w:color="auto" w:fill="auto"/>
            <w:vAlign w:val="center"/>
          </w:tcPr>
          <w:p w14:paraId="19C5676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702" w:type="dxa"/>
            <w:gridSpan w:val="5"/>
            <w:tcBorders>
              <w:top w:val="single" w:color="000000" w:sz="4" w:space="0"/>
              <w:left w:val="nil"/>
              <w:bottom w:val="single" w:color="000000" w:sz="4" w:space="0"/>
              <w:right w:val="single" w:color="000000" w:sz="4" w:space="0"/>
            </w:tcBorders>
            <w:shd w:val="clear" w:color="auto" w:fill="auto"/>
            <w:vAlign w:val="center"/>
          </w:tcPr>
          <w:p w14:paraId="0A2AEC8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851" w:type="dxa"/>
            <w:gridSpan w:val="2"/>
            <w:tcBorders>
              <w:top w:val="nil"/>
              <w:left w:val="nil"/>
              <w:bottom w:val="single" w:color="000000" w:sz="4" w:space="0"/>
              <w:right w:val="single" w:color="000000" w:sz="4" w:space="0"/>
            </w:tcBorders>
            <w:shd w:val="clear" w:color="auto" w:fill="auto"/>
            <w:vAlign w:val="center"/>
          </w:tcPr>
          <w:p w14:paraId="27FDA3C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567" w:type="dxa"/>
            <w:tcBorders>
              <w:top w:val="nil"/>
              <w:left w:val="nil"/>
              <w:bottom w:val="single" w:color="000000" w:sz="4" w:space="0"/>
              <w:right w:val="single" w:color="000000" w:sz="4" w:space="0"/>
            </w:tcBorders>
            <w:shd w:val="clear" w:color="auto" w:fill="auto"/>
            <w:vAlign w:val="center"/>
          </w:tcPr>
          <w:p w14:paraId="3190A77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tcBorders>
              <w:top w:val="nil"/>
              <w:left w:val="nil"/>
              <w:bottom w:val="single" w:color="000000" w:sz="4" w:space="0"/>
              <w:right w:val="single" w:color="000000" w:sz="4" w:space="0"/>
            </w:tcBorders>
            <w:shd w:val="clear" w:color="auto" w:fill="auto"/>
            <w:vAlign w:val="center"/>
          </w:tcPr>
          <w:p w14:paraId="6265CCA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302" w:type="dxa"/>
            <w:vMerge w:val="continue"/>
            <w:tcBorders>
              <w:top w:val="nil"/>
              <w:left w:val="single" w:color="000000" w:sz="4" w:space="0"/>
              <w:bottom w:val="single" w:color="000000" w:sz="4" w:space="0"/>
              <w:right w:val="single" w:color="000000" w:sz="4" w:space="0"/>
            </w:tcBorders>
            <w:shd w:val="clear" w:color="auto" w:fill="auto"/>
            <w:vAlign w:val="center"/>
          </w:tcPr>
          <w:p w14:paraId="242E974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6FFD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32774BE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tcBorders>
              <w:top w:val="nil"/>
              <w:left w:val="nil"/>
              <w:bottom w:val="single" w:color="000000" w:sz="4" w:space="0"/>
              <w:right w:val="single" w:color="000000" w:sz="4" w:space="0"/>
            </w:tcBorders>
            <w:shd w:val="clear" w:color="auto" w:fill="auto"/>
            <w:vAlign w:val="center"/>
          </w:tcPr>
          <w:p w14:paraId="2DC38B7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单位资金</w:t>
            </w:r>
          </w:p>
        </w:tc>
        <w:tc>
          <w:tcPr>
            <w:tcW w:w="1216" w:type="dxa"/>
            <w:tcBorders>
              <w:top w:val="nil"/>
              <w:left w:val="nil"/>
              <w:bottom w:val="single" w:color="000000" w:sz="4" w:space="0"/>
              <w:right w:val="single" w:color="000000" w:sz="4" w:space="0"/>
            </w:tcBorders>
            <w:shd w:val="clear" w:color="auto" w:fill="auto"/>
            <w:vAlign w:val="center"/>
          </w:tcPr>
          <w:p w14:paraId="035917E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335" w:type="dxa"/>
            <w:tcBorders>
              <w:top w:val="nil"/>
              <w:left w:val="nil"/>
              <w:bottom w:val="single" w:color="000000" w:sz="4" w:space="0"/>
              <w:right w:val="single" w:color="000000" w:sz="4" w:space="0"/>
            </w:tcBorders>
            <w:shd w:val="clear" w:color="auto" w:fill="auto"/>
            <w:vAlign w:val="center"/>
          </w:tcPr>
          <w:p w14:paraId="031FF10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702" w:type="dxa"/>
            <w:gridSpan w:val="5"/>
            <w:tcBorders>
              <w:top w:val="single" w:color="000000" w:sz="4" w:space="0"/>
              <w:left w:val="nil"/>
              <w:bottom w:val="single" w:color="000000" w:sz="4" w:space="0"/>
              <w:right w:val="single" w:color="000000" w:sz="4" w:space="0"/>
            </w:tcBorders>
            <w:shd w:val="clear" w:color="auto" w:fill="auto"/>
            <w:vAlign w:val="center"/>
          </w:tcPr>
          <w:p w14:paraId="439CF89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851" w:type="dxa"/>
            <w:gridSpan w:val="2"/>
            <w:tcBorders>
              <w:top w:val="nil"/>
              <w:left w:val="nil"/>
              <w:bottom w:val="single" w:color="000000" w:sz="4" w:space="0"/>
              <w:right w:val="single" w:color="000000" w:sz="4" w:space="0"/>
            </w:tcBorders>
            <w:shd w:val="clear" w:color="auto" w:fill="auto"/>
            <w:vAlign w:val="center"/>
          </w:tcPr>
          <w:p w14:paraId="713BA19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567" w:type="dxa"/>
            <w:tcBorders>
              <w:top w:val="nil"/>
              <w:left w:val="nil"/>
              <w:bottom w:val="single" w:color="000000" w:sz="4" w:space="0"/>
              <w:right w:val="single" w:color="000000" w:sz="4" w:space="0"/>
            </w:tcBorders>
            <w:shd w:val="clear" w:color="auto" w:fill="auto"/>
            <w:vAlign w:val="center"/>
          </w:tcPr>
          <w:p w14:paraId="49A58E5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tcBorders>
              <w:top w:val="nil"/>
              <w:left w:val="nil"/>
              <w:bottom w:val="single" w:color="000000" w:sz="4" w:space="0"/>
              <w:right w:val="single" w:color="000000" w:sz="4" w:space="0"/>
            </w:tcBorders>
            <w:shd w:val="clear" w:color="auto" w:fill="auto"/>
            <w:vAlign w:val="center"/>
          </w:tcPr>
          <w:p w14:paraId="4318CCE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302" w:type="dxa"/>
            <w:vMerge w:val="continue"/>
            <w:tcBorders>
              <w:top w:val="nil"/>
              <w:left w:val="single" w:color="000000" w:sz="4" w:space="0"/>
              <w:bottom w:val="single" w:color="000000" w:sz="4" w:space="0"/>
              <w:right w:val="single" w:color="000000" w:sz="4" w:space="0"/>
            </w:tcBorders>
            <w:shd w:val="clear" w:color="auto" w:fill="auto"/>
            <w:vAlign w:val="center"/>
          </w:tcPr>
          <w:p w14:paraId="2D34144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32D9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7A41A31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tcBorders>
              <w:top w:val="nil"/>
              <w:left w:val="nil"/>
              <w:bottom w:val="single" w:color="000000" w:sz="4" w:space="0"/>
              <w:right w:val="single" w:color="000000" w:sz="4" w:space="0"/>
            </w:tcBorders>
            <w:shd w:val="clear" w:color="auto" w:fill="auto"/>
            <w:vAlign w:val="center"/>
          </w:tcPr>
          <w:p w14:paraId="5957C27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其他资金</w:t>
            </w:r>
          </w:p>
        </w:tc>
        <w:tc>
          <w:tcPr>
            <w:tcW w:w="1216" w:type="dxa"/>
            <w:tcBorders>
              <w:top w:val="nil"/>
              <w:left w:val="nil"/>
              <w:bottom w:val="single" w:color="000000" w:sz="4" w:space="0"/>
              <w:right w:val="single" w:color="000000" w:sz="4" w:space="0"/>
            </w:tcBorders>
            <w:shd w:val="clear" w:color="auto" w:fill="auto"/>
            <w:vAlign w:val="center"/>
          </w:tcPr>
          <w:p w14:paraId="219AFC40">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1335" w:type="dxa"/>
            <w:tcBorders>
              <w:top w:val="nil"/>
              <w:left w:val="nil"/>
              <w:bottom w:val="single" w:color="000000" w:sz="4" w:space="0"/>
              <w:right w:val="single" w:color="000000" w:sz="4" w:space="0"/>
            </w:tcBorders>
            <w:shd w:val="clear" w:color="auto" w:fill="auto"/>
            <w:vAlign w:val="center"/>
          </w:tcPr>
          <w:p w14:paraId="211EA498">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1702" w:type="dxa"/>
            <w:gridSpan w:val="5"/>
            <w:tcBorders>
              <w:top w:val="single" w:color="000000" w:sz="4" w:space="0"/>
              <w:left w:val="nil"/>
              <w:bottom w:val="single" w:color="000000" w:sz="4" w:space="0"/>
              <w:right w:val="single" w:color="000000" w:sz="4" w:space="0"/>
            </w:tcBorders>
            <w:shd w:val="clear" w:color="auto" w:fill="auto"/>
            <w:vAlign w:val="center"/>
          </w:tcPr>
          <w:p w14:paraId="4DB7689D">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851" w:type="dxa"/>
            <w:gridSpan w:val="2"/>
            <w:tcBorders>
              <w:top w:val="nil"/>
              <w:left w:val="nil"/>
              <w:bottom w:val="single" w:color="000000" w:sz="4" w:space="0"/>
              <w:right w:val="single" w:color="000000" w:sz="4" w:space="0"/>
            </w:tcBorders>
            <w:shd w:val="clear" w:color="auto" w:fill="auto"/>
            <w:vAlign w:val="center"/>
          </w:tcPr>
          <w:p w14:paraId="5EDFAE8F">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567" w:type="dxa"/>
            <w:tcBorders>
              <w:top w:val="nil"/>
              <w:left w:val="nil"/>
              <w:bottom w:val="single" w:color="000000" w:sz="4" w:space="0"/>
              <w:right w:val="single" w:color="000000" w:sz="4" w:space="0"/>
            </w:tcBorders>
            <w:shd w:val="clear" w:color="auto" w:fill="auto"/>
            <w:vAlign w:val="center"/>
          </w:tcPr>
          <w:p w14:paraId="7E954DA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67" w:type="dxa"/>
            <w:tcBorders>
              <w:top w:val="nil"/>
              <w:left w:val="nil"/>
              <w:bottom w:val="single" w:color="000000" w:sz="4" w:space="0"/>
              <w:right w:val="single" w:color="000000" w:sz="4" w:space="0"/>
            </w:tcBorders>
            <w:shd w:val="clear" w:color="auto" w:fill="auto"/>
            <w:vAlign w:val="center"/>
          </w:tcPr>
          <w:p w14:paraId="524D553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302" w:type="dxa"/>
            <w:vMerge w:val="continue"/>
            <w:tcBorders>
              <w:top w:val="nil"/>
              <w:left w:val="single" w:color="000000" w:sz="4" w:space="0"/>
              <w:bottom w:val="single" w:color="000000" w:sz="4" w:space="0"/>
              <w:right w:val="single" w:color="000000" w:sz="4" w:space="0"/>
            </w:tcBorders>
            <w:shd w:val="clear" w:color="auto" w:fill="auto"/>
            <w:vAlign w:val="center"/>
          </w:tcPr>
          <w:p w14:paraId="0B94A893">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2BDA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14:paraId="7E44291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绩效指标（90分）</w:t>
            </w:r>
          </w:p>
        </w:tc>
        <w:tc>
          <w:tcPr>
            <w:tcW w:w="995" w:type="dxa"/>
            <w:tcBorders>
              <w:top w:val="nil"/>
              <w:left w:val="nil"/>
              <w:bottom w:val="single" w:color="000000" w:sz="4" w:space="0"/>
              <w:right w:val="single" w:color="000000" w:sz="4" w:space="0"/>
            </w:tcBorders>
            <w:shd w:val="clear" w:color="auto" w:fill="auto"/>
            <w:vAlign w:val="center"/>
          </w:tcPr>
          <w:p w14:paraId="22BEBA4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一级指标</w:t>
            </w:r>
          </w:p>
        </w:tc>
        <w:tc>
          <w:tcPr>
            <w:tcW w:w="1216" w:type="dxa"/>
            <w:tcBorders>
              <w:top w:val="nil"/>
              <w:left w:val="nil"/>
              <w:bottom w:val="single" w:color="000000" w:sz="4" w:space="0"/>
              <w:right w:val="single" w:color="000000" w:sz="4" w:space="0"/>
            </w:tcBorders>
            <w:shd w:val="clear" w:color="auto" w:fill="auto"/>
            <w:vAlign w:val="center"/>
          </w:tcPr>
          <w:p w14:paraId="41AC374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二级指标</w:t>
            </w:r>
          </w:p>
        </w:tc>
        <w:tc>
          <w:tcPr>
            <w:tcW w:w="1335" w:type="dxa"/>
            <w:tcBorders>
              <w:top w:val="nil"/>
              <w:left w:val="nil"/>
              <w:bottom w:val="single" w:color="000000" w:sz="4" w:space="0"/>
              <w:right w:val="single" w:color="000000" w:sz="4" w:space="0"/>
            </w:tcBorders>
            <w:shd w:val="clear" w:color="auto" w:fill="auto"/>
            <w:vAlign w:val="center"/>
          </w:tcPr>
          <w:p w14:paraId="1A34DBD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三级指标</w:t>
            </w:r>
          </w:p>
        </w:tc>
        <w:tc>
          <w:tcPr>
            <w:tcW w:w="567" w:type="dxa"/>
            <w:gridSpan w:val="2"/>
            <w:tcBorders>
              <w:top w:val="nil"/>
              <w:left w:val="nil"/>
              <w:bottom w:val="single" w:color="000000" w:sz="4" w:space="0"/>
              <w:right w:val="single" w:color="000000" w:sz="4" w:space="0"/>
            </w:tcBorders>
            <w:shd w:val="clear" w:color="auto" w:fill="auto"/>
            <w:vAlign w:val="center"/>
          </w:tcPr>
          <w:p w14:paraId="68C48F1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指标性质</w:t>
            </w:r>
          </w:p>
        </w:tc>
        <w:tc>
          <w:tcPr>
            <w:tcW w:w="425" w:type="dxa"/>
            <w:tcBorders>
              <w:top w:val="nil"/>
              <w:left w:val="nil"/>
              <w:bottom w:val="single" w:color="000000" w:sz="4" w:space="0"/>
              <w:right w:val="single" w:color="000000" w:sz="4" w:space="0"/>
            </w:tcBorders>
            <w:shd w:val="clear" w:color="auto" w:fill="auto"/>
            <w:vAlign w:val="center"/>
          </w:tcPr>
          <w:p w14:paraId="0994DB6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指标值</w:t>
            </w:r>
          </w:p>
        </w:tc>
        <w:tc>
          <w:tcPr>
            <w:tcW w:w="709" w:type="dxa"/>
            <w:gridSpan w:val="2"/>
            <w:tcBorders>
              <w:top w:val="nil"/>
              <w:left w:val="nil"/>
              <w:bottom w:val="single" w:color="000000" w:sz="4" w:space="0"/>
              <w:right w:val="single" w:color="000000" w:sz="4" w:space="0"/>
            </w:tcBorders>
            <w:shd w:val="clear" w:color="auto" w:fill="auto"/>
            <w:vAlign w:val="center"/>
          </w:tcPr>
          <w:p w14:paraId="38792A1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度量单位</w:t>
            </w:r>
          </w:p>
        </w:tc>
        <w:tc>
          <w:tcPr>
            <w:tcW w:w="851" w:type="dxa"/>
            <w:gridSpan w:val="2"/>
            <w:tcBorders>
              <w:top w:val="nil"/>
              <w:left w:val="nil"/>
              <w:bottom w:val="single" w:color="000000" w:sz="4" w:space="0"/>
              <w:right w:val="single" w:color="000000" w:sz="4" w:space="0"/>
            </w:tcBorders>
            <w:shd w:val="clear" w:color="auto" w:fill="auto"/>
            <w:vAlign w:val="center"/>
          </w:tcPr>
          <w:p w14:paraId="2A94AE7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完成值</w:t>
            </w:r>
          </w:p>
        </w:tc>
        <w:tc>
          <w:tcPr>
            <w:tcW w:w="567" w:type="dxa"/>
            <w:tcBorders>
              <w:top w:val="nil"/>
              <w:left w:val="nil"/>
              <w:bottom w:val="single" w:color="000000" w:sz="4" w:space="0"/>
              <w:right w:val="single" w:color="000000" w:sz="4" w:space="0"/>
            </w:tcBorders>
            <w:shd w:val="clear" w:color="auto" w:fill="auto"/>
            <w:vAlign w:val="center"/>
          </w:tcPr>
          <w:p w14:paraId="553811D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权重</w:t>
            </w:r>
          </w:p>
        </w:tc>
        <w:tc>
          <w:tcPr>
            <w:tcW w:w="567" w:type="dxa"/>
            <w:tcBorders>
              <w:top w:val="nil"/>
              <w:left w:val="nil"/>
              <w:bottom w:val="single" w:color="000000" w:sz="4" w:space="0"/>
              <w:right w:val="single" w:color="000000" w:sz="4" w:space="0"/>
            </w:tcBorders>
            <w:shd w:val="clear" w:color="auto" w:fill="auto"/>
            <w:vAlign w:val="center"/>
          </w:tcPr>
          <w:p w14:paraId="5617AF6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得分</w:t>
            </w:r>
          </w:p>
        </w:tc>
        <w:tc>
          <w:tcPr>
            <w:tcW w:w="1302" w:type="dxa"/>
            <w:tcBorders>
              <w:top w:val="nil"/>
              <w:left w:val="nil"/>
              <w:bottom w:val="single" w:color="000000" w:sz="4" w:space="0"/>
              <w:right w:val="single" w:color="000000" w:sz="4" w:space="0"/>
            </w:tcBorders>
            <w:shd w:val="clear" w:color="auto" w:fill="auto"/>
            <w:vAlign w:val="center"/>
          </w:tcPr>
          <w:p w14:paraId="0E58FBF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未完成原因分析</w:t>
            </w:r>
          </w:p>
        </w:tc>
      </w:tr>
      <w:tr w14:paraId="4B4B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680142E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vMerge w:val="restart"/>
            <w:tcBorders>
              <w:top w:val="nil"/>
              <w:left w:val="single" w:color="000000" w:sz="4" w:space="0"/>
              <w:bottom w:val="single" w:color="000000" w:sz="4" w:space="0"/>
              <w:right w:val="single" w:color="000000" w:sz="4" w:space="0"/>
            </w:tcBorders>
            <w:shd w:val="clear" w:color="auto" w:fill="auto"/>
            <w:vAlign w:val="center"/>
          </w:tcPr>
          <w:p w14:paraId="0C2A7E6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产出指标</w:t>
            </w:r>
          </w:p>
        </w:tc>
        <w:tc>
          <w:tcPr>
            <w:tcW w:w="1216" w:type="dxa"/>
            <w:tcBorders>
              <w:top w:val="nil"/>
              <w:left w:val="nil"/>
              <w:bottom w:val="single" w:color="000000" w:sz="4" w:space="0"/>
              <w:right w:val="single" w:color="000000" w:sz="4" w:space="0"/>
            </w:tcBorders>
            <w:shd w:val="clear" w:color="auto" w:fill="auto"/>
            <w:vAlign w:val="center"/>
          </w:tcPr>
          <w:p w14:paraId="014CCF3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数量指标</w:t>
            </w:r>
          </w:p>
        </w:tc>
        <w:tc>
          <w:tcPr>
            <w:tcW w:w="1335" w:type="dxa"/>
            <w:tcBorders>
              <w:top w:val="nil"/>
              <w:left w:val="nil"/>
              <w:bottom w:val="single" w:color="000000" w:sz="4" w:space="0"/>
              <w:right w:val="single" w:color="000000" w:sz="4" w:space="0"/>
            </w:tcBorders>
            <w:shd w:val="clear" w:color="auto" w:fill="auto"/>
            <w:vAlign w:val="center"/>
          </w:tcPr>
          <w:p w14:paraId="083F91C4">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开展科创赛、科学调查体验、高校科学营活动、科普进校园等活动各次数</w:t>
            </w:r>
          </w:p>
        </w:tc>
        <w:tc>
          <w:tcPr>
            <w:tcW w:w="567" w:type="dxa"/>
            <w:gridSpan w:val="2"/>
            <w:tcBorders>
              <w:top w:val="nil"/>
              <w:left w:val="nil"/>
              <w:bottom w:val="single" w:color="000000" w:sz="4" w:space="0"/>
              <w:right w:val="single" w:color="000000" w:sz="4" w:space="0"/>
            </w:tcBorders>
            <w:shd w:val="clear" w:color="auto" w:fill="auto"/>
            <w:vAlign w:val="center"/>
          </w:tcPr>
          <w:p w14:paraId="0F8234F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5" w:type="dxa"/>
            <w:tcBorders>
              <w:top w:val="nil"/>
              <w:left w:val="nil"/>
              <w:bottom w:val="single" w:color="000000" w:sz="4" w:space="0"/>
              <w:right w:val="single" w:color="000000" w:sz="4" w:space="0"/>
            </w:tcBorders>
            <w:shd w:val="clear" w:color="auto" w:fill="auto"/>
            <w:vAlign w:val="center"/>
          </w:tcPr>
          <w:p w14:paraId="5B5B88F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w:t>
            </w:r>
          </w:p>
        </w:tc>
        <w:tc>
          <w:tcPr>
            <w:tcW w:w="709" w:type="dxa"/>
            <w:gridSpan w:val="2"/>
            <w:tcBorders>
              <w:top w:val="nil"/>
              <w:left w:val="nil"/>
              <w:bottom w:val="single" w:color="000000" w:sz="4" w:space="0"/>
              <w:right w:val="single" w:color="000000" w:sz="4" w:space="0"/>
            </w:tcBorders>
            <w:shd w:val="clear" w:color="auto" w:fill="auto"/>
            <w:vAlign w:val="center"/>
          </w:tcPr>
          <w:p w14:paraId="184F01D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场次</w:t>
            </w:r>
          </w:p>
        </w:tc>
        <w:tc>
          <w:tcPr>
            <w:tcW w:w="851" w:type="dxa"/>
            <w:gridSpan w:val="2"/>
            <w:tcBorders>
              <w:top w:val="nil"/>
              <w:left w:val="nil"/>
              <w:bottom w:val="single" w:color="000000" w:sz="4" w:space="0"/>
              <w:right w:val="single" w:color="000000" w:sz="4" w:space="0"/>
            </w:tcBorders>
            <w:shd w:val="clear" w:color="auto" w:fill="auto"/>
            <w:vAlign w:val="center"/>
          </w:tcPr>
          <w:p w14:paraId="243427E1">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1</w:t>
            </w:r>
          </w:p>
        </w:tc>
        <w:tc>
          <w:tcPr>
            <w:tcW w:w="567" w:type="dxa"/>
            <w:tcBorders>
              <w:top w:val="nil"/>
              <w:left w:val="nil"/>
              <w:bottom w:val="single" w:color="000000" w:sz="4" w:space="0"/>
              <w:right w:val="single" w:color="000000" w:sz="4" w:space="0"/>
            </w:tcBorders>
            <w:shd w:val="clear" w:color="auto" w:fill="auto"/>
            <w:vAlign w:val="center"/>
          </w:tcPr>
          <w:p w14:paraId="40C8F87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15</w:t>
            </w:r>
          </w:p>
        </w:tc>
        <w:tc>
          <w:tcPr>
            <w:tcW w:w="567" w:type="dxa"/>
            <w:tcBorders>
              <w:top w:val="nil"/>
              <w:left w:val="nil"/>
              <w:bottom w:val="single" w:color="000000" w:sz="4" w:space="0"/>
              <w:right w:val="single" w:color="000000" w:sz="4" w:space="0"/>
            </w:tcBorders>
            <w:shd w:val="clear" w:color="auto" w:fill="auto"/>
            <w:vAlign w:val="center"/>
          </w:tcPr>
          <w:p w14:paraId="63CAF04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15　</w:t>
            </w:r>
          </w:p>
        </w:tc>
        <w:tc>
          <w:tcPr>
            <w:tcW w:w="1302" w:type="dxa"/>
            <w:tcBorders>
              <w:top w:val="nil"/>
              <w:left w:val="nil"/>
              <w:bottom w:val="single" w:color="000000" w:sz="4" w:space="0"/>
              <w:right w:val="single" w:color="000000" w:sz="4" w:space="0"/>
            </w:tcBorders>
            <w:shd w:val="clear" w:color="auto" w:fill="auto"/>
            <w:vAlign w:val="center"/>
          </w:tcPr>
          <w:p w14:paraId="001E4D94">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2FF3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18C7FE8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vMerge w:val="continue"/>
            <w:tcBorders>
              <w:top w:val="nil"/>
              <w:left w:val="single" w:color="000000" w:sz="4" w:space="0"/>
              <w:bottom w:val="single" w:color="000000" w:sz="4" w:space="0"/>
              <w:right w:val="single" w:color="000000" w:sz="4" w:space="0"/>
            </w:tcBorders>
            <w:shd w:val="clear" w:color="auto" w:fill="auto"/>
            <w:vAlign w:val="center"/>
          </w:tcPr>
          <w:p w14:paraId="55C8E13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16" w:type="dxa"/>
            <w:tcBorders>
              <w:top w:val="nil"/>
              <w:left w:val="nil"/>
              <w:bottom w:val="single" w:color="000000" w:sz="4" w:space="0"/>
              <w:right w:val="single" w:color="000000" w:sz="4" w:space="0"/>
            </w:tcBorders>
            <w:shd w:val="clear" w:color="auto" w:fill="auto"/>
            <w:vAlign w:val="center"/>
          </w:tcPr>
          <w:p w14:paraId="65465EF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质量指标</w:t>
            </w:r>
          </w:p>
        </w:tc>
        <w:tc>
          <w:tcPr>
            <w:tcW w:w="1335" w:type="dxa"/>
            <w:tcBorders>
              <w:top w:val="nil"/>
              <w:left w:val="nil"/>
              <w:bottom w:val="single" w:color="000000" w:sz="4" w:space="0"/>
              <w:right w:val="single" w:color="000000" w:sz="4" w:space="0"/>
            </w:tcBorders>
            <w:shd w:val="clear" w:color="auto" w:fill="auto"/>
            <w:vAlign w:val="center"/>
          </w:tcPr>
          <w:p w14:paraId="702632F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各科普活动场地选择适合率</w:t>
            </w:r>
          </w:p>
        </w:tc>
        <w:tc>
          <w:tcPr>
            <w:tcW w:w="567" w:type="dxa"/>
            <w:gridSpan w:val="2"/>
            <w:tcBorders>
              <w:top w:val="nil"/>
              <w:left w:val="nil"/>
              <w:bottom w:val="single" w:color="000000" w:sz="4" w:space="0"/>
              <w:right w:val="single" w:color="000000" w:sz="4" w:space="0"/>
            </w:tcBorders>
            <w:shd w:val="clear" w:color="auto" w:fill="auto"/>
            <w:vAlign w:val="center"/>
          </w:tcPr>
          <w:p w14:paraId="7B1B4C6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5" w:type="dxa"/>
            <w:tcBorders>
              <w:top w:val="nil"/>
              <w:left w:val="nil"/>
              <w:bottom w:val="single" w:color="000000" w:sz="4" w:space="0"/>
              <w:right w:val="single" w:color="000000" w:sz="4" w:space="0"/>
            </w:tcBorders>
            <w:shd w:val="clear" w:color="auto" w:fill="auto"/>
            <w:vAlign w:val="center"/>
          </w:tcPr>
          <w:p w14:paraId="3DAC4C8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90</w:t>
            </w:r>
          </w:p>
        </w:tc>
        <w:tc>
          <w:tcPr>
            <w:tcW w:w="709" w:type="dxa"/>
            <w:gridSpan w:val="2"/>
            <w:tcBorders>
              <w:top w:val="nil"/>
              <w:left w:val="nil"/>
              <w:bottom w:val="single" w:color="000000" w:sz="4" w:space="0"/>
              <w:right w:val="single" w:color="000000" w:sz="4" w:space="0"/>
            </w:tcBorders>
            <w:shd w:val="clear" w:color="auto" w:fill="auto"/>
            <w:vAlign w:val="center"/>
          </w:tcPr>
          <w:p w14:paraId="6FB5979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851" w:type="dxa"/>
            <w:gridSpan w:val="2"/>
            <w:tcBorders>
              <w:top w:val="nil"/>
              <w:left w:val="nil"/>
              <w:bottom w:val="single" w:color="000000" w:sz="4" w:space="0"/>
              <w:right w:val="single" w:color="000000" w:sz="4" w:space="0"/>
            </w:tcBorders>
            <w:shd w:val="clear" w:color="auto" w:fill="auto"/>
            <w:vAlign w:val="center"/>
          </w:tcPr>
          <w:p w14:paraId="591D11F3">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90　</w:t>
            </w:r>
          </w:p>
        </w:tc>
        <w:tc>
          <w:tcPr>
            <w:tcW w:w="567" w:type="dxa"/>
            <w:tcBorders>
              <w:top w:val="nil"/>
              <w:left w:val="nil"/>
              <w:bottom w:val="single" w:color="000000" w:sz="4" w:space="0"/>
              <w:right w:val="single" w:color="000000" w:sz="4" w:space="0"/>
            </w:tcBorders>
            <w:shd w:val="clear" w:color="auto" w:fill="auto"/>
            <w:vAlign w:val="center"/>
          </w:tcPr>
          <w:p w14:paraId="48626D7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567" w:type="dxa"/>
            <w:tcBorders>
              <w:top w:val="nil"/>
              <w:left w:val="nil"/>
              <w:bottom w:val="single" w:color="000000" w:sz="4" w:space="0"/>
              <w:right w:val="single" w:color="000000" w:sz="4" w:space="0"/>
            </w:tcBorders>
            <w:shd w:val="clear" w:color="auto" w:fill="auto"/>
            <w:vAlign w:val="center"/>
          </w:tcPr>
          <w:p w14:paraId="0C32718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302" w:type="dxa"/>
            <w:tcBorders>
              <w:top w:val="nil"/>
              <w:left w:val="nil"/>
              <w:bottom w:val="single" w:color="000000" w:sz="4" w:space="0"/>
              <w:right w:val="single" w:color="000000" w:sz="4" w:space="0"/>
            </w:tcBorders>
            <w:shd w:val="clear" w:color="auto" w:fill="auto"/>
            <w:vAlign w:val="center"/>
          </w:tcPr>
          <w:p w14:paraId="4DB2CF36">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29DE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056A4C9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vMerge w:val="continue"/>
            <w:tcBorders>
              <w:top w:val="nil"/>
              <w:left w:val="single" w:color="000000" w:sz="4" w:space="0"/>
              <w:bottom w:val="single" w:color="000000" w:sz="4" w:space="0"/>
              <w:right w:val="single" w:color="000000" w:sz="4" w:space="0"/>
            </w:tcBorders>
            <w:shd w:val="clear" w:color="auto" w:fill="auto"/>
            <w:vAlign w:val="center"/>
          </w:tcPr>
          <w:p w14:paraId="30C9509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16" w:type="dxa"/>
            <w:tcBorders>
              <w:top w:val="nil"/>
              <w:left w:val="nil"/>
              <w:bottom w:val="single" w:color="000000" w:sz="4" w:space="0"/>
              <w:right w:val="single" w:color="000000" w:sz="4" w:space="0"/>
            </w:tcBorders>
            <w:shd w:val="clear" w:color="auto" w:fill="auto"/>
            <w:vAlign w:val="center"/>
          </w:tcPr>
          <w:p w14:paraId="4ADBF7F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时效指标</w:t>
            </w:r>
          </w:p>
        </w:tc>
        <w:tc>
          <w:tcPr>
            <w:tcW w:w="1335" w:type="dxa"/>
            <w:tcBorders>
              <w:top w:val="nil"/>
              <w:left w:val="nil"/>
              <w:bottom w:val="single" w:color="000000" w:sz="4" w:space="0"/>
              <w:right w:val="single" w:color="000000" w:sz="4" w:space="0"/>
            </w:tcBorders>
            <w:shd w:val="clear" w:color="auto" w:fill="auto"/>
            <w:vAlign w:val="center"/>
          </w:tcPr>
          <w:p w14:paraId="1E759FB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各科普活动完成时间</w:t>
            </w:r>
          </w:p>
        </w:tc>
        <w:tc>
          <w:tcPr>
            <w:tcW w:w="567" w:type="dxa"/>
            <w:gridSpan w:val="2"/>
            <w:tcBorders>
              <w:top w:val="nil"/>
              <w:left w:val="nil"/>
              <w:bottom w:val="single" w:color="000000" w:sz="4" w:space="0"/>
              <w:right w:val="single" w:color="000000" w:sz="4" w:space="0"/>
            </w:tcBorders>
            <w:shd w:val="clear" w:color="auto" w:fill="auto"/>
            <w:vAlign w:val="center"/>
          </w:tcPr>
          <w:p w14:paraId="184FCC4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5" w:type="dxa"/>
            <w:tcBorders>
              <w:top w:val="nil"/>
              <w:left w:val="nil"/>
              <w:bottom w:val="single" w:color="000000" w:sz="4" w:space="0"/>
              <w:right w:val="single" w:color="000000" w:sz="4" w:space="0"/>
            </w:tcBorders>
            <w:shd w:val="clear" w:color="auto" w:fill="auto"/>
            <w:vAlign w:val="center"/>
          </w:tcPr>
          <w:p w14:paraId="7591967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w:t>
            </w:r>
          </w:p>
        </w:tc>
        <w:tc>
          <w:tcPr>
            <w:tcW w:w="709" w:type="dxa"/>
            <w:gridSpan w:val="2"/>
            <w:tcBorders>
              <w:top w:val="nil"/>
              <w:left w:val="nil"/>
              <w:bottom w:val="single" w:color="000000" w:sz="4" w:space="0"/>
              <w:right w:val="single" w:color="000000" w:sz="4" w:space="0"/>
            </w:tcBorders>
            <w:shd w:val="clear" w:color="auto" w:fill="auto"/>
            <w:vAlign w:val="center"/>
          </w:tcPr>
          <w:p w14:paraId="74014F3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w:t>
            </w:r>
          </w:p>
        </w:tc>
        <w:tc>
          <w:tcPr>
            <w:tcW w:w="851" w:type="dxa"/>
            <w:gridSpan w:val="2"/>
            <w:tcBorders>
              <w:top w:val="nil"/>
              <w:left w:val="nil"/>
              <w:bottom w:val="single" w:color="000000" w:sz="4" w:space="0"/>
              <w:right w:val="single" w:color="000000" w:sz="4" w:space="0"/>
            </w:tcBorders>
            <w:shd w:val="clear" w:color="auto" w:fill="auto"/>
            <w:vAlign w:val="center"/>
          </w:tcPr>
          <w:p w14:paraId="149AF67F">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1　</w:t>
            </w:r>
          </w:p>
        </w:tc>
        <w:tc>
          <w:tcPr>
            <w:tcW w:w="567" w:type="dxa"/>
            <w:tcBorders>
              <w:top w:val="nil"/>
              <w:left w:val="nil"/>
              <w:bottom w:val="single" w:color="000000" w:sz="4" w:space="0"/>
              <w:right w:val="single" w:color="000000" w:sz="4" w:space="0"/>
            </w:tcBorders>
            <w:shd w:val="clear" w:color="auto" w:fill="auto"/>
            <w:vAlign w:val="center"/>
          </w:tcPr>
          <w:p w14:paraId="21C74C8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15</w:t>
            </w:r>
          </w:p>
        </w:tc>
        <w:tc>
          <w:tcPr>
            <w:tcW w:w="567" w:type="dxa"/>
            <w:tcBorders>
              <w:top w:val="nil"/>
              <w:left w:val="nil"/>
              <w:bottom w:val="single" w:color="000000" w:sz="4" w:space="0"/>
              <w:right w:val="single" w:color="000000" w:sz="4" w:space="0"/>
            </w:tcBorders>
            <w:shd w:val="clear" w:color="auto" w:fill="auto"/>
            <w:vAlign w:val="center"/>
          </w:tcPr>
          <w:p w14:paraId="3CB4E39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15　</w:t>
            </w:r>
          </w:p>
        </w:tc>
        <w:tc>
          <w:tcPr>
            <w:tcW w:w="1302" w:type="dxa"/>
            <w:tcBorders>
              <w:top w:val="nil"/>
              <w:left w:val="nil"/>
              <w:bottom w:val="single" w:color="000000" w:sz="4" w:space="0"/>
              <w:right w:val="single" w:color="000000" w:sz="4" w:space="0"/>
            </w:tcBorders>
            <w:shd w:val="clear" w:color="auto" w:fill="auto"/>
            <w:vAlign w:val="center"/>
          </w:tcPr>
          <w:p w14:paraId="70325153">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1B88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022E62F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vMerge w:val="restart"/>
            <w:tcBorders>
              <w:top w:val="nil"/>
              <w:left w:val="single" w:color="000000" w:sz="4" w:space="0"/>
              <w:bottom w:val="single" w:color="000000" w:sz="4" w:space="0"/>
              <w:right w:val="single" w:color="000000" w:sz="4" w:space="0"/>
            </w:tcBorders>
            <w:shd w:val="clear" w:color="auto" w:fill="auto"/>
            <w:vAlign w:val="center"/>
          </w:tcPr>
          <w:p w14:paraId="127A546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效益指标</w:t>
            </w:r>
          </w:p>
        </w:tc>
        <w:tc>
          <w:tcPr>
            <w:tcW w:w="1216" w:type="dxa"/>
            <w:tcBorders>
              <w:top w:val="nil"/>
              <w:left w:val="nil"/>
              <w:bottom w:val="single" w:color="000000" w:sz="4" w:space="0"/>
              <w:right w:val="single" w:color="000000" w:sz="4" w:space="0"/>
            </w:tcBorders>
            <w:shd w:val="clear" w:color="auto" w:fill="auto"/>
            <w:vAlign w:val="center"/>
          </w:tcPr>
          <w:p w14:paraId="4A75202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社会效益指标</w:t>
            </w:r>
          </w:p>
        </w:tc>
        <w:tc>
          <w:tcPr>
            <w:tcW w:w="1335" w:type="dxa"/>
            <w:tcBorders>
              <w:top w:val="nil"/>
              <w:left w:val="nil"/>
              <w:bottom w:val="single" w:color="000000" w:sz="4" w:space="0"/>
              <w:right w:val="single" w:color="000000" w:sz="4" w:space="0"/>
            </w:tcBorders>
            <w:shd w:val="clear" w:color="auto" w:fill="auto"/>
            <w:vAlign w:val="center"/>
          </w:tcPr>
          <w:p w14:paraId="5A10E94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青少年科学素质提升率</w:t>
            </w:r>
          </w:p>
        </w:tc>
        <w:tc>
          <w:tcPr>
            <w:tcW w:w="567" w:type="dxa"/>
            <w:gridSpan w:val="2"/>
            <w:tcBorders>
              <w:top w:val="nil"/>
              <w:left w:val="nil"/>
              <w:bottom w:val="single" w:color="000000" w:sz="4" w:space="0"/>
              <w:right w:val="single" w:color="000000" w:sz="4" w:space="0"/>
            </w:tcBorders>
            <w:shd w:val="clear" w:color="auto" w:fill="auto"/>
            <w:vAlign w:val="center"/>
          </w:tcPr>
          <w:p w14:paraId="5992BF8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5" w:type="dxa"/>
            <w:tcBorders>
              <w:top w:val="nil"/>
              <w:left w:val="nil"/>
              <w:bottom w:val="single" w:color="000000" w:sz="4" w:space="0"/>
              <w:right w:val="single" w:color="000000" w:sz="4" w:space="0"/>
            </w:tcBorders>
            <w:shd w:val="clear" w:color="auto" w:fill="auto"/>
            <w:vAlign w:val="center"/>
          </w:tcPr>
          <w:p w14:paraId="50A7BC9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93</w:t>
            </w:r>
          </w:p>
        </w:tc>
        <w:tc>
          <w:tcPr>
            <w:tcW w:w="709" w:type="dxa"/>
            <w:gridSpan w:val="2"/>
            <w:tcBorders>
              <w:top w:val="nil"/>
              <w:left w:val="nil"/>
              <w:bottom w:val="single" w:color="000000" w:sz="4" w:space="0"/>
              <w:right w:val="single" w:color="000000" w:sz="4" w:space="0"/>
            </w:tcBorders>
            <w:shd w:val="clear" w:color="auto" w:fill="auto"/>
            <w:vAlign w:val="center"/>
          </w:tcPr>
          <w:p w14:paraId="1847023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851" w:type="dxa"/>
            <w:gridSpan w:val="2"/>
            <w:tcBorders>
              <w:top w:val="nil"/>
              <w:left w:val="nil"/>
              <w:bottom w:val="single" w:color="000000" w:sz="4" w:space="0"/>
              <w:right w:val="single" w:color="000000" w:sz="4" w:space="0"/>
            </w:tcBorders>
            <w:shd w:val="clear" w:color="auto" w:fill="auto"/>
            <w:vAlign w:val="center"/>
          </w:tcPr>
          <w:p w14:paraId="0A1A0EBA">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93　</w:t>
            </w:r>
          </w:p>
        </w:tc>
        <w:tc>
          <w:tcPr>
            <w:tcW w:w="567" w:type="dxa"/>
            <w:tcBorders>
              <w:top w:val="nil"/>
              <w:left w:val="nil"/>
              <w:bottom w:val="single" w:color="000000" w:sz="4" w:space="0"/>
              <w:right w:val="single" w:color="000000" w:sz="4" w:space="0"/>
            </w:tcBorders>
            <w:shd w:val="clear" w:color="auto" w:fill="auto"/>
            <w:vAlign w:val="center"/>
          </w:tcPr>
          <w:p w14:paraId="76CEC2E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567" w:type="dxa"/>
            <w:tcBorders>
              <w:top w:val="nil"/>
              <w:left w:val="nil"/>
              <w:bottom w:val="single" w:color="000000" w:sz="4" w:space="0"/>
              <w:right w:val="single" w:color="000000" w:sz="4" w:space="0"/>
            </w:tcBorders>
            <w:shd w:val="clear" w:color="auto" w:fill="auto"/>
            <w:vAlign w:val="center"/>
          </w:tcPr>
          <w:p w14:paraId="2F441C3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302" w:type="dxa"/>
            <w:tcBorders>
              <w:top w:val="nil"/>
              <w:left w:val="nil"/>
              <w:bottom w:val="single" w:color="000000" w:sz="4" w:space="0"/>
              <w:right w:val="single" w:color="000000" w:sz="4" w:space="0"/>
            </w:tcBorders>
            <w:shd w:val="clear" w:color="auto" w:fill="auto"/>
            <w:vAlign w:val="center"/>
          </w:tcPr>
          <w:p w14:paraId="10E28017">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422C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00AD9F9D">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vMerge w:val="continue"/>
            <w:tcBorders>
              <w:top w:val="nil"/>
              <w:left w:val="single" w:color="000000" w:sz="4" w:space="0"/>
              <w:bottom w:val="single" w:color="000000" w:sz="4" w:space="0"/>
              <w:right w:val="single" w:color="000000" w:sz="4" w:space="0"/>
            </w:tcBorders>
            <w:shd w:val="clear" w:color="auto" w:fill="auto"/>
            <w:vAlign w:val="center"/>
          </w:tcPr>
          <w:p w14:paraId="3C1FD7C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216" w:type="dxa"/>
            <w:tcBorders>
              <w:top w:val="nil"/>
              <w:left w:val="nil"/>
              <w:bottom w:val="single" w:color="000000" w:sz="4" w:space="0"/>
              <w:right w:val="single" w:color="000000" w:sz="4" w:space="0"/>
            </w:tcBorders>
            <w:shd w:val="clear" w:color="auto" w:fill="auto"/>
            <w:vAlign w:val="center"/>
          </w:tcPr>
          <w:p w14:paraId="27F6073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可持续影响指标</w:t>
            </w:r>
          </w:p>
        </w:tc>
        <w:tc>
          <w:tcPr>
            <w:tcW w:w="1335" w:type="dxa"/>
            <w:tcBorders>
              <w:top w:val="nil"/>
              <w:left w:val="nil"/>
              <w:bottom w:val="single" w:color="000000" w:sz="4" w:space="0"/>
              <w:right w:val="single" w:color="000000" w:sz="4" w:space="0"/>
            </w:tcBorders>
            <w:shd w:val="clear" w:color="auto" w:fill="auto"/>
            <w:vAlign w:val="center"/>
          </w:tcPr>
          <w:p w14:paraId="7CD0864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青少年科普活动影响力</w:t>
            </w:r>
          </w:p>
        </w:tc>
        <w:tc>
          <w:tcPr>
            <w:tcW w:w="567" w:type="dxa"/>
            <w:gridSpan w:val="2"/>
            <w:tcBorders>
              <w:top w:val="nil"/>
              <w:left w:val="nil"/>
              <w:bottom w:val="single" w:color="000000" w:sz="4" w:space="0"/>
              <w:right w:val="single" w:color="000000" w:sz="4" w:space="0"/>
            </w:tcBorders>
            <w:shd w:val="clear" w:color="auto" w:fill="auto"/>
            <w:vAlign w:val="center"/>
          </w:tcPr>
          <w:p w14:paraId="74BA0A3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5" w:type="dxa"/>
            <w:tcBorders>
              <w:top w:val="nil"/>
              <w:left w:val="nil"/>
              <w:bottom w:val="single" w:color="000000" w:sz="4" w:space="0"/>
              <w:right w:val="single" w:color="000000" w:sz="4" w:space="0"/>
            </w:tcBorders>
            <w:shd w:val="clear" w:color="auto" w:fill="auto"/>
            <w:vAlign w:val="center"/>
          </w:tcPr>
          <w:p w14:paraId="645F6E0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w:t>
            </w:r>
          </w:p>
        </w:tc>
        <w:tc>
          <w:tcPr>
            <w:tcW w:w="709" w:type="dxa"/>
            <w:gridSpan w:val="2"/>
            <w:tcBorders>
              <w:top w:val="nil"/>
              <w:left w:val="nil"/>
              <w:bottom w:val="single" w:color="000000" w:sz="4" w:space="0"/>
              <w:right w:val="single" w:color="000000" w:sz="4" w:space="0"/>
            </w:tcBorders>
            <w:shd w:val="clear" w:color="auto" w:fill="auto"/>
            <w:vAlign w:val="center"/>
          </w:tcPr>
          <w:p w14:paraId="462EC9C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w:t>
            </w:r>
          </w:p>
        </w:tc>
        <w:tc>
          <w:tcPr>
            <w:tcW w:w="851" w:type="dxa"/>
            <w:gridSpan w:val="2"/>
            <w:tcBorders>
              <w:top w:val="nil"/>
              <w:left w:val="nil"/>
              <w:bottom w:val="single" w:color="000000" w:sz="4" w:space="0"/>
              <w:right w:val="single" w:color="000000" w:sz="4" w:space="0"/>
            </w:tcBorders>
            <w:shd w:val="clear" w:color="auto" w:fill="auto"/>
            <w:vAlign w:val="center"/>
          </w:tcPr>
          <w:p w14:paraId="001FE36D">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2</w:t>
            </w:r>
          </w:p>
        </w:tc>
        <w:tc>
          <w:tcPr>
            <w:tcW w:w="567" w:type="dxa"/>
            <w:tcBorders>
              <w:top w:val="nil"/>
              <w:left w:val="nil"/>
              <w:bottom w:val="single" w:color="000000" w:sz="4" w:space="0"/>
              <w:right w:val="single" w:color="000000" w:sz="4" w:space="0"/>
            </w:tcBorders>
            <w:shd w:val="clear" w:color="auto" w:fill="auto"/>
            <w:vAlign w:val="center"/>
          </w:tcPr>
          <w:p w14:paraId="210401A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567" w:type="dxa"/>
            <w:tcBorders>
              <w:top w:val="nil"/>
              <w:left w:val="nil"/>
              <w:bottom w:val="single" w:color="000000" w:sz="4" w:space="0"/>
              <w:right w:val="single" w:color="000000" w:sz="4" w:space="0"/>
            </w:tcBorders>
            <w:shd w:val="clear" w:color="auto" w:fill="auto"/>
            <w:vAlign w:val="center"/>
          </w:tcPr>
          <w:p w14:paraId="18092A6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302" w:type="dxa"/>
            <w:tcBorders>
              <w:top w:val="nil"/>
              <w:left w:val="nil"/>
              <w:bottom w:val="single" w:color="000000" w:sz="4" w:space="0"/>
              <w:right w:val="single" w:color="000000" w:sz="4" w:space="0"/>
            </w:tcBorders>
            <w:shd w:val="clear" w:color="auto" w:fill="auto"/>
            <w:vAlign w:val="center"/>
          </w:tcPr>
          <w:p w14:paraId="1CB7DB30">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0FCA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2BA507B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tcBorders>
              <w:top w:val="nil"/>
              <w:left w:val="nil"/>
              <w:bottom w:val="single" w:color="000000" w:sz="4" w:space="0"/>
              <w:right w:val="single" w:color="000000" w:sz="4" w:space="0"/>
            </w:tcBorders>
            <w:shd w:val="clear" w:color="auto" w:fill="auto"/>
            <w:vAlign w:val="center"/>
          </w:tcPr>
          <w:p w14:paraId="5497C34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满意度指标</w:t>
            </w:r>
          </w:p>
        </w:tc>
        <w:tc>
          <w:tcPr>
            <w:tcW w:w="1216" w:type="dxa"/>
            <w:tcBorders>
              <w:top w:val="nil"/>
              <w:left w:val="nil"/>
              <w:bottom w:val="single" w:color="000000" w:sz="4" w:space="0"/>
              <w:right w:val="single" w:color="000000" w:sz="4" w:space="0"/>
            </w:tcBorders>
            <w:shd w:val="clear" w:color="auto" w:fill="auto"/>
            <w:vAlign w:val="center"/>
          </w:tcPr>
          <w:p w14:paraId="2144469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服务对象满意度指标</w:t>
            </w:r>
          </w:p>
        </w:tc>
        <w:tc>
          <w:tcPr>
            <w:tcW w:w="1335" w:type="dxa"/>
            <w:tcBorders>
              <w:top w:val="nil"/>
              <w:left w:val="nil"/>
              <w:bottom w:val="single" w:color="000000" w:sz="4" w:space="0"/>
              <w:right w:val="single" w:color="000000" w:sz="4" w:space="0"/>
            </w:tcBorders>
            <w:shd w:val="clear" w:color="auto" w:fill="auto"/>
            <w:vAlign w:val="center"/>
          </w:tcPr>
          <w:p w14:paraId="225DEA6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青少年及家长满意度</w:t>
            </w:r>
          </w:p>
        </w:tc>
        <w:tc>
          <w:tcPr>
            <w:tcW w:w="567" w:type="dxa"/>
            <w:gridSpan w:val="2"/>
            <w:tcBorders>
              <w:top w:val="nil"/>
              <w:left w:val="nil"/>
              <w:bottom w:val="single" w:color="000000" w:sz="4" w:space="0"/>
              <w:right w:val="single" w:color="000000" w:sz="4" w:space="0"/>
            </w:tcBorders>
            <w:shd w:val="clear" w:color="auto" w:fill="auto"/>
            <w:vAlign w:val="center"/>
          </w:tcPr>
          <w:p w14:paraId="7F028AB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5" w:type="dxa"/>
            <w:tcBorders>
              <w:top w:val="nil"/>
              <w:left w:val="nil"/>
              <w:bottom w:val="single" w:color="000000" w:sz="4" w:space="0"/>
              <w:right w:val="single" w:color="000000" w:sz="4" w:space="0"/>
            </w:tcBorders>
            <w:shd w:val="clear" w:color="auto" w:fill="auto"/>
            <w:vAlign w:val="center"/>
          </w:tcPr>
          <w:p w14:paraId="4FAA92C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90</w:t>
            </w:r>
          </w:p>
        </w:tc>
        <w:tc>
          <w:tcPr>
            <w:tcW w:w="709" w:type="dxa"/>
            <w:gridSpan w:val="2"/>
            <w:tcBorders>
              <w:top w:val="nil"/>
              <w:left w:val="nil"/>
              <w:bottom w:val="single" w:color="000000" w:sz="4" w:space="0"/>
              <w:right w:val="single" w:color="000000" w:sz="4" w:space="0"/>
            </w:tcBorders>
            <w:shd w:val="clear" w:color="auto" w:fill="auto"/>
            <w:vAlign w:val="center"/>
          </w:tcPr>
          <w:p w14:paraId="5D23DBF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851" w:type="dxa"/>
            <w:gridSpan w:val="2"/>
            <w:tcBorders>
              <w:top w:val="nil"/>
              <w:left w:val="nil"/>
              <w:bottom w:val="single" w:color="000000" w:sz="4" w:space="0"/>
              <w:right w:val="single" w:color="000000" w:sz="4" w:space="0"/>
            </w:tcBorders>
            <w:shd w:val="clear" w:color="auto" w:fill="auto"/>
            <w:vAlign w:val="center"/>
          </w:tcPr>
          <w:p w14:paraId="639C9E1A">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90　</w:t>
            </w:r>
          </w:p>
        </w:tc>
        <w:tc>
          <w:tcPr>
            <w:tcW w:w="567" w:type="dxa"/>
            <w:tcBorders>
              <w:top w:val="nil"/>
              <w:left w:val="nil"/>
              <w:bottom w:val="single" w:color="000000" w:sz="4" w:space="0"/>
              <w:right w:val="single" w:color="000000" w:sz="4" w:space="0"/>
            </w:tcBorders>
            <w:shd w:val="clear" w:color="auto" w:fill="auto"/>
            <w:vAlign w:val="center"/>
          </w:tcPr>
          <w:p w14:paraId="3A6B08F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567" w:type="dxa"/>
            <w:tcBorders>
              <w:top w:val="nil"/>
              <w:left w:val="nil"/>
              <w:bottom w:val="single" w:color="000000" w:sz="4" w:space="0"/>
              <w:right w:val="single" w:color="000000" w:sz="4" w:space="0"/>
            </w:tcBorders>
            <w:shd w:val="clear" w:color="auto" w:fill="auto"/>
            <w:vAlign w:val="center"/>
          </w:tcPr>
          <w:p w14:paraId="55D7813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302" w:type="dxa"/>
            <w:tcBorders>
              <w:top w:val="nil"/>
              <w:left w:val="nil"/>
              <w:bottom w:val="single" w:color="000000" w:sz="4" w:space="0"/>
              <w:right w:val="single" w:color="000000" w:sz="4" w:space="0"/>
            </w:tcBorders>
            <w:shd w:val="clear" w:color="auto" w:fill="auto"/>
            <w:vAlign w:val="center"/>
          </w:tcPr>
          <w:p w14:paraId="4DCE419F">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6FC67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4D9118B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5" w:type="dxa"/>
            <w:tcBorders>
              <w:top w:val="nil"/>
              <w:left w:val="nil"/>
              <w:bottom w:val="single" w:color="000000" w:sz="4" w:space="0"/>
              <w:right w:val="single" w:color="000000" w:sz="4" w:space="0"/>
            </w:tcBorders>
            <w:shd w:val="clear" w:color="auto" w:fill="auto"/>
            <w:vAlign w:val="center"/>
          </w:tcPr>
          <w:p w14:paraId="2B84667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成本指标</w:t>
            </w:r>
          </w:p>
        </w:tc>
        <w:tc>
          <w:tcPr>
            <w:tcW w:w="1216" w:type="dxa"/>
            <w:tcBorders>
              <w:top w:val="nil"/>
              <w:left w:val="nil"/>
              <w:bottom w:val="single" w:color="000000" w:sz="4" w:space="0"/>
              <w:right w:val="single" w:color="000000" w:sz="4" w:space="0"/>
            </w:tcBorders>
            <w:shd w:val="clear" w:color="auto" w:fill="auto"/>
            <w:vAlign w:val="center"/>
          </w:tcPr>
          <w:p w14:paraId="366020F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经济成本指标</w:t>
            </w:r>
          </w:p>
        </w:tc>
        <w:tc>
          <w:tcPr>
            <w:tcW w:w="1335" w:type="dxa"/>
            <w:tcBorders>
              <w:top w:val="nil"/>
              <w:left w:val="nil"/>
              <w:bottom w:val="single" w:color="000000" w:sz="4" w:space="0"/>
              <w:right w:val="single" w:color="000000" w:sz="4" w:space="0"/>
            </w:tcBorders>
            <w:shd w:val="clear" w:color="auto" w:fill="auto"/>
            <w:vAlign w:val="center"/>
          </w:tcPr>
          <w:p w14:paraId="6D21B37E">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开展科创赛、科学调查体验、高校科学营活动、科普进校园等活动年所需补助工作经费</w:t>
            </w:r>
          </w:p>
        </w:tc>
        <w:tc>
          <w:tcPr>
            <w:tcW w:w="567" w:type="dxa"/>
            <w:gridSpan w:val="2"/>
            <w:tcBorders>
              <w:top w:val="nil"/>
              <w:left w:val="nil"/>
              <w:bottom w:val="single" w:color="000000" w:sz="4" w:space="0"/>
              <w:right w:val="single" w:color="000000" w:sz="4" w:space="0"/>
            </w:tcBorders>
            <w:shd w:val="clear" w:color="auto" w:fill="auto"/>
            <w:vAlign w:val="center"/>
          </w:tcPr>
          <w:p w14:paraId="58E7730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5" w:type="dxa"/>
            <w:tcBorders>
              <w:top w:val="nil"/>
              <w:left w:val="nil"/>
              <w:bottom w:val="single" w:color="000000" w:sz="4" w:space="0"/>
              <w:right w:val="single" w:color="000000" w:sz="4" w:space="0"/>
            </w:tcBorders>
            <w:shd w:val="clear" w:color="auto" w:fill="auto"/>
            <w:vAlign w:val="center"/>
          </w:tcPr>
          <w:p w14:paraId="2E24305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3</w:t>
            </w:r>
          </w:p>
        </w:tc>
        <w:tc>
          <w:tcPr>
            <w:tcW w:w="709" w:type="dxa"/>
            <w:gridSpan w:val="2"/>
            <w:tcBorders>
              <w:top w:val="nil"/>
              <w:left w:val="nil"/>
              <w:bottom w:val="single" w:color="000000" w:sz="4" w:space="0"/>
              <w:right w:val="single" w:color="000000" w:sz="4" w:space="0"/>
            </w:tcBorders>
            <w:shd w:val="clear" w:color="auto" w:fill="auto"/>
            <w:vAlign w:val="center"/>
          </w:tcPr>
          <w:p w14:paraId="6EDF049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万元</w:t>
            </w:r>
          </w:p>
        </w:tc>
        <w:tc>
          <w:tcPr>
            <w:tcW w:w="851" w:type="dxa"/>
            <w:gridSpan w:val="2"/>
            <w:tcBorders>
              <w:top w:val="nil"/>
              <w:left w:val="nil"/>
              <w:bottom w:val="single" w:color="000000" w:sz="4" w:space="0"/>
              <w:right w:val="single" w:color="000000" w:sz="4" w:space="0"/>
            </w:tcBorders>
            <w:shd w:val="clear" w:color="auto" w:fill="auto"/>
            <w:vAlign w:val="center"/>
          </w:tcPr>
          <w:p w14:paraId="01B88EF0">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2.8</w:t>
            </w:r>
          </w:p>
        </w:tc>
        <w:tc>
          <w:tcPr>
            <w:tcW w:w="567" w:type="dxa"/>
            <w:tcBorders>
              <w:top w:val="nil"/>
              <w:left w:val="nil"/>
              <w:bottom w:val="single" w:color="000000" w:sz="4" w:space="0"/>
              <w:right w:val="single" w:color="000000" w:sz="4" w:space="0"/>
            </w:tcBorders>
            <w:shd w:val="clear" w:color="auto" w:fill="auto"/>
            <w:vAlign w:val="center"/>
          </w:tcPr>
          <w:p w14:paraId="2AF8B63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w:t>
            </w:r>
          </w:p>
        </w:tc>
        <w:tc>
          <w:tcPr>
            <w:tcW w:w="567" w:type="dxa"/>
            <w:tcBorders>
              <w:top w:val="nil"/>
              <w:left w:val="nil"/>
              <w:bottom w:val="single" w:color="000000" w:sz="4" w:space="0"/>
              <w:right w:val="single" w:color="000000" w:sz="4" w:space="0"/>
            </w:tcBorders>
            <w:shd w:val="clear" w:color="auto" w:fill="auto"/>
            <w:vAlign w:val="center"/>
          </w:tcPr>
          <w:p w14:paraId="1B119EE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　</w:t>
            </w:r>
          </w:p>
        </w:tc>
        <w:tc>
          <w:tcPr>
            <w:tcW w:w="1302" w:type="dxa"/>
            <w:tcBorders>
              <w:top w:val="nil"/>
              <w:left w:val="nil"/>
              <w:bottom w:val="single" w:color="000000" w:sz="4" w:space="0"/>
              <w:right w:val="single" w:color="000000" w:sz="4" w:space="0"/>
            </w:tcBorders>
            <w:shd w:val="clear" w:color="auto" w:fill="auto"/>
            <w:vAlign w:val="center"/>
          </w:tcPr>
          <w:p w14:paraId="5F88CBA0">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r>
      <w:tr w14:paraId="3635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6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E19D1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合计</w:t>
            </w:r>
          </w:p>
        </w:tc>
        <w:tc>
          <w:tcPr>
            <w:tcW w:w="567" w:type="dxa"/>
            <w:tcBorders>
              <w:top w:val="nil"/>
              <w:left w:val="nil"/>
              <w:bottom w:val="single" w:color="000000" w:sz="4" w:space="0"/>
              <w:right w:val="single" w:color="000000" w:sz="4" w:space="0"/>
            </w:tcBorders>
            <w:shd w:val="clear" w:color="auto" w:fill="auto"/>
            <w:vAlign w:val="center"/>
          </w:tcPr>
          <w:p w14:paraId="376BED6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w:t>
            </w:r>
          </w:p>
        </w:tc>
        <w:tc>
          <w:tcPr>
            <w:tcW w:w="567" w:type="dxa"/>
            <w:tcBorders>
              <w:top w:val="nil"/>
              <w:left w:val="nil"/>
              <w:bottom w:val="single" w:color="000000" w:sz="4" w:space="0"/>
              <w:right w:val="single" w:color="000000" w:sz="4" w:space="0"/>
            </w:tcBorders>
            <w:shd w:val="clear" w:color="auto" w:fill="auto"/>
            <w:vAlign w:val="center"/>
          </w:tcPr>
          <w:p w14:paraId="7DF1D3D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w:t>
            </w:r>
          </w:p>
        </w:tc>
        <w:tc>
          <w:tcPr>
            <w:tcW w:w="1302" w:type="dxa"/>
            <w:tcBorders>
              <w:top w:val="nil"/>
              <w:left w:val="nil"/>
              <w:bottom w:val="single" w:color="000000" w:sz="4" w:space="0"/>
              <w:right w:val="single" w:color="000000" w:sz="4" w:space="0"/>
            </w:tcBorders>
            <w:shd w:val="clear" w:color="auto" w:fill="auto"/>
            <w:vAlign w:val="center"/>
          </w:tcPr>
          <w:p w14:paraId="458D37C2">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　</w:t>
            </w:r>
          </w:p>
        </w:tc>
      </w:tr>
      <w:tr w14:paraId="01D2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14:paraId="199B89E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评价结论</w:t>
            </w:r>
          </w:p>
        </w:tc>
        <w:tc>
          <w:tcPr>
            <w:tcW w:w="8534" w:type="dxa"/>
            <w:gridSpan w:val="13"/>
            <w:tcBorders>
              <w:top w:val="single" w:color="000000" w:sz="4" w:space="0"/>
              <w:left w:val="nil"/>
              <w:bottom w:val="single" w:color="000000" w:sz="4" w:space="0"/>
              <w:right w:val="single" w:color="000000" w:sz="4" w:space="0"/>
            </w:tcBorders>
            <w:shd w:val="clear" w:color="auto" w:fill="auto"/>
            <w:vAlign w:val="center"/>
          </w:tcPr>
          <w:p w14:paraId="65EEEFC7">
            <w:pPr>
              <w:keepNext w:val="0"/>
              <w:keepLines w:val="0"/>
              <w:widowControl/>
              <w:suppressLineNumbers w:val="0"/>
              <w:spacing w:before="0" w:beforeAutospacing="0" w:after="0" w:afterAutospacing="0" w:line="180" w:lineRule="exact"/>
              <w:ind w:left="0" w:right="0"/>
              <w:jc w:val="left"/>
              <w:rPr>
                <w:rFonts w:hint="eastAsia" w:ascii="微软雅黑" w:hAnsi="微软雅黑" w:eastAsia="微软雅黑" w:cs="宋体"/>
                <w:i/>
                <w:iCs/>
                <w:color w:val="000000"/>
                <w:kern w:val="0"/>
                <w:sz w:val="15"/>
                <w:szCs w:val="15"/>
                <w:lang w:val="en-US"/>
              </w:rPr>
            </w:pPr>
            <w:r>
              <w:rPr>
                <w:rFonts w:hint="eastAsia" w:ascii="Courier New" w:hAnsi="Courier New" w:eastAsia="宋体" w:cs="Courier New"/>
                <w:color w:val="000000"/>
                <w:kern w:val="0"/>
                <w:sz w:val="15"/>
                <w:szCs w:val="15"/>
                <w:lang w:val="en-US" w:eastAsia="zh-CN" w:bidi="ar"/>
              </w:rPr>
              <w:t>通过开展</w:t>
            </w:r>
            <w:r>
              <w:rPr>
                <w:rFonts w:hint="default" w:ascii="Courier New" w:hAnsi="Courier New" w:eastAsia="宋体" w:cs="Courier New"/>
                <w:color w:val="000000"/>
                <w:kern w:val="0"/>
                <w:sz w:val="15"/>
                <w:szCs w:val="15"/>
                <w:lang w:val="en-US" w:eastAsia="zh-CN" w:bidi="ar"/>
              </w:rPr>
              <w:t>2023</w:t>
            </w:r>
            <w:r>
              <w:rPr>
                <w:rFonts w:hint="eastAsia" w:ascii="Courier New" w:hAnsi="Courier New" w:eastAsia="宋体" w:cs="Courier New"/>
                <w:color w:val="000000"/>
                <w:kern w:val="0"/>
                <w:sz w:val="15"/>
                <w:szCs w:val="15"/>
                <w:lang w:val="en-US" w:eastAsia="zh-CN" w:bidi="ar"/>
              </w:rPr>
              <w:t>年凉山州青少年科学调查体验活动、第</w:t>
            </w:r>
            <w:r>
              <w:rPr>
                <w:rFonts w:hint="default" w:ascii="Courier New" w:hAnsi="Courier New" w:eastAsia="宋体" w:cs="Courier New"/>
                <w:color w:val="000000"/>
                <w:kern w:val="0"/>
                <w:sz w:val="15"/>
                <w:szCs w:val="15"/>
                <w:lang w:val="en-US" w:eastAsia="zh-CN" w:bidi="ar"/>
              </w:rPr>
              <w:t>15</w:t>
            </w:r>
            <w:r>
              <w:rPr>
                <w:rFonts w:hint="eastAsia" w:ascii="Courier New" w:hAnsi="Courier New" w:eastAsia="宋体" w:cs="Courier New"/>
                <w:color w:val="000000"/>
                <w:kern w:val="0"/>
                <w:sz w:val="15"/>
                <w:szCs w:val="15"/>
                <w:lang w:val="en-US" w:eastAsia="zh-CN" w:bidi="ar"/>
              </w:rPr>
              <w:t>届凉山州青少年科学影像节活动、科普大篷车进校园活动、科学家讲中国式现代化等活动，广泛地普及科学知识，极大地培养了青少年的科学兴趣，锻炼了实践能力，提升了科学素养。从预算执行情况、效益、满意度指标等进行了以上打分，预算执行率</w:t>
            </w:r>
            <w:r>
              <w:rPr>
                <w:rFonts w:hint="default" w:ascii="Courier New" w:hAnsi="Courier New" w:eastAsia="宋体" w:cs="Courier New"/>
                <w:color w:val="000000"/>
                <w:kern w:val="0"/>
                <w:sz w:val="15"/>
                <w:szCs w:val="15"/>
                <w:lang w:val="en-US" w:eastAsia="zh-CN" w:bidi="ar"/>
              </w:rPr>
              <w:t>100%</w:t>
            </w:r>
            <w:r>
              <w:rPr>
                <w:rFonts w:hint="eastAsia" w:ascii="Courier New" w:hAnsi="Courier New" w:eastAsia="宋体" w:cs="Courier New"/>
                <w:color w:val="000000"/>
                <w:kern w:val="0"/>
                <w:sz w:val="15"/>
                <w:szCs w:val="15"/>
                <w:lang w:val="en-US" w:eastAsia="zh-CN" w:bidi="ar"/>
              </w:rPr>
              <w:t>，执行情况良好，自评得分</w:t>
            </w:r>
            <w:r>
              <w:rPr>
                <w:rFonts w:hint="default" w:ascii="Courier New" w:hAnsi="Courier New" w:eastAsia="宋体" w:cs="Courier New"/>
                <w:color w:val="000000"/>
                <w:kern w:val="0"/>
                <w:sz w:val="15"/>
                <w:szCs w:val="15"/>
                <w:lang w:val="en-US" w:eastAsia="zh-CN" w:bidi="ar"/>
              </w:rPr>
              <w:t>100</w:t>
            </w:r>
            <w:r>
              <w:rPr>
                <w:rFonts w:hint="eastAsia" w:ascii="Courier New" w:hAnsi="Courier New" w:eastAsia="宋体" w:cs="Courier New"/>
                <w:color w:val="000000"/>
                <w:kern w:val="0"/>
                <w:sz w:val="15"/>
                <w:szCs w:val="15"/>
                <w:lang w:val="en-US" w:eastAsia="zh-CN" w:bidi="ar"/>
              </w:rPr>
              <w:t>分。</w:t>
            </w:r>
          </w:p>
        </w:tc>
      </w:tr>
      <w:tr w14:paraId="6891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14:paraId="64ACD25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存在问题</w:t>
            </w:r>
          </w:p>
        </w:tc>
        <w:tc>
          <w:tcPr>
            <w:tcW w:w="8534" w:type="dxa"/>
            <w:gridSpan w:val="13"/>
            <w:tcBorders>
              <w:top w:val="single" w:color="000000" w:sz="4" w:space="0"/>
              <w:left w:val="nil"/>
              <w:bottom w:val="single" w:color="000000" w:sz="4" w:space="0"/>
              <w:right w:val="single" w:color="000000" w:sz="4" w:space="0"/>
            </w:tcBorders>
            <w:shd w:val="clear" w:color="auto" w:fill="auto"/>
            <w:vAlign w:val="center"/>
          </w:tcPr>
          <w:p w14:paraId="73517151">
            <w:pPr>
              <w:keepNext w:val="0"/>
              <w:keepLines w:val="0"/>
              <w:widowControl/>
              <w:suppressLineNumbers w:val="0"/>
              <w:spacing w:before="0" w:beforeAutospacing="0" w:after="0" w:afterAutospacing="0" w:line="180" w:lineRule="exact"/>
              <w:ind w:left="0" w:right="0"/>
              <w:jc w:val="left"/>
              <w:rPr>
                <w:rFonts w:hint="eastAsia" w:ascii="微软雅黑" w:hAnsi="微软雅黑" w:eastAsia="微软雅黑" w:cs="宋体"/>
                <w:color w:val="000000"/>
                <w:kern w:val="0"/>
                <w:sz w:val="15"/>
                <w:szCs w:val="15"/>
                <w:lang w:val="en-US"/>
              </w:rPr>
            </w:pPr>
            <w:r>
              <w:rPr>
                <w:rFonts w:hint="eastAsia" w:ascii="微软雅黑" w:hAnsi="微软雅黑" w:eastAsia="微软雅黑" w:cs="宋体"/>
                <w:color w:val="000000"/>
                <w:kern w:val="0"/>
                <w:sz w:val="15"/>
                <w:szCs w:val="15"/>
                <w:lang w:val="en-US" w:eastAsia="zh-CN" w:bidi="ar"/>
              </w:rPr>
              <w:t>活动参与面和覆盖面不够广</w:t>
            </w:r>
          </w:p>
        </w:tc>
      </w:tr>
      <w:tr w14:paraId="51CD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14:paraId="3B104D8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改进措施</w:t>
            </w:r>
          </w:p>
        </w:tc>
        <w:tc>
          <w:tcPr>
            <w:tcW w:w="8534" w:type="dxa"/>
            <w:gridSpan w:val="13"/>
            <w:tcBorders>
              <w:top w:val="single" w:color="000000" w:sz="4" w:space="0"/>
              <w:left w:val="nil"/>
              <w:bottom w:val="single" w:color="000000" w:sz="4" w:space="0"/>
              <w:right w:val="single" w:color="000000" w:sz="4" w:space="0"/>
            </w:tcBorders>
            <w:shd w:val="clear" w:color="auto" w:fill="auto"/>
            <w:vAlign w:val="center"/>
          </w:tcPr>
          <w:p w14:paraId="4CF5E479">
            <w:pPr>
              <w:keepNext w:val="0"/>
              <w:keepLines w:val="0"/>
              <w:widowControl/>
              <w:suppressLineNumbers w:val="0"/>
              <w:spacing w:before="0" w:beforeAutospacing="0" w:after="0" w:afterAutospacing="0" w:line="180" w:lineRule="exact"/>
              <w:ind w:left="0" w:right="0"/>
              <w:jc w:val="left"/>
              <w:rPr>
                <w:rFonts w:hint="eastAsia" w:ascii="微软雅黑" w:hAnsi="微软雅黑" w:eastAsia="微软雅黑" w:cs="宋体"/>
                <w:color w:val="000000"/>
                <w:kern w:val="0"/>
                <w:sz w:val="15"/>
                <w:szCs w:val="15"/>
                <w:lang w:val="en-US"/>
              </w:rPr>
            </w:pPr>
            <w:r>
              <w:rPr>
                <w:rFonts w:hint="eastAsia" w:ascii="微软雅黑" w:hAnsi="微软雅黑" w:eastAsia="微软雅黑" w:cs="宋体"/>
                <w:color w:val="000000"/>
                <w:kern w:val="0"/>
                <w:sz w:val="15"/>
                <w:szCs w:val="15"/>
                <w:lang w:val="en-US" w:eastAsia="zh-CN" w:bidi="ar"/>
              </w:rPr>
              <w:t>建议增加经费预算，加大对经济较落后县市学校科普设施设备和科普资源的投入，以利于活动更加广泛深入的开展。</w:t>
            </w:r>
          </w:p>
        </w:tc>
      </w:tr>
      <w:tr w14:paraId="2DB6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6CF79">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项目负责人：吴朝兰</w:t>
            </w:r>
          </w:p>
        </w:tc>
        <w:tc>
          <w:tcPr>
            <w:tcW w:w="4643" w:type="dxa"/>
            <w:gridSpan w:val="9"/>
            <w:tcBorders>
              <w:top w:val="single" w:color="000000" w:sz="4" w:space="0"/>
              <w:left w:val="nil"/>
              <w:bottom w:val="single" w:color="000000" w:sz="4" w:space="0"/>
              <w:right w:val="single" w:color="000000" w:sz="4" w:space="0"/>
            </w:tcBorders>
            <w:shd w:val="clear" w:color="auto" w:fill="auto"/>
            <w:vAlign w:val="center"/>
          </w:tcPr>
          <w:p w14:paraId="5DDEABC9">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财务负责人：毛正华</w:t>
            </w:r>
          </w:p>
        </w:tc>
      </w:tr>
    </w:tbl>
    <w:p w14:paraId="2D656D5E">
      <w:pPr>
        <w:keepNext w:val="0"/>
        <w:keepLines w:val="0"/>
        <w:widowControl w:val="0"/>
        <w:suppressLineNumbers w:val="0"/>
        <w:spacing w:before="0" w:beforeAutospacing="0" w:after="0" w:afterAutospacing="0" w:line="180" w:lineRule="exact"/>
        <w:ind w:left="0" w:right="0"/>
        <w:jc w:val="both"/>
        <w:rPr>
          <w:sz w:val="15"/>
          <w:szCs w:val="15"/>
          <w:lang w:val="en-US"/>
        </w:rPr>
      </w:pPr>
    </w:p>
    <w:tbl>
      <w:tblPr>
        <w:tblStyle w:val="18"/>
        <w:tblW w:w="9237"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9"/>
        <w:gridCol w:w="783"/>
        <w:gridCol w:w="70"/>
        <w:gridCol w:w="869"/>
        <w:gridCol w:w="149"/>
        <w:gridCol w:w="1024"/>
        <w:gridCol w:w="230"/>
        <w:gridCol w:w="321"/>
        <w:gridCol w:w="191"/>
        <w:gridCol w:w="335"/>
        <w:gridCol w:w="218"/>
        <w:gridCol w:w="527"/>
        <w:gridCol w:w="11"/>
        <w:gridCol w:w="142"/>
        <w:gridCol w:w="715"/>
        <w:gridCol w:w="18"/>
        <w:gridCol w:w="603"/>
        <w:gridCol w:w="26"/>
        <w:gridCol w:w="545"/>
        <w:gridCol w:w="53"/>
        <w:gridCol w:w="625"/>
        <w:gridCol w:w="1067"/>
      </w:tblGrid>
      <w:tr w14:paraId="0DF1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923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2E27E61D">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宋体"/>
                <w:b/>
                <w:bCs/>
                <w:color w:val="000000"/>
                <w:kern w:val="0"/>
                <w:sz w:val="15"/>
                <w:szCs w:val="15"/>
                <w:lang w:val="en-US"/>
              </w:rPr>
            </w:pPr>
            <w:r>
              <w:rPr>
                <w:rFonts w:hint="eastAsia" w:ascii="黑体" w:hAnsi="宋体" w:eastAsia="黑体" w:cs="宋体"/>
                <w:b/>
                <w:bCs/>
                <w:color w:val="000000"/>
                <w:kern w:val="0"/>
                <w:sz w:val="24"/>
                <w:szCs w:val="24"/>
                <w:lang w:val="en-US" w:eastAsia="zh-CN" w:bidi="ar"/>
              </w:rPr>
              <w:t>部门预算项目支出绩效自评表（2023年度）</w:t>
            </w:r>
          </w:p>
        </w:tc>
      </w:tr>
      <w:tr w14:paraId="340F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82054">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项目名称</w:t>
            </w:r>
          </w:p>
        </w:tc>
        <w:tc>
          <w:tcPr>
            <w:tcW w:w="7739" w:type="dxa"/>
            <w:gridSpan w:val="20"/>
            <w:tcBorders>
              <w:top w:val="single" w:color="000000" w:sz="4" w:space="0"/>
              <w:left w:val="nil"/>
              <w:bottom w:val="single" w:color="000000" w:sz="4" w:space="0"/>
              <w:right w:val="single" w:color="000000" w:sz="4" w:space="0"/>
            </w:tcBorders>
            <w:shd w:val="clear" w:color="auto" w:fill="auto"/>
            <w:vAlign w:val="center"/>
          </w:tcPr>
          <w:p w14:paraId="654CBDED">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51340022T000000278908-凉山州级科普专项经费（</w:t>
            </w:r>
            <w:r>
              <w:rPr>
                <w:rFonts w:hint="eastAsia" w:ascii="宋体" w:hAnsi="宋体" w:eastAsia="宋体" w:cs="宋体"/>
                <w:kern w:val="0"/>
                <w:sz w:val="15"/>
                <w:szCs w:val="15"/>
                <w:lang w:val="en-US" w:eastAsia="zh-CN" w:bidi="ar"/>
              </w:rPr>
              <w:t>第38届凉山州青少年科技创新大赛</w:t>
            </w:r>
            <w:r>
              <w:rPr>
                <w:rFonts w:hint="eastAsia" w:ascii="宋体" w:hAnsi="宋体" w:eastAsia="宋体" w:cs="宋体"/>
                <w:color w:val="000000"/>
                <w:kern w:val="0"/>
                <w:sz w:val="15"/>
                <w:szCs w:val="15"/>
                <w:lang w:val="en-US" w:eastAsia="zh-CN" w:bidi="ar"/>
              </w:rPr>
              <w:t>）</w:t>
            </w:r>
          </w:p>
        </w:tc>
      </w:tr>
      <w:tr w14:paraId="0298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84BD1">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主管部门</w:t>
            </w:r>
          </w:p>
        </w:tc>
        <w:tc>
          <w:tcPr>
            <w:tcW w:w="3934" w:type="dxa"/>
            <w:gridSpan w:val="10"/>
            <w:tcBorders>
              <w:top w:val="single" w:color="000000" w:sz="4" w:space="0"/>
              <w:left w:val="nil"/>
              <w:bottom w:val="single" w:color="000000" w:sz="4" w:space="0"/>
              <w:right w:val="single" w:color="000000" w:sz="4" w:space="0"/>
            </w:tcBorders>
            <w:shd w:val="clear" w:color="auto" w:fill="auto"/>
            <w:vAlign w:val="center"/>
          </w:tcPr>
          <w:p w14:paraId="7458BD81">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凉山州科学技术协会部门</w:t>
            </w:r>
          </w:p>
        </w:tc>
        <w:tc>
          <w:tcPr>
            <w:tcW w:w="886" w:type="dxa"/>
            <w:gridSpan w:val="4"/>
            <w:shd w:val="clear" w:color="auto" w:fill="auto"/>
            <w:vAlign w:val="center"/>
          </w:tcPr>
          <w:p w14:paraId="276D643D">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实施单位</w:t>
            </w:r>
            <w:r>
              <w:rPr>
                <w:rFonts w:hint="default" w:ascii="Courier New" w:hAnsi="Courier New" w:eastAsia="宋体" w:cs="Courier New"/>
                <w:color w:val="000000"/>
                <w:kern w:val="0"/>
                <w:sz w:val="15"/>
                <w:szCs w:val="15"/>
                <w:lang w:val="en-US" w:eastAsia="zh-CN" w:bidi="ar"/>
              </w:rPr>
              <w:t xml:space="preserve"> </w:t>
            </w:r>
            <w:r>
              <w:rPr>
                <w:rFonts w:hint="eastAsia" w:ascii="Courier New" w:hAnsi="Courier New" w:eastAsia="宋体" w:cs="Courier New"/>
                <w:color w:val="000000"/>
                <w:kern w:val="0"/>
                <w:sz w:val="15"/>
                <w:szCs w:val="15"/>
                <w:lang w:val="en-US" w:eastAsia="zh-CN" w:bidi="ar"/>
              </w:rPr>
              <w:t>（盖章）</w:t>
            </w:r>
          </w:p>
        </w:tc>
        <w:tc>
          <w:tcPr>
            <w:tcW w:w="29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80E39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凉山州科学技术协会</w:t>
            </w:r>
          </w:p>
        </w:tc>
      </w:tr>
      <w:tr w14:paraId="7077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5"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71A96F63">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项目基本情况</w:t>
            </w:r>
          </w:p>
        </w:tc>
        <w:tc>
          <w:tcPr>
            <w:tcW w:w="783" w:type="dxa"/>
            <w:vMerge w:val="restart"/>
            <w:tcBorders>
              <w:top w:val="nil"/>
              <w:left w:val="single" w:color="000000" w:sz="4" w:space="0"/>
              <w:bottom w:val="single" w:color="000000" w:sz="4" w:space="0"/>
              <w:right w:val="single" w:color="000000" w:sz="4" w:space="0"/>
            </w:tcBorders>
            <w:shd w:val="clear" w:color="auto" w:fill="auto"/>
            <w:vAlign w:val="center"/>
          </w:tcPr>
          <w:p w14:paraId="3D047956">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1.项目年度目标完成情况</w:t>
            </w:r>
          </w:p>
        </w:tc>
        <w:tc>
          <w:tcPr>
            <w:tcW w:w="3934" w:type="dxa"/>
            <w:gridSpan w:val="10"/>
            <w:tcBorders>
              <w:top w:val="single" w:color="000000" w:sz="4" w:space="0"/>
              <w:left w:val="nil"/>
              <w:bottom w:val="single" w:color="000000" w:sz="4" w:space="0"/>
              <w:right w:val="single" w:color="000000" w:sz="4" w:space="0"/>
            </w:tcBorders>
            <w:shd w:val="clear" w:color="auto" w:fill="auto"/>
            <w:vAlign w:val="center"/>
          </w:tcPr>
          <w:p w14:paraId="236B3AA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项目年度目标</w:t>
            </w:r>
          </w:p>
        </w:tc>
        <w:tc>
          <w:tcPr>
            <w:tcW w:w="3805" w:type="dxa"/>
            <w:gridSpan w:val="10"/>
            <w:tcBorders>
              <w:top w:val="single" w:color="000000" w:sz="4" w:space="0"/>
              <w:left w:val="nil"/>
              <w:bottom w:val="single" w:color="000000" w:sz="4" w:space="0"/>
              <w:right w:val="single" w:color="000000" w:sz="4" w:space="0"/>
            </w:tcBorders>
            <w:shd w:val="clear" w:color="auto" w:fill="auto"/>
            <w:vAlign w:val="center"/>
          </w:tcPr>
          <w:p w14:paraId="0B55A540">
            <w:pPr>
              <w:keepNext w:val="0"/>
              <w:keepLines w:val="0"/>
              <w:widowControl/>
              <w:suppressLineNumbers w:val="0"/>
              <w:spacing w:before="0" w:beforeAutospacing="0" w:after="0" w:afterAutospacing="0" w:line="180" w:lineRule="exact"/>
              <w:ind w:left="0" w:right="0"/>
              <w:jc w:val="center"/>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年度目标完成情况</w:t>
            </w:r>
          </w:p>
        </w:tc>
      </w:tr>
      <w:tr w14:paraId="36D0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696342B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vMerge w:val="continue"/>
            <w:tcBorders>
              <w:top w:val="nil"/>
              <w:left w:val="single" w:color="000000" w:sz="4" w:space="0"/>
              <w:bottom w:val="single" w:color="000000" w:sz="4" w:space="0"/>
              <w:right w:val="single" w:color="000000" w:sz="4" w:space="0"/>
            </w:tcBorders>
            <w:shd w:val="clear" w:color="auto" w:fill="auto"/>
            <w:vAlign w:val="center"/>
          </w:tcPr>
          <w:p w14:paraId="7512205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3934" w:type="dxa"/>
            <w:gridSpan w:val="10"/>
            <w:tcBorders>
              <w:top w:val="single" w:color="000000" w:sz="4" w:space="0"/>
              <w:left w:val="nil"/>
              <w:bottom w:val="single" w:color="000000" w:sz="4" w:space="0"/>
              <w:right w:val="single" w:color="000000" w:sz="4" w:space="0"/>
            </w:tcBorders>
            <w:shd w:val="clear" w:color="auto" w:fill="auto"/>
            <w:vAlign w:val="center"/>
          </w:tcPr>
          <w:p w14:paraId="7BEB6CF9">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举办</w:t>
            </w:r>
            <w:bookmarkStart w:id="110" w:name="OLE_LINK61"/>
            <w:r>
              <w:rPr>
                <w:rFonts w:hint="eastAsia" w:ascii="宋体" w:hAnsi="宋体" w:eastAsia="宋体" w:cs="宋体"/>
                <w:kern w:val="0"/>
                <w:sz w:val="15"/>
                <w:szCs w:val="15"/>
                <w:lang w:val="en-US" w:eastAsia="zh-CN" w:bidi="ar"/>
              </w:rPr>
              <w:t>第38届凉山州青少年科技创新大赛</w:t>
            </w:r>
            <w:bookmarkEnd w:id="110"/>
            <w:r>
              <w:rPr>
                <w:rFonts w:hint="eastAsia" w:ascii="宋体" w:hAnsi="宋体" w:eastAsia="宋体" w:cs="宋体"/>
                <w:kern w:val="0"/>
                <w:sz w:val="15"/>
                <w:szCs w:val="15"/>
                <w:lang w:val="en-US" w:eastAsia="zh-CN" w:bidi="ar"/>
              </w:rPr>
              <w:t>，大赛计划在初评环节，组织住专家评委对申报作品进行初评；对入围作品进行终评，对终评出的优秀作品进行公开展示和开展交流活动，</w:t>
            </w:r>
          </w:p>
        </w:tc>
        <w:tc>
          <w:tcPr>
            <w:tcW w:w="3805" w:type="dxa"/>
            <w:gridSpan w:val="10"/>
            <w:tcBorders>
              <w:top w:val="single" w:color="000000" w:sz="4" w:space="0"/>
              <w:left w:val="nil"/>
              <w:bottom w:val="single" w:color="000000" w:sz="4" w:space="0"/>
              <w:right w:val="single" w:color="000000" w:sz="4" w:space="0"/>
            </w:tcBorders>
            <w:shd w:val="clear" w:color="auto" w:fill="auto"/>
            <w:vAlign w:val="center"/>
          </w:tcPr>
          <w:p w14:paraId="35C91358">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大赛完成了开展初评环节，组织13位评委对申报作品进行初评;终评展示环节，对入围终评的竞赛类作品进行了现场问辩和公开展示，400余名青少年和科技教师参加封闭问辩、公开展示评出的优秀作品和开展交流活动，</w:t>
            </w:r>
          </w:p>
        </w:tc>
      </w:tr>
      <w:tr w14:paraId="7B67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22E5759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tcBorders>
              <w:top w:val="nil"/>
              <w:left w:val="nil"/>
              <w:bottom w:val="single" w:color="000000" w:sz="4" w:space="0"/>
              <w:right w:val="single" w:color="000000" w:sz="4" w:space="0"/>
            </w:tcBorders>
            <w:shd w:val="clear" w:color="auto" w:fill="auto"/>
            <w:vAlign w:val="center"/>
          </w:tcPr>
          <w:p w14:paraId="66CD41C4">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2.项目实施内容及过程概述</w:t>
            </w:r>
          </w:p>
        </w:tc>
        <w:tc>
          <w:tcPr>
            <w:tcW w:w="7739" w:type="dxa"/>
            <w:gridSpan w:val="20"/>
            <w:tcBorders>
              <w:top w:val="single" w:color="000000" w:sz="4" w:space="0"/>
              <w:left w:val="nil"/>
              <w:bottom w:val="single" w:color="000000" w:sz="4" w:space="0"/>
              <w:right w:val="single" w:color="000000" w:sz="4" w:space="0"/>
            </w:tcBorders>
            <w:shd w:val="clear" w:color="auto" w:fill="auto"/>
            <w:vAlign w:val="center"/>
          </w:tcPr>
          <w:p w14:paraId="19153D65">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大赛于2023年5月启动工作，全州共有430余所中小学、16.2万余名中小学师生参加活动。大赛共征集作品995项，经资格审查和专家初评，淘汰质量较差作品285项，确定入围终评作品710项。于12月14日-16日在凉山州航天科普教育基地隆重举行终评展示会，对98项青少年科技创新作品、85项辅导员创新作品进行了现场问辩，对11项优秀科技实践活动和67幅少儿科幻绘画作品进行了公开展示。</w:t>
            </w:r>
          </w:p>
        </w:tc>
      </w:tr>
      <w:tr w14:paraId="7CC77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15"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432FD09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预算执行情况（10分）</w:t>
            </w:r>
          </w:p>
        </w:tc>
        <w:tc>
          <w:tcPr>
            <w:tcW w:w="783" w:type="dxa"/>
            <w:tcBorders>
              <w:top w:val="nil"/>
              <w:left w:val="nil"/>
              <w:bottom w:val="single" w:color="000000" w:sz="4" w:space="0"/>
              <w:right w:val="single" w:color="000000" w:sz="4" w:space="0"/>
            </w:tcBorders>
            <w:shd w:val="clear" w:color="auto" w:fill="auto"/>
            <w:vAlign w:val="center"/>
          </w:tcPr>
          <w:p w14:paraId="168CE4F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年度预算数（万元）</w:t>
            </w:r>
          </w:p>
        </w:tc>
        <w:tc>
          <w:tcPr>
            <w:tcW w:w="1088" w:type="dxa"/>
            <w:gridSpan w:val="3"/>
            <w:tcBorders>
              <w:top w:val="nil"/>
              <w:left w:val="nil"/>
              <w:bottom w:val="single" w:color="000000" w:sz="4" w:space="0"/>
              <w:right w:val="single" w:color="000000" w:sz="4" w:space="0"/>
            </w:tcBorders>
            <w:shd w:val="clear" w:color="auto" w:fill="auto"/>
            <w:vAlign w:val="center"/>
          </w:tcPr>
          <w:p w14:paraId="10BA671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年初预算</w:t>
            </w:r>
          </w:p>
        </w:tc>
        <w:tc>
          <w:tcPr>
            <w:tcW w:w="1766" w:type="dxa"/>
            <w:gridSpan w:val="4"/>
            <w:tcBorders>
              <w:top w:val="nil"/>
              <w:left w:val="nil"/>
              <w:bottom w:val="single" w:color="000000" w:sz="4" w:space="0"/>
              <w:right w:val="single" w:color="000000" w:sz="4" w:space="0"/>
            </w:tcBorders>
            <w:shd w:val="clear" w:color="auto" w:fill="auto"/>
            <w:vAlign w:val="center"/>
          </w:tcPr>
          <w:p w14:paraId="78859DF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调整后预算数</w:t>
            </w:r>
          </w:p>
        </w:tc>
        <w:tc>
          <w:tcPr>
            <w:tcW w:w="1233" w:type="dxa"/>
            <w:gridSpan w:val="5"/>
            <w:tcBorders>
              <w:top w:val="single" w:color="000000" w:sz="4" w:space="0"/>
              <w:left w:val="nil"/>
              <w:bottom w:val="single" w:color="000000" w:sz="4" w:space="0"/>
              <w:right w:val="single" w:color="000000" w:sz="4" w:space="0"/>
            </w:tcBorders>
            <w:shd w:val="clear" w:color="auto" w:fill="auto"/>
            <w:vAlign w:val="center"/>
          </w:tcPr>
          <w:p w14:paraId="5BB2BB3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预算执行数</w:t>
            </w:r>
          </w:p>
        </w:tc>
        <w:tc>
          <w:tcPr>
            <w:tcW w:w="733" w:type="dxa"/>
            <w:gridSpan w:val="2"/>
            <w:tcBorders>
              <w:top w:val="nil"/>
              <w:left w:val="nil"/>
              <w:bottom w:val="single" w:color="000000" w:sz="4" w:space="0"/>
              <w:right w:val="single" w:color="000000" w:sz="4" w:space="0"/>
            </w:tcBorders>
            <w:shd w:val="clear" w:color="auto" w:fill="auto"/>
            <w:vAlign w:val="center"/>
          </w:tcPr>
          <w:p w14:paraId="06C82FB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预算执行率</w:t>
            </w:r>
          </w:p>
        </w:tc>
        <w:tc>
          <w:tcPr>
            <w:tcW w:w="1174" w:type="dxa"/>
            <w:gridSpan w:val="3"/>
            <w:tcBorders>
              <w:top w:val="nil"/>
              <w:left w:val="nil"/>
              <w:bottom w:val="single" w:color="000000" w:sz="4" w:space="0"/>
              <w:right w:val="single" w:color="000000" w:sz="4" w:space="0"/>
            </w:tcBorders>
            <w:shd w:val="clear" w:color="auto" w:fill="auto"/>
            <w:vAlign w:val="center"/>
          </w:tcPr>
          <w:p w14:paraId="5CBEA81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权重</w:t>
            </w:r>
          </w:p>
        </w:tc>
        <w:tc>
          <w:tcPr>
            <w:tcW w:w="678" w:type="dxa"/>
            <w:gridSpan w:val="2"/>
            <w:tcBorders>
              <w:top w:val="nil"/>
              <w:left w:val="nil"/>
              <w:bottom w:val="single" w:color="000000" w:sz="4" w:space="0"/>
              <w:right w:val="single" w:color="000000" w:sz="4" w:space="0"/>
            </w:tcBorders>
            <w:shd w:val="clear" w:color="auto" w:fill="auto"/>
            <w:vAlign w:val="center"/>
          </w:tcPr>
          <w:p w14:paraId="6F1C35D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得分</w:t>
            </w:r>
          </w:p>
        </w:tc>
        <w:tc>
          <w:tcPr>
            <w:tcW w:w="1067" w:type="dxa"/>
            <w:tcBorders>
              <w:top w:val="nil"/>
              <w:left w:val="nil"/>
              <w:bottom w:val="single" w:color="000000" w:sz="4" w:space="0"/>
              <w:right w:val="single" w:color="000000" w:sz="4" w:space="0"/>
            </w:tcBorders>
            <w:shd w:val="clear" w:color="auto" w:fill="auto"/>
            <w:vAlign w:val="center"/>
          </w:tcPr>
          <w:p w14:paraId="4592A87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原因</w:t>
            </w:r>
          </w:p>
        </w:tc>
      </w:tr>
      <w:tr w14:paraId="2ED0A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6CBB98F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tcBorders>
              <w:top w:val="nil"/>
              <w:left w:val="nil"/>
              <w:bottom w:val="single" w:color="000000" w:sz="4" w:space="0"/>
              <w:right w:val="single" w:color="000000" w:sz="4" w:space="0"/>
            </w:tcBorders>
            <w:shd w:val="clear" w:color="auto" w:fill="auto"/>
            <w:vAlign w:val="center"/>
          </w:tcPr>
          <w:p w14:paraId="5A8C0F6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总额</w:t>
            </w:r>
          </w:p>
        </w:tc>
        <w:tc>
          <w:tcPr>
            <w:tcW w:w="1088" w:type="dxa"/>
            <w:gridSpan w:val="3"/>
            <w:tcBorders>
              <w:top w:val="nil"/>
              <w:left w:val="nil"/>
              <w:bottom w:val="single" w:color="000000" w:sz="4" w:space="0"/>
              <w:right w:val="single" w:color="000000" w:sz="4" w:space="0"/>
            </w:tcBorders>
            <w:shd w:val="clear" w:color="auto" w:fill="auto"/>
            <w:vAlign w:val="center"/>
          </w:tcPr>
          <w:p w14:paraId="3813B30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11</w:t>
            </w:r>
          </w:p>
        </w:tc>
        <w:tc>
          <w:tcPr>
            <w:tcW w:w="1766" w:type="dxa"/>
            <w:gridSpan w:val="4"/>
            <w:tcBorders>
              <w:top w:val="nil"/>
              <w:left w:val="nil"/>
              <w:bottom w:val="single" w:color="000000" w:sz="4" w:space="0"/>
              <w:right w:val="single" w:color="000000" w:sz="4" w:space="0"/>
            </w:tcBorders>
            <w:shd w:val="clear" w:color="auto" w:fill="auto"/>
            <w:vAlign w:val="center"/>
          </w:tcPr>
          <w:p w14:paraId="3F06364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25.52</w:t>
            </w:r>
          </w:p>
        </w:tc>
        <w:tc>
          <w:tcPr>
            <w:tcW w:w="1233" w:type="dxa"/>
            <w:gridSpan w:val="5"/>
            <w:tcBorders>
              <w:top w:val="single" w:color="000000" w:sz="4" w:space="0"/>
              <w:left w:val="nil"/>
              <w:bottom w:val="single" w:color="000000" w:sz="4" w:space="0"/>
              <w:right w:val="single" w:color="000000" w:sz="4" w:space="0"/>
            </w:tcBorders>
            <w:shd w:val="clear" w:color="auto" w:fill="auto"/>
            <w:vAlign w:val="center"/>
          </w:tcPr>
          <w:p w14:paraId="6D411F3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25.52</w:t>
            </w:r>
          </w:p>
        </w:tc>
        <w:tc>
          <w:tcPr>
            <w:tcW w:w="733" w:type="dxa"/>
            <w:gridSpan w:val="2"/>
            <w:tcBorders>
              <w:top w:val="nil"/>
              <w:left w:val="nil"/>
              <w:bottom w:val="single" w:color="000000" w:sz="4" w:space="0"/>
              <w:right w:val="single" w:color="000000" w:sz="4" w:space="0"/>
            </w:tcBorders>
            <w:shd w:val="clear" w:color="auto" w:fill="auto"/>
            <w:vAlign w:val="center"/>
          </w:tcPr>
          <w:p w14:paraId="7BCD82E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100.00%</w:t>
            </w:r>
          </w:p>
        </w:tc>
        <w:tc>
          <w:tcPr>
            <w:tcW w:w="1174" w:type="dxa"/>
            <w:gridSpan w:val="3"/>
            <w:tcBorders>
              <w:top w:val="nil"/>
              <w:left w:val="nil"/>
              <w:bottom w:val="single" w:color="000000" w:sz="4" w:space="0"/>
              <w:right w:val="single" w:color="000000" w:sz="4" w:space="0"/>
            </w:tcBorders>
            <w:shd w:val="clear" w:color="auto" w:fill="auto"/>
            <w:vAlign w:val="center"/>
          </w:tcPr>
          <w:p w14:paraId="7594A63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678" w:type="dxa"/>
            <w:gridSpan w:val="2"/>
            <w:tcBorders>
              <w:top w:val="nil"/>
              <w:left w:val="nil"/>
              <w:bottom w:val="single" w:color="000000" w:sz="4" w:space="0"/>
              <w:right w:val="single" w:color="000000" w:sz="4" w:space="0"/>
            </w:tcBorders>
            <w:shd w:val="clear" w:color="auto" w:fill="auto"/>
            <w:vAlign w:val="center"/>
          </w:tcPr>
          <w:p w14:paraId="6F7F913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067" w:type="dxa"/>
            <w:vMerge w:val="restart"/>
            <w:tcBorders>
              <w:top w:val="nil"/>
              <w:left w:val="single" w:color="000000" w:sz="4" w:space="0"/>
              <w:bottom w:val="single" w:color="000000" w:sz="4" w:space="0"/>
              <w:right w:val="single" w:color="000000" w:sz="4" w:space="0"/>
            </w:tcBorders>
            <w:shd w:val="clear" w:color="auto" w:fill="auto"/>
            <w:vAlign w:val="center"/>
          </w:tcPr>
          <w:p w14:paraId="386FC5A7">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i/>
                <w:iCs/>
                <w:color w:val="000000"/>
                <w:kern w:val="0"/>
                <w:sz w:val="15"/>
                <w:szCs w:val="15"/>
                <w:lang w:val="en-US"/>
              </w:rPr>
            </w:pPr>
          </w:p>
        </w:tc>
      </w:tr>
      <w:tr w14:paraId="2175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B0AB42B">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tcBorders>
              <w:top w:val="nil"/>
              <w:left w:val="nil"/>
              <w:bottom w:val="single" w:color="000000" w:sz="4" w:space="0"/>
              <w:right w:val="single" w:color="000000" w:sz="4" w:space="0"/>
            </w:tcBorders>
            <w:shd w:val="clear" w:color="auto" w:fill="auto"/>
            <w:vAlign w:val="center"/>
          </w:tcPr>
          <w:p w14:paraId="4A5394A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其中：财政资金</w:t>
            </w:r>
          </w:p>
        </w:tc>
        <w:tc>
          <w:tcPr>
            <w:tcW w:w="1088" w:type="dxa"/>
            <w:gridSpan w:val="3"/>
            <w:tcBorders>
              <w:top w:val="nil"/>
              <w:left w:val="nil"/>
              <w:bottom w:val="single" w:color="000000" w:sz="4" w:space="0"/>
              <w:right w:val="single" w:color="000000" w:sz="4" w:space="0"/>
            </w:tcBorders>
            <w:shd w:val="clear" w:color="auto" w:fill="auto"/>
            <w:vAlign w:val="center"/>
          </w:tcPr>
          <w:p w14:paraId="150063B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11</w:t>
            </w:r>
          </w:p>
        </w:tc>
        <w:tc>
          <w:tcPr>
            <w:tcW w:w="1766" w:type="dxa"/>
            <w:gridSpan w:val="4"/>
            <w:tcBorders>
              <w:top w:val="nil"/>
              <w:left w:val="nil"/>
              <w:bottom w:val="single" w:color="000000" w:sz="4" w:space="0"/>
              <w:right w:val="single" w:color="000000" w:sz="4" w:space="0"/>
            </w:tcBorders>
            <w:shd w:val="clear" w:color="auto" w:fill="auto"/>
            <w:vAlign w:val="center"/>
          </w:tcPr>
          <w:p w14:paraId="392E0A3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25.52</w:t>
            </w:r>
          </w:p>
        </w:tc>
        <w:tc>
          <w:tcPr>
            <w:tcW w:w="1233" w:type="dxa"/>
            <w:gridSpan w:val="5"/>
            <w:tcBorders>
              <w:top w:val="single" w:color="000000" w:sz="4" w:space="0"/>
              <w:left w:val="nil"/>
              <w:bottom w:val="single" w:color="000000" w:sz="4" w:space="0"/>
              <w:right w:val="single" w:color="000000" w:sz="4" w:space="0"/>
            </w:tcBorders>
            <w:shd w:val="clear" w:color="auto" w:fill="auto"/>
            <w:vAlign w:val="center"/>
          </w:tcPr>
          <w:p w14:paraId="31566BC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25.52</w:t>
            </w:r>
          </w:p>
        </w:tc>
        <w:tc>
          <w:tcPr>
            <w:tcW w:w="733" w:type="dxa"/>
            <w:gridSpan w:val="2"/>
            <w:tcBorders>
              <w:top w:val="nil"/>
              <w:left w:val="nil"/>
              <w:bottom w:val="single" w:color="000000" w:sz="4" w:space="0"/>
              <w:right w:val="single" w:color="000000" w:sz="4" w:space="0"/>
            </w:tcBorders>
            <w:shd w:val="clear" w:color="auto" w:fill="auto"/>
            <w:vAlign w:val="center"/>
          </w:tcPr>
          <w:p w14:paraId="72C75C6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100.00%</w:t>
            </w:r>
          </w:p>
        </w:tc>
        <w:tc>
          <w:tcPr>
            <w:tcW w:w="1174" w:type="dxa"/>
            <w:gridSpan w:val="3"/>
            <w:tcBorders>
              <w:top w:val="nil"/>
              <w:left w:val="nil"/>
              <w:bottom w:val="single" w:color="000000" w:sz="4" w:space="0"/>
              <w:right w:val="single" w:color="000000" w:sz="4" w:space="0"/>
            </w:tcBorders>
            <w:shd w:val="clear" w:color="auto" w:fill="auto"/>
            <w:vAlign w:val="center"/>
          </w:tcPr>
          <w:p w14:paraId="7E62D8D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678" w:type="dxa"/>
            <w:gridSpan w:val="2"/>
            <w:tcBorders>
              <w:top w:val="nil"/>
              <w:left w:val="nil"/>
              <w:bottom w:val="single" w:color="000000" w:sz="4" w:space="0"/>
              <w:right w:val="single" w:color="000000" w:sz="4" w:space="0"/>
            </w:tcBorders>
            <w:shd w:val="clear" w:color="auto" w:fill="auto"/>
            <w:vAlign w:val="center"/>
          </w:tcPr>
          <w:p w14:paraId="5AE8FDB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18F7980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298D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04FC101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tcBorders>
              <w:top w:val="nil"/>
              <w:left w:val="nil"/>
              <w:bottom w:val="single" w:color="000000" w:sz="4" w:space="0"/>
              <w:right w:val="single" w:color="000000" w:sz="4" w:space="0"/>
            </w:tcBorders>
            <w:shd w:val="clear" w:color="auto" w:fill="auto"/>
            <w:vAlign w:val="center"/>
          </w:tcPr>
          <w:p w14:paraId="14974F8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财政专户管理资金</w:t>
            </w:r>
          </w:p>
        </w:tc>
        <w:tc>
          <w:tcPr>
            <w:tcW w:w="1088" w:type="dxa"/>
            <w:gridSpan w:val="3"/>
            <w:tcBorders>
              <w:top w:val="nil"/>
              <w:left w:val="nil"/>
              <w:bottom w:val="single" w:color="000000" w:sz="4" w:space="0"/>
              <w:right w:val="single" w:color="000000" w:sz="4" w:space="0"/>
            </w:tcBorders>
            <w:shd w:val="clear" w:color="auto" w:fill="auto"/>
            <w:vAlign w:val="center"/>
          </w:tcPr>
          <w:p w14:paraId="5D27303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766" w:type="dxa"/>
            <w:gridSpan w:val="4"/>
            <w:tcBorders>
              <w:top w:val="nil"/>
              <w:left w:val="nil"/>
              <w:bottom w:val="single" w:color="000000" w:sz="4" w:space="0"/>
              <w:right w:val="single" w:color="000000" w:sz="4" w:space="0"/>
            </w:tcBorders>
            <w:shd w:val="clear" w:color="auto" w:fill="auto"/>
            <w:vAlign w:val="center"/>
          </w:tcPr>
          <w:p w14:paraId="54804C3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233" w:type="dxa"/>
            <w:gridSpan w:val="5"/>
            <w:tcBorders>
              <w:top w:val="single" w:color="000000" w:sz="4" w:space="0"/>
              <w:left w:val="nil"/>
              <w:bottom w:val="single" w:color="000000" w:sz="4" w:space="0"/>
              <w:right w:val="single" w:color="000000" w:sz="4" w:space="0"/>
            </w:tcBorders>
            <w:shd w:val="clear" w:color="auto" w:fill="auto"/>
            <w:vAlign w:val="center"/>
          </w:tcPr>
          <w:p w14:paraId="0D4D2B7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733" w:type="dxa"/>
            <w:gridSpan w:val="2"/>
            <w:tcBorders>
              <w:top w:val="nil"/>
              <w:left w:val="nil"/>
              <w:bottom w:val="single" w:color="000000" w:sz="4" w:space="0"/>
              <w:right w:val="single" w:color="000000" w:sz="4" w:space="0"/>
            </w:tcBorders>
            <w:shd w:val="clear" w:color="auto" w:fill="auto"/>
            <w:vAlign w:val="center"/>
          </w:tcPr>
          <w:p w14:paraId="680C773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174" w:type="dxa"/>
            <w:gridSpan w:val="3"/>
            <w:tcBorders>
              <w:top w:val="nil"/>
              <w:left w:val="nil"/>
              <w:bottom w:val="single" w:color="000000" w:sz="4" w:space="0"/>
              <w:right w:val="single" w:color="000000" w:sz="4" w:space="0"/>
            </w:tcBorders>
            <w:shd w:val="clear" w:color="auto" w:fill="auto"/>
            <w:vAlign w:val="center"/>
          </w:tcPr>
          <w:p w14:paraId="77B64E5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678" w:type="dxa"/>
            <w:gridSpan w:val="2"/>
            <w:tcBorders>
              <w:top w:val="nil"/>
              <w:left w:val="nil"/>
              <w:bottom w:val="single" w:color="000000" w:sz="4" w:space="0"/>
              <w:right w:val="single" w:color="000000" w:sz="4" w:space="0"/>
            </w:tcBorders>
            <w:shd w:val="clear" w:color="auto" w:fill="auto"/>
            <w:vAlign w:val="center"/>
          </w:tcPr>
          <w:p w14:paraId="34BC21C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09B2F4A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1846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259D03A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tcBorders>
              <w:top w:val="nil"/>
              <w:left w:val="nil"/>
              <w:bottom w:val="single" w:color="000000" w:sz="4" w:space="0"/>
              <w:right w:val="single" w:color="000000" w:sz="4" w:space="0"/>
            </w:tcBorders>
            <w:shd w:val="clear" w:color="auto" w:fill="auto"/>
            <w:vAlign w:val="center"/>
          </w:tcPr>
          <w:p w14:paraId="02BD8FF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单位资金</w:t>
            </w:r>
          </w:p>
        </w:tc>
        <w:tc>
          <w:tcPr>
            <w:tcW w:w="1088" w:type="dxa"/>
            <w:gridSpan w:val="3"/>
            <w:tcBorders>
              <w:top w:val="nil"/>
              <w:left w:val="nil"/>
              <w:bottom w:val="single" w:color="000000" w:sz="4" w:space="0"/>
              <w:right w:val="single" w:color="000000" w:sz="4" w:space="0"/>
            </w:tcBorders>
            <w:shd w:val="clear" w:color="auto" w:fill="auto"/>
            <w:vAlign w:val="center"/>
          </w:tcPr>
          <w:p w14:paraId="1B58349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766" w:type="dxa"/>
            <w:gridSpan w:val="4"/>
            <w:tcBorders>
              <w:top w:val="nil"/>
              <w:left w:val="nil"/>
              <w:bottom w:val="single" w:color="000000" w:sz="4" w:space="0"/>
              <w:right w:val="single" w:color="000000" w:sz="4" w:space="0"/>
            </w:tcBorders>
            <w:shd w:val="clear" w:color="auto" w:fill="auto"/>
            <w:vAlign w:val="center"/>
          </w:tcPr>
          <w:p w14:paraId="4D14B09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233" w:type="dxa"/>
            <w:gridSpan w:val="5"/>
            <w:tcBorders>
              <w:top w:val="single" w:color="000000" w:sz="4" w:space="0"/>
              <w:left w:val="nil"/>
              <w:bottom w:val="single" w:color="000000" w:sz="4" w:space="0"/>
              <w:right w:val="single" w:color="000000" w:sz="4" w:space="0"/>
            </w:tcBorders>
            <w:shd w:val="clear" w:color="auto" w:fill="auto"/>
            <w:vAlign w:val="center"/>
          </w:tcPr>
          <w:p w14:paraId="117ED66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733" w:type="dxa"/>
            <w:gridSpan w:val="2"/>
            <w:tcBorders>
              <w:top w:val="nil"/>
              <w:left w:val="nil"/>
              <w:bottom w:val="single" w:color="000000" w:sz="4" w:space="0"/>
              <w:right w:val="single" w:color="000000" w:sz="4" w:space="0"/>
            </w:tcBorders>
            <w:shd w:val="clear" w:color="auto" w:fill="auto"/>
            <w:vAlign w:val="center"/>
          </w:tcPr>
          <w:p w14:paraId="65066D1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174" w:type="dxa"/>
            <w:gridSpan w:val="3"/>
            <w:tcBorders>
              <w:top w:val="nil"/>
              <w:left w:val="nil"/>
              <w:bottom w:val="single" w:color="000000" w:sz="4" w:space="0"/>
              <w:right w:val="single" w:color="000000" w:sz="4" w:space="0"/>
            </w:tcBorders>
            <w:shd w:val="clear" w:color="auto" w:fill="auto"/>
            <w:vAlign w:val="center"/>
          </w:tcPr>
          <w:p w14:paraId="12B835D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678" w:type="dxa"/>
            <w:gridSpan w:val="2"/>
            <w:tcBorders>
              <w:top w:val="nil"/>
              <w:left w:val="nil"/>
              <w:bottom w:val="single" w:color="000000" w:sz="4" w:space="0"/>
              <w:right w:val="single" w:color="000000" w:sz="4" w:space="0"/>
            </w:tcBorders>
            <w:shd w:val="clear" w:color="auto" w:fill="auto"/>
            <w:vAlign w:val="center"/>
          </w:tcPr>
          <w:p w14:paraId="5BA302B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6CBA4C1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77B0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0A5B94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tcBorders>
              <w:top w:val="nil"/>
              <w:left w:val="nil"/>
              <w:bottom w:val="single" w:color="000000" w:sz="4" w:space="0"/>
              <w:right w:val="single" w:color="000000" w:sz="4" w:space="0"/>
            </w:tcBorders>
            <w:shd w:val="clear" w:color="auto" w:fill="auto"/>
            <w:vAlign w:val="center"/>
          </w:tcPr>
          <w:p w14:paraId="32B214E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其他资金</w:t>
            </w:r>
          </w:p>
        </w:tc>
        <w:tc>
          <w:tcPr>
            <w:tcW w:w="1088" w:type="dxa"/>
            <w:gridSpan w:val="3"/>
            <w:tcBorders>
              <w:top w:val="nil"/>
              <w:left w:val="nil"/>
              <w:bottom w:val="single" w:color="000000" w:sz="4" w:space="0"/>
              <w:right w:val="single" w:color="000000" w:sz="4" w:space="0"/>
            </w:tcBorders>
            <w:shd w:val="clear" w:color="auto" w:fill="auto"/>
            <w:vAlign w:val="center"/>
          </w:tcPr>
          <w:p w14:paraId="62B4B1CE">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1766" w:type="dxa"/>
            <w:gridSpan w:val="4"/>
            <w:tcBorders>
              <w:top w:val="nil"/>
              <w:left w:val="nil"/>
              <w:bottom w:val="single" w:color="000000" w:sz="4" w:space="0"/>
              <w:right w:val="single" w:color="000000" w:sz="4" w:space="0"/>
            </w:tcBorders>
            <w:shd w:val="clear" w:color="auto" w:fill="auto"/>
            <w:vAlign w:val="center"/>
          </w:tcPr>
          <w:p w14:paraId="537FF83D">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1233" w:type="dxa"/>
            <w:gridSpan w:val="5"/>
            <w:tcBorders>
              <w:top w:val="single" w:color="000000" w:sz="4" w:space="0"/>
              <w:left w:val="nil"/>
              <w:bottom w:val="single" w:color="000000" w:sz="4" w:space="0"/>
              <w:right w:val="single" w:color="000000" w:sz="4" w:space="0"/>
            </w:tcBorders>
            <w:shd w:val="clear" w:color="auto" w:fill="auto"/>
            <w:vAlign w:val="center"/>
          </w:tcPr>
          <w:p w14:paraId="6D1FC9E3">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733" w:type="dxa"/>
            <w:gridSpan w:val="2"/>
            <w:tcBorders>
              <w:top w:val="nil"/>
              <w:left w:val="nil"/>
              <w:bottom w:val="single" w:color="000000" w:sz="4" w:space="0"/>
              <w:right w:val="single" w:color="000000" w:sz="4" w:space="0"/>
            </w:tcBorders>
            <w:shd w:val="clear" w:color="auto" w:fill="auto"/>
            <w:vAlign w:val="center"/>
          </w:tcPr>
          <w:p w14:paraId="5F579C64">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1174" w:type="dxa"/>
            <w:gridSpan w:val="3"/>
            <w:tcBorders>
              <w:top w:val="nil"/>
              <w:left w:val="nil"/>
              <w:bottom w:val="single" w:color="000000" w:sz="4" w:space="0"/>
              <w:right w:val="single" w:color="000000" w:sz="4" w:space="0"/>
            </w:tcBorders>
            <w:shd w:val="clear" w:color="auto" w:fill="auto"/>
            <w:vAlign w:val="center"/>
          </w:tcPr>
          <w:p w14:paraId="7043D9B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678" w:type="dxa"/>
            <w:gridSpan w:val="2"/>
            <w:tcBorders>
              <w:top w:val="nil"/>
              <w:left w:val="nil"/>
              <w:bottom w:val="single" w:color="000000" w:sz="4" w:space="0"/>
              <w:right w:val="single" w:color="000000" w:sz="4" w:space="0"/>
            </w:tcBorders>
            <w:shd w:val="clear" w:color="auto" w:fill="auto"/>
            <w:vAlign w:val="center"/>
          </w:tcPr>
          <w:p w14:paraId="7BF2300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79B1E5C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2C6B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15"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5A4D4C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绩效指标（90分）</w:t>
            </w:r>
          </w:p>
        </w:tc>
        <w:tc>
          <w:tcPr>
            <w:tcW w:w="783" w:type="dxa"/>
            <w:tcBorders>
              <w:top w:val="nil"/>
              <w:left w:val="nil"/>
              <w:bottom w:val="single" w:color="000000" w:sz="4" w:space="0"/>
              <w:right w:val="single" w:color="000000" w:sz="4" w:space="0"/>
            </w:tcBorders>
            <w:shd w:val="clear" w:color="auto" w:fill="auto"/>
            <w:vAlign w:val="center"/>
          </w:tcPr>
          <w:p w14:paraId="7969CC7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一级指标</w:t>
            </w:r>
          </w:p>
        </w:tc>
        <w:tc>
          <w:tcPr>
            <w:tcW w:w="1088" w:type="dxa"/>
            <w:gridSpan w:val="3"/>
            <w:tcBorders>
              <w:top w:val="nil"/>
              <w:left w:val="nil"/>
              <w:bottom w:val="single" w:color="000000" w:sz="4" w:space="0"/>
              <w:right w:val="single" w:color="000000" w:sz="4" w:space="0"/>
            </w:tcBorders>
            <w:shd w:val="clear" w:color="auto" w:fill="auto"/>
            <w:vAlign w:val="center"/>
          </w:tcPr>
          <w:p w14:paraId="4F2E4F4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二级指标</w:t>
            </w:r>
          </w:p>
        </w:tc>
        <w:tc>
          <w:tcPr>
            <w:tcW w:w="1766" w:type="dxa"/>
            <w:gridSpan w:val="4"/>
            <w:tcBorders>
              <w:top w:val="nil"/>
              <w:left w:val="nil"/>
              <w:bottom w:val="single" w:color="000000" w:sz="4" w:space="0"/>
              <w:right w:val="single" w:color="000000" w:sz="4" w:space="0"/>
            </w:tcBorders>
            <w:shd w:val="clear" w:color="auto" w:fill="auto"/>
            <w:vAlign w:val="center"/>
          </w:tcPr>
          <w:p w14:paraId="05CA93B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三级指标</w:t>
            </w:r>
          </w:p>
        </w:tc>
        <w:tc>
          <w:tcPr>
            <w:tcW w:w="553" w:type="dxa"/>
            <w:gridSpan w:val="2"/>
            <w:tcBorders>
              <w:top w:val="nil"/>
              <w:left w:val="nil"/>
              <w:bottom w:val="single" w:color="000000" w:sz="4" w:space="0"/>
              <w:right w:val="single" w:color="000000" w:sz="4" w:space="0"/>
            </w:tcBorders>
            <w:shd w:val="clear" w:color="auto" w:fill="auto"/>
            <w:vAlign w:val="center"/>
          </w:tcPr>
          <w:p w14:paraId="64E963D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指标性质</w:t>
            </w:r>
          </w:p>
        </w:tc>
        <w:tc>
          <w:tcPr>
            <w:tcW w:w="680" w:type="dxa"/>
            <w:gridSpan w:val="3"/>
            <w:tcBorders>
              <w:top w:val="nil"/>
              <w:left w:val="nil"/>
              <w:bottom w:val="single" w:color="000000" w:sz="4" w:space="0"/>
              <w:right w:val="single" w:color="000000" w:sz="4" w:space="0"/>
            </w:tcBorders>
            <w:shd w:val="clear" w:color="auto" w:fill="auto"/>
            <w:vAlign w:val="center"/>
          </w:tcPr>
          <w:p w14:paraId="6E1B83B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指标值</w:t>
            </w:r>
          </w:p>
        </w:tc>
        <w:tc>
          <w:tcPr>
            <w:tcW w:w="733" w:type="dxa"/>
            <w:gridSpan w:val="2"/>
            <w:tcBorders>
              <w:top w:val="nil"/>
              <w:left w:val="nil"/>
              <w:bottom w:val="single" w:color="000000" w:sz="4" w:space="0"/>
              <w:right w:val="single" w:color="000000" w:sz="4" w:space="0"/>
            </w:tcBorders>
            <w:shd w:val="clear" w:color="auto" w:fill="auto"/>
            <w:vAlign w:val="center"/>
          </w:tcPr>
          <w:p w14:paraId="4FC6783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度量单位</w:t>
            </w:r>
          </w:p>
        </w:tc>
        <w:tc>
          <w:tcPr>
            <w:tcW w:w="629" w:type="dxa"/>
            <w:gridSpan w:val="2"/>
            <w:tcBorders>
              <w:top w:val="nil"/>
              <w:left w:val="nil"/>
              <w:bottom w:val="single" w:color="000000" w:sz="4" w:space="0"/>
              <w:right w:val="single" w:color="000000" w:sz="4" w:space="0"/>
            </w:tcBorders>
            <w:shd w:val="clear" w:color="auto" w:fill="auto"/>
            <w:vAlign w:val="center"/>
          </w:tcPr>
          <w:p w14:paraId="4709585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完成值</w:t>
            </w:r>
          </w:p>
        </w:tc>
        <w:tc>
          <w:tcPr>
            <w:tcW w:w="545" w:type="dxa"/>
            <w:tcBorders>
              <w:top w:val="nil"/>
              <w:left w:val="nil"/>
              <w:bottom w:val="single" w:color="000000" w:sz="4" w:space="0"/>
              <w:right w:val="single" w:color="000000" w:sz="4" w:space="0"/>
            </w:tcBorders>
            <w:shd w:val="clear" w:color="auto" w:fill="auto"/>
            <w:vAlign w:val="center"/>
          </w:tcPr>
          <w:p w14:paraId="5931A5E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权重</w:t>
            </w:r>
          </w:p>
        </w:tc>
        <w:tc>
          <w:tcPr>
            <w:tcW w:w="678" w:type="dxa"/>
            <w:gridSpan w:val="2"/>
            <w:tcBorders>
              <w:top w:val="nil"/>
              <w:left w:val="nil"/>
              <w:bottom w:val="single" w:color="000000" w:sz="4" w:space="0"/>
              <w:right w:val="single" w:color="000000" w:sz="4" w:space="0"/>
            </w:tcBorders>
            <w:shd w:val="clear" w:color="auto" w:fill="auto"/>
            <w:vAlign w:val="center"/>
          </w:tcPr>
          <w:p w14:paraId="39AB8C3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得分</w:t>
            </w:r>
          </w:p>
        </w:tc>
        <w:tc>
          <w:tcPr>
            <w:tcW w:w="1067" w:type="dxa"/>
            <w:tcBorders>
              <w:top w:val="nil"/>
              <w:left w:val="nil"/>
              <w:bottom w:val="single" w:color="000000" w:sz="4" w:space="0"/>
              <w:right w:val="single" w:color="000000" w:sz="4" w:space="0"/>
            </w:tcBorders>
            <w:shd w:val="clear" w:color="auto" w:fill="auto"/>
            <w:vAlign w:val="center"/>
          </w:tcPr>
          <w:p w14:paraId="4483DD9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未完成原因分析</w:t>
            </w:r>
          </w:p>
        </w:tc>
      </w:tr>
      <w:tr w14:paraId="0F21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21D9694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vMerge w:val="restart"/>
            <w:tcBorders>
              <w:top w:val="nil"/>
              <w:left w:val="single" w:color="000000" w:sz="4" w:space="0"/>
              <w:bottom w:val="single" w:color="000000" w:sz="4" w:space="0"/>
              <w:right w:val="single" w:color="000000" w:sz="4" w:space="0"/>
            </w:tcBorders>
            <w:shd w:val="clear" w:color="auto" w:fill="auto"/>
            <w:vAlign w:val="center"/>
          </w:tcPr>
          <w:p w14:paraId="1FDE5FF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产出指标</w:t>
            </w:r>
          </w:p>
        </w:tc>
        <w:tc>
          <w:tcPr>
            <w:tcW w:w="1088" w:type="dxa"/>
            <w:gridSpan w:val="3"/>
            <w:tcBorders>
              <w:top w:val="nil"/>
              <w:left w:val="nil"/>
              <w:bottom w:val="single" w:color="000000" w:sz="4" w:space="0"/>
              <w:right w:val="single" w:color="000000" w:sz="4" w:space="0"/>
            </w:tcBorders>
            <w:shd w:val="clear" w:color="auto" w:fill="auto"/>
            <w:vAlign w:val="center"/>
          </w:tcPr>
          <w:p w14:paraId="111B919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数量指标</w:t>
            </w:r>
          </w:p>
        </w:tc>
        <w:tc>
          <w:tcPr>
            <w:tcW w:w="1766" w:type="dxa"/>
            <w:gridSpan w:val="4"/>
            <w:tcBorders>
              <w:top w:val="nil"/>
              <w:left w:val="nil"/>
              <w:bottom w:val="single" w:color="000000" w:sz="4" w:space="0"/>
              <w:right w:val="single" w:color="000000" w:sz="4" w:space="0"/>
            </w:tcBorders>
            <w:shd w:val="clear" w:color="auto" w:fill="auto"/>
            <w:vAlign w:val="center"/>
          </w:tcPr>
          <w:p w14:paraId="2D5DA64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参加师生人数</w:t>
            </w:r>
          </w:p>
        </w:tc>
        <w:tc>
          <w:tcPr>
            <w:tcW w:w="553" w:type="dxa"/>
            <w:gridSpan w:val="2"/>
            <w:tcBorders>
              <w:top w:val="nil"/>
              <w:left w:val="nil"/>
              <w:bottom w:val="single" w:color="000000" w:sz="4" w:space="0"/>
              <w:right w:val="single" w:color="000000" w:sz="4" w:space="0"/>
            </w:tcBorders>
            <w:shd w:val="clear" w:color="auto" w:fill="auto"/>
            <w:vAlign w:val="center"/>
          </w:tcPr>
          <w:p w14:paraId="2E23C71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80" w:type="dxa"/>
            <w:gridSpan w:val="3"/>
            <w:tcBorders>
              <w:top w:val="nil"/>
              <w:left w:val="nil"/>
              <w:bottom w:val="single" w:color="000000" w:sz="4" w:space="0"/>
              <w:right w:val="single" w:color="000000" w:sz="4" w:space="0"/>
            </w:tcBorders>
            <w:shd w:val="clear" w:color="auto" w:fill="auto"/>
            <w:vAlign w:val="center"/>
          </w:tcPr>
          <w:p w14:paraId="113D267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16</w:t>
            </w:r>
          </w:p>
        </w:tc>
        <w:tc>
          <w:tcPr>
            <w:tcW w:w="733" w:type="dxa"/>
            <w:gridSpan w:val="2"/>
            <w:tcBorders>
              <w:top w:val="nil"/>
              <w:left w:val="nil"/>
              <w:bottom w:val="single" w:color="000000" w:sz="4" w:space="0"/>
              <w:right w:val="single" w:color="000000" w:sz="4" w:space="0"/>
            </w:tcBorders>
            <w:shd w:val="clear" w:color="auto" w:fill="auto"/>
            <w:vAlign w:val="center"/>
          </w:tcPr>
          <w:p w14:paraId="230BD7C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万人次</w:t>
            </w:r>
          </w:p>
        </w:tc>
        <w:tc>
          <w:tcPr>
            <w:tcW w:w="629" w:type="dxa"/>
            <w:gridSpan w:val="2"/>
            <w:tcBorders>
              <w:top w:val="nil"/>
              <w:left w:val="nil"/>
              <w:bottom w:val="single" w:color="000000" w:sz="4" w:space="0"/>
              <w:right w:val="single" w:color="000000" w:sz="4" w:space="0"/>
            </w:tcBorders>
            <w:shd w:val="clear" w:color="auto" w:fill="auto"/>
            <w:vAlign w:val="center"/>
          </w:tcPr>
          <w:p w14:paraId="02C5AB33">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16.2　</w:t>
            </w:r>
          </w:p>
        </w:tc>
        <w:tc>
          <w:tcPr>
            <w:tcW w:w="545" w:type="dxa"/>
            <w:tcBorders>
              <w:top w:val="nil"/>
              <w:left w:val="nil"/>
              <w:bottom w:val="single" w:color="000000" w:sz="4" w:space="0"/>
              <w:right w:val="single" w:color="000000" w:sz="4" w:space="0"/>
            </w:tcBorders>
            <w:shd w:val="clear" w:color="auto" w:fill="auto"/>
            <w:vAlign w:val="center"/>
          </w:tcPr>
          <w:p w14:paraId="4BF20BC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w:t>
            </w:r>
          </w:p>
        </w:tc>
        <w:tc>
          <w:tcPr>
            <w:tcW w:w="678" w:type="dxa"/>
            <w:gridSpan w:val="2"/>
            <w:tcBorders>
              <w:top w:val="nil"/>
              <w:left w:val="nil"/>
              <w:bottom w:val="single" w:color="000000" w:sz="4" w:space="0"/>
              <w:right w:val="single" w:color="000000" w:sz="4" w:space="0"/>
            </w:tcBorders>
            <w:shd w:val="clear" w:color="auto" w:fill="auto"/>
            <w:vAlign w:val="center"/>
          </w:tcPr>
          <w:p w14:paraId="059545B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　</w:t>
            </w:r>
          </w:p>
        </w:tc>
        <w:tc>
          <w:tcPr>
            <w:tcW w:w="1067" w:type="dxa"/>
            <w:tcBorders>
              <w:top w:val="nil"/>
              <w:left w:val="nil"/>
              <w:bottom w:val="single" w:color="000000" w:sz="4" w:space="0"/>
              <w:right w:val="single" w:color="000000" w:sz="4" w:space="0"/>
            </w:tcBorders>
            <w:shd w:val="clear" w:color="auto" w:fill="auto"/>
            <w:vAlign w:val="center"/>
          </w:tcPr>
          <w:p w14:paraId="28105B22">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407D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4E66B6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vMerge w:val="continue"/>
            <w:tcBorders>
              <w:top w:val="nil"/>
              <w:left w:val="single" w:color="000000" w:sz="4" w:space="0"/>
              <w:bottom w:val="single" w:color="000000" w:sz="4" w:space="0"/>
              <w:right w:val="single" w:color="000000" w:sz="4" w:space="0"/>
            </w:tcBorders>
            <w:shd w:val="clear" w:color="auto" w:fill="auto"/>
            <w:vAlign w:val="center"/>
          </w:tcPr>
          <w:p w14:paraId="38F51AA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088" w:type="dxa"/>
            <w:gridSpan w:val="3"/>
            <w:tcBorders>
              <w:top w:val="nil"/>
              <w:left w:val="nil"/>
              <w:bottom w:val="single" w:color="000000" w:sz="4" w:space="0"/>
              <w:right w:val="single" w:color="000000" w:sz="4" w:space="0"/>
            </w:tcBorders>
            <w:shd w:val="clear" w:color="auto" w:fill="auto"/>
            <w:vAlign w:val="center"/>
          </w:tcPr>
          <w:p w14:paraId="540C58C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质量指标</w:t>
            </w:r>
          </w:p>
        </w:tc>
        <w:tc>
          <w:tcPr>
            <w:tcW w:w="1766" w:type="dxa"/>
            <w:gridSpan w:val="4"/>
            <w:tcBorders>
              <w:top w:val="nil"/>
              <w:left w:val="nil"/>
              <w:bottom w:val="single" w:color="000000" w:sz="4" w:space="0"/>
              <w:right w:val="single" w:color="000000" w:sz="4" w:space="0"/>
            </w:tcBorders>
            <w:shd w:val="clear" w:color="auto" w:fill="auto"/>
            <w:vAlign w:val="center"/>
          </w:tcPr>
          <w:p w14:paraId="283916F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参赛作品合格率</w:t>
            </w:r>
          </w:p>
        </w:tc>
        <w:tc>
          <w:tcPr>
            <w:tcW w:w="553" w:type="dxa"/>
            <w:gridSpan w:val="2"/>
            <w:tcBorders>
              <w:top w:val="nil"/>
              <w:left w:val="nil"/>
              <w:bottom w:val="single" w:color="000000" w:sz="4" w:space="0"/>
              <w:right w:val="single" w:color="000000" w:sz="4" w:space="0"/>
            </w:tcBorders>
            <w:shd w:val="clear" w:color="auto" w:fill="auto"/>
            <w:vAlign w:val="center"/>
          </w:tcPr>
          <w:p w14:paraId="1612C2B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80" w:type="dxa"/>
            <w:gridSpan w:val="3"/>
            <w:tcBorders>
              <w:top w:val="nil"/>
              <w:left w:val="nil"/>
              <w:bottom w:val="single" w:color="000000" w:sz="4" w:space="0"/>
              <w:right w:val="single" w:color="000000" w:sz="4" w:space="0"/>
            </w:tcBorders>
            <w:shd w:val="clear" w:color="auto" w:fill="auto"/>
            <w:vAlign w:val="center"/>
          </w:tcPr>
          <w:p w14:paraId="0B133EC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90</w:t>
            </w:r>
          </w:p>
        </w:tc>
        <w:tc>
          <w:tcPr>
            <w:tcW w:w="733" w:type="dxa"/>
            <w:gridSpan w:val="2"/>
            <w:tcBorders>
              <w:top w:val="nil"/>
              <w:left w:val="nil"/>
              <w:bottom w:val="single" w:color="000000" w:sz="4" w:space="0"/>
              <w:right w:val="single" w:color="000000" w:sz="4" w:space="0"/>
            </w:tcBorders>
            <w:shd w:val="clear" w:color="auto" w:fill="auto"/>
            <w:vAlign w:val="center"/>
          </w:tcPr>
          <w:p w14:paraId="096A057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29" w:type="dxa"/>
            <w:gridSpan w:val="2"/>
            <w:tcBorders>
              <w:top w:val="nil"/>
              <w:left w:val="nil"/>
              <w:bottom w:val="single" w:color="000000" w:sz="4" w:space="0"/>
              <w:right w:val="single" w:color="000000" w:sz="4" w:space="0"/>
            </w:tcBorders>
            <w:shd w:val="clear" w:color="auto" w:fill="auto"/>
            <w:vAlign w:val="center"/>
          </w:tcPr>
          <w:p w14:paraId="31A2ED0A">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90　</w:t>
            </w:r>
          </w:p>
        </w:tc>
        <w:tc>
          <w:tcPr>
            <w:tcW w:w="545" w:type="dxa"/>
            <w:tcBorders>
              <w:top w:val="nil"/>
              <w:left w:val="nil"/>
              <w:bottom w:val="single" w:color="000000" w:sz="4" w:space="0"/>
              <w:right w:val="single" w:color="000000" w:sz="4" w:space="0"/>
            </w:tcBorders>
            <w:shd w:val="clear" w:color="auto" w:fill="auto"/>
            <w:vAlign w:val="center"/>
          </w:tcPr>
          <w:p w14:paraId="4174594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78" w:type="dxa"/>
            <w:gridSpan w:val="2"/>
            <w:tcBorders>
              <w:top w:val="nil"/>
              <w:left w:val="nil"/>
              <w:bottom w:val="single" w:color="000000" w:sz="4" w:space="0"/>
              <w:right w:val="single" w:color="000000" w:sz="4" w:space="0"/>
            </w:tcBorders>
            <w:shd w:val="clear" w:color="auto" w:fill="auto"/>
            <w:vAlign w:val="center"/>
          </w:tcPr>
          <w:p w14:paraId="05BDDF7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067" w:type="dxa"/>
            <w:tcBorders>
              <w:top w:val="nil"/>
              <w:left w:val="nil"/>
              <w:bottom w:val="single" w:color="000000" w:sz="4" w:space="0"/>
              <w:right w:val="single" w:color="000000" w:sz="4" w:space="0"/>
            </w:tcBorders>
            <w:shd w:val="clear" w:color="auto" w:fill="auto"/>
            <w:vAlign w:val="center"/>
          </w:tcPr>
          <w:p w14:paraId="55331FAB">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659F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134FDD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vMerge w:val="continue"/>
            <w:tcBorders>
              <w:top w:val="nil"/>
              <w:left w:val="single" w:color="000000" w:sz="4" w:space="0"/>
              <w:bottom w:val="single" w:color="000000" w:sz="4" w:space="0"/>
              <w:right w:val="single" w:color="000000" w:sz="4" w:space="0"/>
            </w:tcBorders>
            <w:shd w:val="clear" w:color="auto" w:fill="auto"/>
            <w:vAlign w:val="center"/>
          </w:tcPr>
          <w:p w14:paraId="44BC4A4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088" w:type="dxa"/>
            <w:gridSpan w:val="3"/>
            <w:tcBorders>
              <w:top w:val="nil"/>
              <w:left w:val="nil"/>
              <w:bottom w:val="single" w:color="000000" w:sz="4" w:space="0"/>
              <w:right w:val="single" w:color="000000" w:sz="4" w:space="0"/>
            </w:tcBorders>
            <w:shd w:val="clear" w:color="auto" w:fill="auto"/>
            <w:vAlign w:val="center"/>
          </w:tcPr>
          <w:p w14:paraId="39482FD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时效指标</w:t>
            </w:r>
          </w:p>
        </w:tc>
        <w:tc>
          <w:tcPr>
            <w:tcW w:w="1766" w:type="dxa"/>
            <w:gridSpan w:val="4"/>
            <w:tcBorders>
              <w:top w:val="nil"/>
              <w:left w:val="nil"/>
              <w:bottom w:val="single" w:color="000000" w:sz="4" w:space="0"/>
              <w:right w:val="single" w:color="000000" w:sz="4" w:space="0"/>
            </w:tcBorders>
            <w:shd w:val="clear" w:color="auto" w:fill="auto"/>
            <w:vAlign w:val="center"/>
          </w:tcPr>
          <w:p w14:paraId="66F892E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2023年1-12月完成</w:t>
            </w:r>
          </w:p>
        </w:tc>
        <w:tc>
          <w:tcPr>
            <w:tcW w:w="553" w:type="dxa"/>
            <w:gridSpan w:val="2"/>
            <w:tcBorders>
              <w:top w:val="nil"/>
              <w:left w:val="nil"/>
              <w:bottom w:val="single" w:color="000000" w:sz="4" w:space="0"/>
              <w:right w:val="single" w:color="000000" w:sz="4" w:space="0"/>
            </w:tcBorders>
            <w:shd w:val="clear" w:color="auto" w:fill="auto"/>
            <w:vAlign w:val="center"/>
          </w:tcPr>
          <w:p w14:paraId="67C0897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80" w:type="dxa"/>
            <w:gridSpan w:val="3"/>
            <w:tcBorders>
              <w:top w:val="nil"/>
              <w:left w:val="nil"/>
              <w:bottom w:val="single" w:color="000000" w:sz="4" w:space="0"/>
              <w:right w:val="single" w:color="000000" w:sz="4" w:space="0"/>
            </w:tcBorders>
            <w:shd w:val="clear" w:color="auto" w:fill="auto"/>
            <w:vAlign w:val="center"/>
          </w:tcPr>
          <w:p w14:paraId="3775B88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w:t>
            </w:r>
          </w:p>
        </w:tc>
        <w:tc>
          <w:tcPr>
            <w:tcW w:w="733" w:type="dxa"/>
            <w:gridSpan w:val="2"/>
            <w:tcBorders>
              <w:top w:val="nil"/>
              <w:left w:val="nil"/>
              <w:bottom w:val="single" w:color="000000" w:sz="4" w:space="0"/>
              <w:right w:val="single" w:color="000000" w:sz="4" w:space="0"/>
            </w:tcBorders>
            <w:shd w:val="clear" w:color="auto" w:fill="auto"/>
            <w:vAlign w:val="center"/>
          </w:tcPr>
          <w:p w14:paraId="6CAB7AB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w:t>
            </w:r>
          </w:p>
        </w:tc>
        <w:tc>
          <w:tcPr>
            <w:tcW w:w="629" w:type="dxa"/>
            <w:gridSpan w:val="2"/>
            <w:tcBorders>
              <w:top w:val="nil"/>
              <w:left w:val="nil"/>
              <w:bottom w:val="single" w:color="000000" w:sz="4" w:space="0"/>
              <w:right w:val="single" w:color="000000" w:sz="4" w:space="0"/>
            </w:tcBorders>
            <w:shd w:val="clear" w:color="auto" w:fill="auto"/>
            <w:vAlign w:val="center"/>
          </w:tcPr>
          <w:p w14:paraId="3C1A11DB">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1</w:t>
            </w:r>
          </w:p>
        </w:tc>
        <w:tc>
          <w:tcPr>
            <w:tcW w:w="545" w:type="dxa"/>
            <w:tcBorders>
              <w:top w:val="nil"/>
              <w:left w:val="nil"/>
              <w:bottom w:val="single" w:color="000000" w:sz="4" w:space="0"/>
              <w:right w:val="single" w:color="000000" w:sz="4" w:space="0"/>
            </w:tcBorders>
            <w:shd w:val="clear" w:color="auto" w:fill="auto"/>
            <w:vAlign w:val="center"/>
          </w:tcPr>
          <w:p w14:paraId="7F6F7E3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78" w:type="dxa"/>
            <w:gridSpan w:val="2"/>
            <w:tcBorders>
              <w:top w:val="nil"/>
              <w:left w:val="nil"/>
              <w:bottom w:val="single" w:color="000000" w:sz="4" w:space="0"/>
              <w:right w:val="single" w:color="000000" w:sz="4" w:space="0"/>
            </w:tcBorders>
            <w:shd w:val="clear" w:color="auto" w:fill="auto"/>
            <w:vAlign w:val="center"/>
          </w:tcPr>
          <w:p w14:paraId="2D7126A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067" w:type="dxa"/>
            <w:tcBorders>
              <w:top w:val="nil"/>
              <w:left w:val="nil"/>
              <w:bottom w:val="single" w:color="000000" w:sz="4" w:space="0"/>
              <w:right w:val="single" w:color="000000" w:sz="4" w:space="0"/>
            </w:tcBorders>
            <w:shd w:val="clear" w:color="auto" w:fill="auto"/>
            <w:vAlign w:val="center"/>
          </w:tcPr>
          <w:p w14:paraId="48266507">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1F6D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51FE6B0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vMerge w:val="restart"/>
            <w:tcBorders>
              <w:top w:val="nil"/>
              <w:left w:val="single" w:color="000000" w:sz="4" w:space="0"/>
              <w:bottom w:val="single" w:color="000000" w:sz="4" w:space="0"/>
              <w:right w:val="single" w:color="000000" w:sz="4" w:space="0"/>
            </w:tcBorders>
            <w:shd w:val="clear" w:color="auto" w:fill="auto"/>
            <w:vAlign w:val="center"/>
          </w:tcPr>
          <w:p w14:paraId="5E35CC2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效益指标</w:t>
            </w:r>
          </w:p>
        </w:tc>
        <w:tc>
          <w:tcPr>
            <w:tcW w:w="1088" w:type="dxa"/>
            <w:gridSpan w:val="3"/>
            <w:tcBorders>
              <w:top w:val="nil"/>
              <w:left w:val="nil"/>
              <w:bottom w:val="single" w:color="000000" w:sz="4" w:space="0"/>
              <w:right w:val="single" w:color="000000" w:sz="4" w:space="0"/>
            </w:tcBorders>
            <w:shd w:val="clear" w:color="auto" w:fill="auto"/>
            <w:vAlign w:val="center"/>
          </w:tcPr>
          <w:p w14:paraId="4284956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社会效益指标</w:t>
            </w:r>
          </w:p>
        </w:tc>
        <w:tc>
          <w:tcPr>
            <w:tcW w:w="1766" w:type="dxa"/>
            <w:gridSpan w:val="4"/>
            <w:tcBorders>
              <w:top w:val="nil"/>
              <w:left w:val="nil"/>
              <w:bottom w:val="single" w:color="000000" w:sz="4" w:space="0"/>
              <w:right w:val="single" w:color="000000" w:sz="4" w:space="0"/>
            </w:tcBorders>
            <w:shd w:val="clear" w:color="auto" w:fill="auto"/>
            <w:vAlign w:val="center"/>
          </w:tcPr>
          <w:p w14:paraId="7AD69C7F">
            <w:pPr>
              <w:keepNext w:val="0"/>
              <w:keepLines w:val="0"/>
              <w:widowControl/>
              <w:suppressLineNumbers w:val="0"/>
              <w:spacing w:before="0" w:beforeAutospacing="0" w:after="240" w:afterAutospacing="0" w:line="200" w:lineRule="exact"/>
              <w:ind w:left="0" w:right="0"/>
              <w:jc w:val="both"/>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大赛成为面向全州青少年和科技教师开展的一项规模最大 、层级最高的综合性科技竞赛，极大地激发了广大青少年的创新创意热情，培养了广大青少年的实践能力，有力促进了广大青少年“学科学、爱科学、用科学”良好风尚的形成。活动，</w:t>
            </w:r>
          </w:p>
        </w:tc>
        <w:tc>
          <w:tcPr>
            <w:tcW w:w="553" w:type="dxa"/>
            <w:gridSpan w:val="2"/>
            <w:tcBorders>
              <w:top w:val="nil"/>
              <w:left w:val="nil"/>
              <w:bottom w:val="single" w:color="000000" w:sz="4" w:space="0"/>
              <w:right w:val="single" w:color="000000" w:sz="4" w:space="0"/>
            </w:tcBorders>
            <w:shd w:val="clear" w:color="auto" w:fill="auto"/>
            <w:vAlign w:val="center"/>
          </w:tcPr>
          <w:p w14:paraId="71B55D8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p>
        </w:tc>
        <w:tc>
          <w:tcPr>
            <w:tcW w:w="680" w:type="dxa"/>
            <w:gridSpan w:val="3"/>
            <w:tcBorders>
              <w:top w:val="nil"/>
              <w:left w:val="nil"/>
              <w:bottom w:val="single" w:color="000000" w:sz="4" w:space="0"/>
              <w:right w:val="single" w:color="000000" w:sz="4" w:space="0"/>
            </w:tcBorders>
            <w:shd w:val="clear" w:color="auto" w:fill="auto"/>
            <w:vAlign w:val="center"/>
          </w:tcPr>
          <w:p w14:paraId="292D6F9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733" w:type="dxa"/>
            <w:gridSpan w:val="2"/>
            <w:tcBorders>
              <w:top w:val="nil"/>
              <w:left w:val="nil"/>
              <w:bottom w:val="single" w:color="000000" w:sz="4" w:space="0"/>
              <w:right w:val="single" w:color="000000" w:sz="4" w:space="0"/>
            </w:tcBorders>
            <w:shd w:val="clear" w:color="auto" w:fill="auto"/>
            <w:vAlign w:val="center"/>
          </w:tcPr>
          <w:p w14:paraId="70A3268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项</w:t>
            </w:r>
          </w:p>
        </w:tc>
        <w:tc>
          <w:tcPr>
            <w:tcW w:w="629" w:type="dxa"/>
            <w:gridSpan w:val="2"/>
            <w:tcBorders>
              <w:top w:val="nil"/>
              <w:left w:val="nil"/>
              <w:bottom w:val="single" w:color="000000" w:sz="4" w:space="0"/>
              <w:right w:val="single" w:color="000000" w:sz="4" w:space="0"/>
            </w:tcBorders>
            <w:shd w:val="clear" w:color="auto" w:fill="auto"/>
            <w:vAlign w:val="center"/>
          </w:tcPr>
          <w:p w14:paraId="63116DD7">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c>
          <w:tcPr>
            <w:tcW w:w="545" w:type="dxa"/>
            <w:tcBorders>
              <w:top w:val="nil"/>
              <w:left w:val="nil"/>
              <w:bottom w:val="single" w:color="000000" w:sz="4" w:space="0"/>
              <w:right w:val="single" w:color="000000" w:sz="4" w:space="0"/>
            </w:tcBorders>
            <w:shd w:val="clear" w:color="auto" w:fill="auto"/>
            <w:vAlign w:val="center"/>
          </w:tcPr>
          <w:p w14:paraId="6062699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78" w:type="dxa"/>
            <w:gridSpan w:val="2"/>
            <w:tcBorders>
              <w:top w:val="nil"/>
              <w:left w:val="nil"/>
              <w:bottom w:val="single" w:color="000000" w:sz="4" w:space="0"/>
              <w:right w:val="single" w:color="000000" w:sz="4" w:space="0"/>
            </w:tcBorders>
            <w:shd w:val="clear" w:color="auto" w:fill="auto"/>
            <w:vAlign w:val="center"/>
          </w:tcPr>
          <w:p w14:paraId="6A30DD3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067" w:type="dxa"/>
            <w:tcBorders>
              <w:top w:val="nil"/>
              <w:left w:val="nil"/>
              <w:bottom w:val="single" w:color="000000" w:sz="4" w:space="0"/>
              <w:right w:val="single" w:color="000000" w:sz="4" w:space="0"/>
            </w:tcBorders>
            <w:shd w:val="clear" w:color="auto" w:fill="auto"/>
            <w:vAlign w:val="center"/>
          </w:tcPr>
          <w:p w14:paraId="5EF3752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p>
        </w:tc>
      </w:tr>
      <w:tr w14:paraId="004C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E18F63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vMerge w:val="continue"/>
            <w:tcBorders>
              <w:top w:val="nil"/>
              <w:left w:val="single" w:color="000000" w:sz="4" w:space="0"/>
              <w:bottom w:val="single" w:color="000000" w:sz="4" w:space="0"/>
              <w:right w:val="single" w:color="000000" w:sz="4" w:space="0"/>
            </w:tcBorders>
            <w:shd w:val="clear" w:color="auto" w:fill="auto"/>
            <w:vAlign w:val="center"/>
          </w:tcPr>
          <w:p w14:paraId="58A1B4F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088" w:type="dxa"/>
            <w:gridSpan w:val="3"/>
            <w:tcBorders>
              <w:top w:val="nil"/>
              <w:left w:val="nil"/>
              <w:bottom w:val="single" w:color="000000" w:sz="4" w:space="0"/>
              <w:right w:val="single" w:color="000000" w:sz="4" w:space="0"/>
            </w:tcBorders>
            <w:shd w:val="clear" w:color="auto" w:fill="auto"/>
            <w:vAlign w:val="center"/>
          </w:tcPr>
          <w:p w14:paraId="7CFED6B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可持续影响指标</w:t>
            </w:r>
          </w:p>
        </w:tc>
        <w:tc>
          <w:tcPr>
            <w:tcW w:w="1766" w:type="dxa"/>
            <w:gridSpan w:val="4"/>
            <w:tcBorders>
              <w:top w:val="nil"/>
              <w:left w:val="nil"/>
              <w:bottom w:val="single" w:color="000000" w:sz="4" w:space="0"/>
              <w:right w:val="single" w:color="000000" w:sz="4" w:space="0"/>
            </w:tcBorders>
            <w:shd w:val="clear" w:color="auto" w:fill="auto"/>
            <w:vAlign w:val="center"/>
          </w:tcPr>
          <w:p w14:paraId="2D1FD62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持续影响</w:t>
            </w:r>
          </w:p>
        </w:tc>
        <w:tc>
          <w:tcPr>
            <w:tcW w:w="553" w:type="dxa"/>
            <w:gridSpan w:val="2"/>
            <w:tcBorders>
              <w:top w:val="nil"/>
              <w:left w:val="nil"/>
              <w:bottom w:val="single" w:color="000000" w:sz="4" w:space="0"/>
              <w:right w:val="single" w:color="000000" w:sz="4" w:space="0"/>
            </w:tcBorders>
            <w:shd w:val="clear" w:color="auto" w:fill="auto"/>
            <w:vAlign w:val="center"/>
          </w:tcPr>
          <w:p w14:paraId="3CB50D8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80" w:type="dxa"/>
            <w:gridSpan w:val="3"/>
            <w:tcBorders>
              <w:top w:val="nil"/>
              <w:left w:val="nil"/>
              <w:bottom w:val="single" w:color="000000" w:sz="4" w:space="0"/>
              <w:right w:val="single" w:color="000000" w:sz="4" w:space="0"/>
            </w:tcBorders>
            <w:shd w:val="clear" w:color="auto" w:fill="auto"/>
            <w:vAlign w:val="center"/>
          </w:tcPr>
          <w:p w14:paraId="647666B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3</w:t>
            </w:r>
          </w:p>
        </w:tc>
        <w:tc>
          <w:tcPr>
            <w:tcW w:w="733" w:type="dxa"/>
            <w:gridSpan w:val="2"/>
            <w:tcBorders>
              <w:top w:val="nil"/>
              <w:left w:val="nil"/>
              <w:bottom w:val="single" w:color="000000" w:sz="4" w:space="0"/>
              <w:right w:val="single" w:color="000000" w:sz="4" w:space="0"/>
            </w:tcBorders>
            <w:shd w:val="clear" w:color="auto" w:fill="auto"/>
            <w:vAlign w:val="center"/>
          </w:tcPr>
          <w:p w14:paraId="10DD039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w:t>
            </w:r>
          </w:p>
        </w:tc>
        <w:tc>
          <w:tcPr>
            <w:tcW w:w="629" w:type="dxa"/>
            <w:gridSpan w:val="2"/>
            <w:tcBorders>
              <w:top w:val="nil"/>
              <w:left w:val="nil"/>
              <w:bottom w:val="single" w:color="000000" w:sz="4" w:space="0"/>
              <w:right w:val="single" w:color="000000" w:sz="4" w:space="0"/>
            </w:tcBorders>
            <w:shd w:val="clear" w:color="auto" w:fill="auto"/>
            <w:vAlign w:val="center"/>
          </w:tcPr>
          <w:p w14:paraId="0E698C8E">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3　</w:t>
            </w:r>
          </w:p>
        </w:tc>
        <w:tc>
          <w:tcPr>
            <w:tcW w:w="545" w:type="dxa"/>
            <w:tcBorders>
              <w:top w:val="nil"/>
              <w:left w:val="nil"/>
              <w:bottom w:val="single" w:color="000000" w:sz="4" w:space="0"/>
              <w:right w:val="single" w:color="000000" w:sz="4" w:space="0"/>
            </w:tcBorders>
            <w:shd w:val="clear" w:color="auto" w:fill="auto"/>
            <w:vAlign w:val="center"/>
          </w:tcPr>
          <w:p w14:paraId="50FD045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78" w:type="dxa"/>
            <w:gridSpan w:val="2"/>
            <w:tcBorders>
              <w:top w:val="nil"/>
              <w:left w:val="nil"/>
              <w:bottom w:val="single" w:color="000000" w:sz="4" w:space="0"/>
              <w:right w:val="single" w:color="000000" w:sz="4" w:space="0"/>
            </w:tcBorders>
            <w:shd w:val="clear" w:color="auto" w:fill="auto"/>
            <w:vAlign w:val="center"/>
          </w:tcPr>
          <w:p w14:paraId="0E65F35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1067" w:type="dxa"/>
            <w:tcBorders>
              <w:top w:val="nil"/>
              <w:left w:val="nil"/>
              <w:bottom w:val="single" w:color="000000" w:sz="4" w:space="0"/>
              <w:right w:val="single" w:color="000000" w:sz="4" w:space="0"/>
            </w:tcBorders>
            <w:shd w:val="clear" w:color="auto" w:fill="auto"/>
            <w:vAlign w:val="center"/>
          </w:tcPr>
          <w:p w14:paraId="2554782A">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1BA0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36B3C6A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tcBorders>
              <w:top w:val="nil"/>
              <w:left w:val="nil"/>
              <w:bottom w:val="single" w:color="000000" w:sz="4" w:space="0"/>
              <w:right w:val="single" w:color="000000" w:sz="4" w:space="0"/>
            </w:tcBorders>
            <w:shd w:val="clear" w:color="auto" w:fill="auto"/>
            <w:vAlign w:val="center"/>
          </w:tcPr>
          <w:p w14:paraId="19331C4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满意度指标</w:t>
            </w:r>
          </w:p>
        </w:tc>
        <w:tc>
          <w:tcPr>
            <w:tcW w:w="1088" w:type="dxa"/>
            <w:gridSpan w:val="3"/>
            <w:tcBorders>
              <w:top w:val="nil"/>
              <w:left w:val="nil"/>
              <w:bottom w:val="single" w:color="000000" w:sz="4" w:space="0"/>
              <w:right w:val="single" w:color="000000" w:sz="4" w:space="0"/>
            </w:tcBorders>
            <w:shd w:val="clear" w:color="auto" w:fill="auto"/>
            <w:vAlign w:val="center"/>
          </w:tcPr>
          <w:p w14:paraId="456054B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服务对象满意度指标</w:t>
            </w:r>
          </w:p>
        </w:tc>
        <w:tc>
          <w:tcPr>
            <w:tcW w:w="1766" w:type="dxa"/>
            <w:gridSpan w:val="4"/>
            <w:tcBorders>
              <w:top w:val="nil"/>
              <w:left w:val="nil"/>
              <w:bottom w:val="single" w:color="000000" w:sz="4" w:space="0"/>
              <w:right w:val="single" w:color="000000" w:sz="4" w:space="0"/>
            </w:tcBorders>
            <w:shd w:val="clear" w:color="auto" w:fill="auto"/>
            <w:vAlign w:val="center"/>
          </w:tcPr>
          <w:p w14:paraId="0A68D9C3">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学生及家长等满意度</w:t>
            </w:r>
          </w:p>
        </w:tc>
        <w:tc>
          <w:tcPr>
            <w:tcW w:w="553" w:type="dxa"/>
            <w:gridSpan w:val="2"/>
            <w:tcBorders>
              <w:top w:val="nil"/>
              <w:left w:val="nil"/>
              <w:bottom w:val="single" w:color="000000" w:sz="4" w:space="0"/>
              <w:right w:val="single" w:color="000000" w:sz="4" w:space="0"/>
            </w:tcBorders>
            <w:shd w:val="clear" w:color="auto" w:fill="auto"/>
            <w:vAlign w:val="center"/>
          </w:tcPr>
          <w:p w14:paraId="055226D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80" w:type="dxa"/>
            <w:gridSpan w:val="3"/>
            <w:tcBorders>
              <w:top w:val="nil"/>
              <w:left w:val="nil"/>
              <w:bottom w:val="single" w:color="000000" w:sz="4" w:space="0"/>
              <w:right w:val="single" w:color="000000" w:sz="4" w:space="0"/>
            </w:tcBorders>
            <w:shd w:val="clear" w:color="auto" w:fill="auto"/>
            <w:vAlign w:val="center"/>
          </w:tcPr>
          <w:p w14:paraId="4678427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95</w:t>
            </w:r>
          </w:p>
        </w:tc>
        <w:tc>
          <w:tcPr>
            <w:tcW w:w="733" w:type="dxa"/>
            <w:gridSpan w:val="2"/>
            <w:tcBorders>
              <w:top w:val="nil"/>
              <w:left w:val="nil"/>
              <w:bottom w:val="single" w:color="000000" w:sz="4" w:space="0"/>
              <w:right w:val="single" w:color="000000" w:sz="4" w:space="0"/>
            </w:tcBorders>
            <w:shd w:val="clear" w:color="auto" w:fill="auto"/>
            <w:vAlign w:val="center"/>
          </w:tcPr>
          <w:p w14:paraId="44F11E8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29" w:type="dxa"/>
            <w:gridSpan w:val="2"/>
            <w:tcBorders>
              <w:top w:val="nil"/>
              <w:left w:val="nil"/>
              <w:bottom w:val="single" w:color="000000" w:sz="4" w:space="0"/>
              <w:right w:val="single" w:color="000000" w:sz="4" w:space="0"/>
            </w:tcBorders>
            <w:shd w:val="clear" w:color="auto" w:fill="auto"/>
            <w:vAlign w:val="center"/>
          </w:tcPr>
          <w:p w14:paraId="0AEE02BF">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95</w:t>
            </w:r>
          </w:p>
        </w:tc>
        <w:tc>
          <w:tcPr>
            <w:tcW w:w="545" w:type="dxa"/>
            <w:tcBorders>
              <w:top w:val="nil"/>
              <w:left w:val="nil"/>
              <w:bottom w:val="single" w:color="000000" w:sz="4" w:space="0"/>
              <w:right w:val="single" w:color="000000" w:sz="4" w:space="0"/>
            </w:tcBorders>
            <w:shd w:val="clear" w:color="auto" w:fill="auto"/>
            <w:vAlign w:val="center"/>
          </w:tcPr>
          <w:p w14:paraId="1BA8202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78" w:type="dxa"/>
            <w:gridSpan w:val="2"/>
            <w:tcBorders>
              <w:top w:val="nil"/>
              <w:left w:val="nil"/>
              <w:bottom w:val="single" w:color="000000" w:sz="4" w:space="0"/>
              <w:right w:val="single" w:color="000000" w:sz="4" w:space="0"/>
            </w:tcBorders>
            <w:shd w:val="clear" w:color="auto" w:fill="auto"/>
            <w:vAlign w:val="center"/>
          </w:tcPr>
          <w:p w14:paraId="78B93B5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1067" w:type="dxa"/>
            <w:tcBorders>
              <w:top w:val="nil"/>
              <w:left w:val="nil"/>
              <w:bottom w:val="single" w:color="000000" w:sz="4" w:space="0"/>
              <w:right w:val="single" w:color="000000" w:sz="4" w:space="0"/>
            </w:tcBorders>
            <w:shd w:val="clear" w:color="auto" w:fill="auto"/>
            <w:vAlign w:val="center"/>
          </w:tcPr>
          <w:p w14:paraId="4EF33B5C">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5411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1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C5E644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83" w:type="dxa"/>
            <w:tcBorders>
              <w:top w:val="nil"/>
              <w:left w:val="nil"/>
              <w:bottom w:val="single" w:color="000000" w:sz="4" w:space="0"/>
              <w:right w:val="single" w:color="000000" w:sz="4" w:space="0"/>
            </w:tcBorders>
            <w:shd w:val="clear" w:color="auto" w:fill="auto"/>
            <w:vAlign w:val="center"/>
          </w:tcPr>
          <w:p w14:paraId="018B687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成本指标</w:t>
            </w:r>
          </w:p>
        </w:tc>
        <w:tc>
          <w:tcPr>
            <w:tcW w:w="1088" w:type="dxa"/>
            <w:gridSpan w:val="3"/>
            <w:tcBorders>
              <w:top w:val="nil"/>
              <w:left w:val="nil"/>
              <w:bottom w:val="single" w:color="000000" w:sz="4" w:space="0"/>
              <w:right w:val="single" w:color="000000" w:sz="4" w:space="0"/>
            </w:tcBorders>
            <w:shd w:val="clear" w:color="auto" w:fill="auto"/>
            <w:vAlign w:val="center"/>
          </w:tcPr>
          <w:p w14:paraId="071F92F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经济成本指标</w:t>
            </w:r>
          </w:p>
        </w:tc>
        <w:tc>
          <w:tcPr>
            <w:tcW w:w="1766" w:type="dxa"/>
            <w:gridSpan w:val="4"/>
            <w:tcBorders>
              <w:top w:val="nil"/>
              <w:left w:val="nil"/>
              <w:bottom w:val="single" w:color="000000" w:sz="4" w:space="0"/>
              <w:right w:val="single" w:color="000000" w:sz="4" w:space="0"/>
            </w:tcBorders>
            <w:shd w:val="clear" w:color="auto" w:fill="auto"/>
            <w:vAlign w:val="center"/>
          </w:tcPr>
          <w:p w14:paraId="23B4CB3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年度完成各项目工作费用</w:t>
            </w:r>
          </w:p>
        </w:tc>
        <w:tc>
          <w:tcPr>
            <w:tcW w:w="553" w:type="dxa"/>
            <w:gridSpan w:val="2"/>
            <w:tcBorders>
              <w:top w:val="nil"/>
              <w:left w:val="nil"/>
              <w:bottom w:val="single" w:color="000000" w:sz="4" w:space="0"/>
              <w:right w:val="single" w:color="000000" w:sz="4" w:space="0"/>
            </w:tcBorders>
            <w:shd w:val="clear" w:color="auto" w:fill="auto"/>
            <w:vAlign w:val="center"/>
          </w:tcPr>
          <w:p w14:paraId="27EDE87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80" w:type="dxa"/>
            <w:gridSpan w:val="3"/>
            <w:tcBorders>
              <w:top w:val="nil"/>
              <w:left w:val="nil"/>
              <w:bottom w:val="single" w:color="000000" w:sz="4" w:space="0"/>
              <w:right w:val="single" w:color="000000" w:sz="4" w:space="0"/>
            </w:tcBorders>
            <w:shd w:val="clear" w:color="auto" w:fill="auto"/>
            <w:vAlign w:val="center"/>
          </w:tcPr>
          <w:p w14:paraId="2452C50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25.52</w:t>
            </w:r>
          </w:p>
        </w:tc>
        <w:tc>
          <w:tcPr>
            <w:tcW w:w="733" w:type="dxa"/>
            <w:gridSpan w:val="2"/>
            <w:tcBorders>
              <w:top w:val="nil"/>
              <w:left w:val="nil"/>
              <w:bottom w:val="single" w:color="000000" w:sz="4" w:space="0"/>
              <w:right w:val="single" w:color="000000" w:sz="4" w:space="0"/>
            </w:tcBorders>
            <w:shd w:val="clear" w:color="auto" w:fill="auto"/>
            <w:vAlign w:val="center"/>
          </w:tcPr>
          <w:p w14:paraId="5C1C089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万元</w:t>
            </w:r>
          </w:p>
        </w:tc>
        <w:tc>
          <w:tcPr>
            <w:tcW w:w="629" w:type="dxa"/>
            <w:gridSpan w:val="2"/>
            <w:tcBorders>
              <w:top w:val="nil"/>
              <w:left w:val="nil"/>
              <w:bottom w:val="single" w:color="000000" w:sz="4" w:space="0"/>
              <w:right w:val="single" w:color="000000" w:sz="4" w:space="0"/>
            </w:tcBorders>
            <w:shd w:val="clear" w:color="auto" w:fill="auto"/>
            <w:vAlign w:val="center"/>
          </w:tcPr>
          <w:p w14:paraId="6D23A16A">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25.52　</w:t>
            </w:r>
          </w:p>
        </w:tc>
        <w:tc>
          <w:tcPr>
            <w:tcW w:w="545" w:type="dxa"/>
            <w:tcBorders>
              <w:top w:val="nil"/>
              <w:left w:val="nil"/>
              <w:bottom w:val="single" w:color="000000" w:sz="4" w:space="0"/>
              <w:right w:val="single" w:color="000000" w:sz="4" w:space="0"/>
            </w:tcBorders>
            <w:shd w:val="clear" w:color="auto" w:fill="auto"/>
            <w:vAlign w:val="center"/>
          </w:tcPr>
          <w:p w14:paraId="37AFF55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w:t>
            </w:r>
          </w:p>
        </w:tc>
        <w:tc>
          <w:tcPr>
            <w:tcW w:w="678" w:type="dxa"/>
            <w:gridSpan w:val="2"/>
            <w:tcBorders>
              <w:top w:val="nil"/>
              <w:left w:val="nil"/>
              <w:bottom w:val="single" w:color="000000" w:sz="4" w:space="0"/>
              <w:right w:val="single" w:color="000000" w:sz="4" w:space="0"/>
            </w:tcBorders>
            <w:shd w:val="clear" w:color="auto" w:fill="auto"/>
            <w:vAlign w:val="center"/>
          </w:tcPr>
          <w:p w14:paraId="40BA858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w:t>
            </w:r>
          </w:p>
        </w:tc>
        <w:tc>
          <w:tcPr>
            <w:tcW w:w="1067" w:type="dxa"/>
            <w:tcBorders>
              <w:top w:val="nil"/>
              <w:left w:val="nil"/>
              <w:bottom w:val="single" w:color="000000" w:sz="4" w:space="0"/>
              <w:right w:val="single" w:color="000000" w:sz="4" w:space="0"/>
            </w:tcBorders>
            <w:shd w:val="clear" w:color="auto" w:fill="auto"/>
            <w:vAlign w:val="center"/>
          </w:tcPr>
          <w:p w14:paraId="6E64F8A9">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4F22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94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C6A625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合计</w:t>
            </w:r>
          </w:p>
        </w:tc>
        <w:tc>
          <w:tcPr>
            <w:tcW w:w="545" w:type="dxa"/>
            <w:tcBorders>
              <w:top w:val="nil"/>
              <w:left w:val="nil"/>
              <w:bottom w:val="single" w:color="000000" w:sz="4" w:space="0"/>
              <w:right w:val="single" w:color="000000" w:sz="4" w:space="0"/>
            </w:tcBorders>
            <w:shd w:val="clear" w:color="auto" w:fill="auto"/>
            <w:vAlign w:val="center"/>
          </w:tcPr>
          <w:p w14:paraId="5F0196C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100</w:t>
            </w:r>
          </w:p>
        </w:tc>
        <w:tc>
          <w:tcPr>
            <w:tcW w:w="678" w:type="dxa"/>
            <w:gridSpan w:val="2"/>
            <w:tcBorders>
              <w:top w:val="nil"/>
              <w:left w:val="nil"/>
              <w:bottom w:val="single" w:color="000000" w:sz="4" w:space="0"/>
              <w:right w:val="single" w:color="000000" w:sz="4" w:space="0"/>
            </w:tcBorders>
            <w:shd w:val="clear" w:color="auto" w:fill="auto"/>
            <w:vAlign w:val="center"/>
          </w:tcPr>
          <w:p w14:paraId="5585692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100</w:t>
            </w:r>
          </w:p>
        </w:tc>
        <w:tc>
          <w:tcPr>
            <w:tcW w:w="1067" w:type="dxa"/>
            <w:tcBorders>
              <w:top w:val="nil"/>
              <w:left w:val="nil"/>
              <w:bottom w:val="single" w:color="000000" w:sz="4" w:space="0"/>
              <w:right w:val="single" w:color="000000" w:sz="4" w:space="0"/>
            </w:tcBorders>
            <w:shd w:val="clear" w:color="auto" w:fill="auto"/>
            <w:vAlign w:val="center"/>
          </w:tcPr>
          <w:p w14:paraId="35B6539B">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　</w:t>
            </w:r>
          </w:p>
        </w:tc>
      </w:tr>
      <w:tr w14:paraId="0519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15" w:type="dxa"/>
            <w:gridSpan w:val="2"/>
            <w:tcBorders>
              <w:top w:val="nil"/>
              <w:left w:val="single" w:color="000000" w:sz="4" w:space="0"/>
              <w:bottom w:val="single" w:color="000000" w:sz="4" w:space="0"/>
              <w:right w:val="single" w:color="000000" w:sz="4" w:space="0"/>
            </w:tcBorders>
            <w:shd w:val="clear" w:color="auto" w:fill="auto"/>
            <w:vAlign w:val="center"/>
          </w:tcPr>
          <w:p w14:paraId="542D0EF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评价结论</w:t>
            </w:r>
          </w:p>
        </w:tc>
        <w:tc>
          <w:tcPr>
            <w:tcW w:w="8522" w:type="dxa"/>
            <w:gridSpan w:val="21"/>
            <w:tcBorders>
              <w:top w:val="single" w:color="000000" w:sz="4" w:space="0"/>
              <w:left w:val="nil"/>
              <w:bottom w:val="single" w:color="000000" w:sz="4" w:space="0"/>
              <w:right w:val="single" w:color="000000" w:sz="4" w:space="0"/>
            </w:tcBorders>
            <w:shd w:val="clear" w:color="auto" w:fill="auto"/>
            <w:vAlign w:val="center"/>
          </w:tcPr>
          <w:p w14:paraId="3EF03A67">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完成了全州共有430余所中小学、16.2万余名中小学师生参加活动，共征集作品995项，成为全州青少年和科技教师开展的一项规模最大、层级最高的综合性科技竞赛活动。大赛从预算执行情况、效益、满意度指标等进行了以上打分，预算执行率100%，执行情况良好，自评得分100分。</w:t>
            </w:r>
          </w:p>
        </w:tc>
      </w:tr>
      <w:tr w14:paraId="5906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15" w:type="dxa"/>
            <w:gridSpan w:val="2"/>
            <w:tcBorders>
              <w:top w:val="nil"/>
              <w:left w:val="single" w:color="000000" w:sz="4" w:space="0"/>
              <w:bottom w:val="single" w:color="000000" w:sz="4" w:space="0"/>
              <w:right w:val="single" w:color="000000" w:sz="4" w:space="0"/>
            </w:tcBorders>
            <w:shd w:val="clear" w:color="auto" w:fill="auto"/>
            <w:vAlign w:val="center"/>
          </w:tcPr>
          <w:p w14:paraId="2F0F7A5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存在问题</w:t>
            </w:r>
          </w:p>
        </w:tc>
        <w:tc>
          <w:tcPr>
            <w:tcW w:w="8522" w:type="dxa"/>
            <w:gridSpan w:val="21"/>
            <w:tcBorders>
              <w:top w:val="single" w:color="000000" w:sz="4" w:space="0"/>
              <w:left w:val="nil"/>
              <w:bottom w:val="single" w:color="000000" w:sz="4" w:space="0"/>
              <w:right w:val="single" w:color="000000" w:sz="4" w:space="0"/>
            </w:tcBorders>
            <w:shd w:val="clear" w:color="auto" w:fill="auto"/>
            <w:vAlign w:val="center"/>
          </w:tcPr>
          <w:p w14:paraId="423EDCD8">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部分县市重视程度不够,组织工作不够规范,参赛项目作品创新度不高、激励机制不健全，学校、教师和学生的积极性还有待提高。</w:t>
            </w:r>
          </w:p>
        </w:tc>
      </w:tr>
      <w:tr w14:paraId="1460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15" w:type="dxa"/>
            <w:gridSpan w:val="2"/>
            <w:tcBorders>
              <w:top w:val="nil"/>
              <w:left w:val="single" w:color="000000" w:sz="4" w:space="0"/>
              <w:bottom w:val="single" w:color="000000" w:sz="4" w:space="0"/>
              <w:right w:val="single" w:color="000000" w:sz="4" w:space="0"/>
            </w:tcBorders>
            <w:shd w:val="clear" w:color="auto" w:fill="auto"/>
            <w:vAlign w:val="center"/>
          </w:tcPr>
          <w:p w14:paraId="595BC76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改进措施</w:t>
            </w:r>
          </w:p>
        </w:tc>
        <w:tc>
          <w:tcPr>
            <w:tcW w:w="8522" w:type="dxa"/>
            <w:gridSpan w:val="21"/>
            <w:tcBorders>
              <w:top w:val="single" w:color="000000" w:sz="4" w:space="0"/>
              <w:left w:val="nil"/>
              <w:bottom w:val="single" w:color="000000" w:sz="4" w:space="0"/>
              <w:right w:val="single" w:color="000000" w:sz="4" w:space="0"/>
            </w:tcBorders>
            <w:shd w:val="clear" w:color="auto" w:fill="auto"/>
            <w:vAlign w:val="center"/>
          </w:tcPr>
          <w:p w14:paraId="30F32BEF">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争取当地教育部门的支持配合，大力做好宣传引导；树立典型示范学校、辐射周边学校；争取州财政 、教育部门的支持，加快构建激励机制；加强科教师资培训力度。</w:t>
            </w:r>
          </w:p>
          <w:p w14:paraId="2BF98763">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p>
        </w:tc>
      </w:tr>
      <w:tr w14:paraId="2885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8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CB66D5">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kern w:val="0"/>
                <w:sz w:val="15"/>
                <w:szCs w:val="15"/>
                <w:lang w:val="en-US"/>
              </w:rPr>
            </w:pPr>
            <w:r>
              <w:rPr>
                <w:rFonts w:hint="eastAsia" w:ascii="Courier New" w:hAnsi="Courier New" w:eastAsia="宋体" w:cs="Courier New"/>
                <w:kern w:val="0"/>
                <w:sz w:val="15"/>
                <w:szCs w:val="15"/>
                <w:lang w:val="en-US" w:eastAsia="zh-CN" w:bidi="ar"/>
              </w:rPr>
              <w:t>项目负责人：吴朝兰</w:t>
            </w:r>
          </w:p>
        </w:tc>
        <w:tc>
          <w:tcPr>
            <w:tcW w:w="5397" w:type="dxa"/>
            <w:gridSpan w:val="15"/>
            <w:tcBorders>
              <w:top w:val="single" w:color="000000" w:sz="4" w:space="0"/>
              <w:left w:val="nil"/>
              <w:bottom w:val="single" w:color="000000" w:sz="4" w:space="0"/>
              <w:right w:val="single" w:color="000000" w:sz="4" w:space="0"/>
            </w:tcBorders>
            <w:shd w:val="clear" w:color="auto" w:fill="auto"/>
            <w:vAlign w:val="center"/>
          </w:tcPr>
          <w:p w14:paraId="11B6ACC0">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kern w:val="0"/>
                <w:sz w:val="15"/>
                <w:szCs w:val="15"/>
                <w:lang w:val="en-US"/>
              </w:rPr>
            </w:pPr>
            <w:r>
              <w:rPr>
                <w:rFonts w:hint="eastAsia" w:ascii="Courier New" w:hAnsi="Courier New" w:eastAsia="宋体" w:cs="Courier New"/>
                <w:kern w:val="0"/>
                <w:sz w:val="15"/>
                <w:szCs w:val="15"/>
                <w:lang w:val="en-US" w:eastAsia="zh-CN" w:bidi="ar"/>
              </w:rPr>
              <w:t>财务负责人：毛正华</w:t>
            </w:r>
          </w:p>
        </w:tc>
      </w:tr>
      <w:tr w14:paraId="6824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23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13BDF38D">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color w:val="000000"/>
                <w:kern w:val="0"/>
                <w:sz w:val="30"/>
                <w:szCs w:val="30"/>
                <w:lang w:val="en-US" w:eastAsia="zh-CN" w:bidi="ar"/>
              </w:rPr>
            </w:pPr>
          </w:p>
          <w:p w14:paraId="4B09B1D2">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color w:val="000000"/>
                <w:kern w:val="0"/>
                <w:sz w:val="30"/>
                <w:szCs w:val="30"/>
                <w:lang w:val="en-US" w:eastAsia="zh-CN" w:bidi="ar"/>
              </w:rPr>
            </w:pPr>
          </w:p>
          <w:p w14:paraId="68FC4737">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24"/>
                <w:szCs w:val="24"/>
                <w:lang w:val="en-US" w:eastAsia="zh-CN" w:bidi="ar"/>
              </w:rPr>
              <w:t>部门预算项目支出绩效自评表（2023年度）</w:t>
            </w:r>
          </w:p>
        </w:tc>
      </w:tr>
      <w:tr w14:paraId="11FA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1BF0D2">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项目名称</w:t>
            </w:r>
          </w:p>
        </w:tc>
        <w:tc>
          <w:tcPr>
            <w:tcW w:w="7669" w:type="dxa"/>
            <w:gridSpan w:val="19"/>
            <w:tcBorders>
              <w:top w:val="single" w:color="000000" w:sz="4" w:space="0"/>
              <w:left w:val="nil"/>
              <w:bottom w:val="single" w:color="000000" w:sz="4" w:space="0"/>
              <w:right w:val="single" w:color="000000" w:sz="4" w:space="0"/>
            </w:tcBorders>
            <w:shd w:val="clear" w:color="auto" w:fill="auto"/>
            <w:vAlign w:val="center"/>
          </w:tcPr>
          <w:p w14:paraId="1955FF6E">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51340023T000008691951-2022年度关爱儿童示范岗补助经费</w:t>
            </w:r>
          </w:p>
        </w:tc>
      </w:tr>
      <w:tr w14:paraId="63C8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730D13">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主管部门</w:t>
            </w:r>
          </w:p>
        </w:tc>
        <w:tc>
          <w:tcPr>
            <w:tcW w:w="3875" w:type="dxa"/>
            <w:gridSpan w:val="10"/>
            <w:tcBorders>
              <w:top w:val="single" w:color="000000" w:sz="4" w:space="0"/>
              <w:left w:val="nil"/>
              <w:bottom w:val="single" w:color="000000" w:sz="4" w:space="0"/>
              <w:right w:val="single" w:color="000000" w:sz="4" w:space="0"/>
            </w:tcBorders>
            <w:shd w:val="clear" w:color="auto" w:fill="auto"/>
            <w:vAlign w:val="center"/>
          </w:tcPr>
          <w:p w14:paraId="6587DB8C">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凉山州科学技术协会部门</w:t>
            </w:r>
          </w:p>
        </w:tc>
        <w:tc>
          <w:tcPr>
            <w:tcW w:w="857" w:type="dxa"/>
            <w:gridSpan w:val="2"/>
            <w:shd w:val="clear" w:color="auto" w:fill="auto"/>
            <w:vAlign w:val="center"/>
          </w:tcPr>
          <w:p w14:paraId="00C25228">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实施单位</w:t>
            </w:r>
            <w:r>
              <w:rPr>
                <w:rFonts w:hint="default" w:ascii="Courier New" w:hAnsi="Courier New" w:eastAsia="宋体" w:cs="Courier New"/>
                <w:color w:val="000000"/>
                <w:kern w:val="0"/>
                <w:sz w:val="15"/>
                <w:szCs w:val="15"/>
                <w:lang w:val="en-US" w:eastAsia="zh-CN" w:bidi="ar"/>
              </w:rPr>
              <w:t xml:space="preserve"> </w:t>
            </w:r>
            <w:r>
              <w:rPr>
                <w:rFonts w:hint="eastAsia" w:ascii="Courier New" w:hAnsi="Courier New" w:eastAsia="宋体" w:cs="Courier New"/>
                <w:color w:val="000000"/>
                <w:kern w:val="0"/>
                <w:sz w:val="15"/>
                <w:szCs w:val="15"/>
                <w:lang w:val="en-US" w:eastAsia="zh-CN" w:bidi="ar"/>
              </w:rPr>
              <w:t>（盖章）</w:t>
            </w:r>
          </w:p>
        </w:tc>
        <w:tc>
          <w:tcPr>
            <w:tcW w:w="29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BE3FC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凉山州科学技术协会</w:t>
            </w:r>
          </w:p>
        </w:tc>
      </w:tr>
      <w:tr w14:paraId="4AC3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14:paraId="069F2A97">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项目基本情况</w:t>
            </w:r>
          </w:p>
        </w:tc>
        <w:tc>
          <w:tcPr>
            <w:tcW w:w="992"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1DAF3FC5">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1.项目年度目标完成情况</w:t>
            </w:r>
          </w:p>
        </w:tc>
        <w:tc>
          <w:tcPr>
            <w:tcW w:w="3875" w:type="dxa"/>
            <w:gridSpan w:val="10"/>
            <w:tcBorders>
              <w:top w:val="single" w:color="000000" w:sz="4" w:space="0"/>
              <w:left w:val="nil"/>
              <w:bottom w:val="single" w:color="000000" w:sz="4" w:space="0"/>
              <w:right w:val="single" w:color="000000" w:sz="4" w:space="0"/>
            </w:tcBorders>
            <w:shd w:val="clear" w:color="auto" w:fill="auto"/>
            <w:vAlign w:val="center"/>
          </w:tcPr>
          <w:p w14:paraId="2BFB6C1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项目年度目标</w:t>
            </w:r>
          </w:p>
        </w:tc>
        <w:tc>
          <w:tcPr>
            <w:tcW w:w="3794" w:type="dxa"/>
            <w:gridSpan w:val="9"/>
            <w:tcBorders>
              <w:top w:val="single" w:color="000000" w:sz="4" w:space="0"/>
              <w:left w:val="nil"/>
              <w:bottom w:val="single" w:color="000000" w:sz="4" w:space="0"/>
              <w:right w:val="single" w:color="000000" w:sz="4" w:space="0"/>
            </w:tcBorders>
            <w:shd w:val="clear" w:color="auto" w:fill="auto"/>
            <w:vAlign w:val="center"/>
          </w:tcPr>
          <w:p w14:paraId="76CA5CE3">
            <w:pPr>
              <w:keepNext w:val="0"/>
              <w:keepLines w:val="0"/>
              <w:widowControl/>
              <w:suppressLineNumbers w:val="0"/>
              <w:spacing w:before="0" w:beforeAutospacing="0" w:after="0" w:afterAutospacing="0" w:line="180" w:lineRule="exact"/>
              <w:ind w:left="0" w:right="0"/>
              <w:jc w:val="center"/>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年度目标完成情况</w:t>
            </w:r>
          </w:p>
        </w:tc>
      </w:tr>
      <w:tr w14:paraId="3B56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6139D88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7D5D2D2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3875" w:type="dxa"/>
            <w:gridSpan w:val="10"/>
            <w:tcBorders>
              <w:top w:val="single" w:color="000000" w:sz="4" w:space="0"/>
              <w:left w:val="nil"/>
              <w:bottom w:val="single" w:color="000000" w:sz="4" w:space="0"/>
              <w:right w:val="single" w:color="000000" w:sz="4" w:space="0"/>
            </w:tcBorders>
            <w:shd w:val="clear" w:color="auto" w:fill="auto"/>
            <w:vAlign w:val="center"/>
          </w:tcPr>
          <w:p w14:paraId="6513B57D">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　全面实施“树新风促振兴”暨妇女儿童关爱提升三年行动安排部署的实际行动，进一步凝聚合力，倡议全社会共同关心关爱儿童。</w:t>
            </w:r>
          </w:p>
        </w:tc>
        <w:tc>
          <w:tcPr>
            <w:tcW w:w="3794" w:type="dxa"/>
            <w:gridSpan w:val="9"/>
            <w:tcBorders>
              <w:top w:val="single" w:color="000000" w:sz="4" w:space="0"/>
              <w:left w:val="nil"/>
              <w:bottom w:val="single" w:color="000000" w:sz="4" w:space="0"/>
              <w:right w:val="single" w:color="000000" w:sz="4" w:space="0"/>
            </w:tcBorders>
            <w:shd w:val="clear" w:color="auto" w:fill="auto"/>
            <w:vAlign w:val="center"/>
          </w:tcPr>
          <w:p w14:paraId="695194AF">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color w:val="000000"/>
                <w:kern w:val="0"/>
                <w:sz w:val="15"/>
                <w:szCs w:val="15"/>
                <w:lang w:val="en-US"/>
              </w:rPr>
            </w:pPr>
            <w:r>
              <w:rPr>
                <w:rFonts w:hint="eastAsia" w:ascii="宋体" w:hAnsi="宋体" w:eastAsia="宋体" w:cs="宋体"/>
                <w:color w:val="000000"/>
                <w:kern w:val="0"/>
                <w:sz w:val="15"/>
                <w:szCs w:val="15"/>
                <w:lang w:val="en-US" w:eastAsia="zh-CN" w:bidi="ar"/>
              </w:rPr>
              <w:t>进一步凝聚合力，倡议全社会共同关心关爱儿童，用心用情促进儿童健康成长、全面发展。2022年财政预算支持创建工作经费1.5万元，主要用于完成年度内对昭觉县地膜镇巴尔村中心校学生购买学习用具、体育用品、饮水机等。</w:t>
            </w:r>
          </w:p>
        </w:tc>
      </w:tr>
      <w:tr w14:paraId="52FB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5AF7E52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tcBorders>
              <w:top w:val="nil"/>
              <w:left w:val="nil"/>
              <w:bottom w:val="single" w:color="000000" w:sz="4" w:space="0"/>
              <w:right w:val="single" w:color="000000" w:sz="4" w:space="0"/>
            </w:tcBorders>
            <w:shd w:val="clear" w:color="auto" w:fill="auto"/>
            <w:vAlign w:val="center"/>
          </w:tcPr>
          <w:p w14:paraId="24754658">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2.项目实施内容及过程概述</w:t>
            </w:r>
          </w:p>
        </w:tc>
        <w:tc>
          <w:tcPr>
            <w:tcW w:w="7669" w:type="dxa"/>
            <w:gridSpan w:val="19"/>
            <w:tcBorders>
              <w:top w:val="single" w:color="000000" w:sz="4" w:space="0"/>
              <w:left w:val="nil"/>
              <w:bottom w:val="single" w:color="000000" w:sz="4" w:space="0"/>
              <w:right w:val="single" w:color="000000" w:sz="4" w:space="0"/>
            </w:tcBorders>
            <w:shd w:val="clear" w:color="auto" w:fill="auto"/>
            <w:vAlign w:val="center"/>
          </w:tcPr>
          <w:p w14:paraId="571BA226">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项目于2023年“六一”儿童节前后三次分别到昭觉县地膜镇巴尔村中心校购买学习用具、体育用品、饮水机等对学生进行慰问。送去党的关怀和关爱、促进儿童健康成长、全面发展。</w:t>
            </w:r>
          </w:p>
        </w:tc>
      </w:tr>
      <w:tr w14:paraId="354A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14:paraId="5743313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预算执行情况（10分）</w:t>
            </w:r>
          </w:p>
        </w:tc>
        <w:tc>
          <w:tcPr>
            <w:tcW w:w="992" w:type="dxa"/>
            <w:gridSpan w:val="3"/>
            <w:tcBorders>
              <w:top w:val="nil"/>
              <w:left w:val="nil"/>
              <w:bottom w:val="single" w:color="000000" w:sz="4" w:space="0"/>
              <w:right w:val="single" w:color="000000" w:sz="4" w:space="0"/>
            </w:tcBorders>
            <w:shd w:val="clear" w:color="auto" w:fill="auto"/>
            <w:vAlign w:val="center"/>
          </w:tcPr>
          <w:p w14:paraId="3AA35BF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年度预算数（万元）</w:t>
            </w:r>
          </w:p>
        </w:tc>
        <w:tc>
          <w:tcPr>
            <w:tcW w:w="869" w:type="dxa"/>
            <w:tcBorders>
              <w:top w:val="nil"/>
              <w:left w:val="nil"/>
              <w:bottom w:val="single" w:color="000000" w:sz="4" w:space="0"/>
              <w:right w:val="single" w:color="000000" w:sz="4" w:space="0"/>
            </w:tcBorders>
            <w:shd w:val="clear" w:color="auto" w:fill="auto"/>
            <w:vAlign w:val="center"/>
          </w:tcPr>
          <w:p w14:paraId="5159518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年初预算</w:t>
            </w:r>
          </w:p>
        </w:tc>
        <w:tc>
          <w:tcPr>
            <w:tcW w:w="1173" w:type="dxa"/>
            <w:gridSpan w:val="2"/>
            <w:tcBorders>
              <w:top w:val="nil"/>
              <w:left w:val="nil"/>
              <w:bottom w:val="single" w:color="000000" w:sz="4" w:space="0"/>
              <w:right w:val="single" w:color="000000" w:sz="4" w:space="0"/>
            </w:tcBorders>
            <w:shd w:val="clear" w:color="auto" w:fill="auto"/>
            <w:vAlign w:val="center"/>
          </w:tcPr>
          <w:p w14:paraId="2F2BB53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调整后预算数</w:t>
            </w:r>
          </w:p>
        </w:tc>
        <w:tc>
          <w:tcPr>
            <w:tcW w:w="1833" w:type="dxa"/>
            <w:gridSpan w:val="7"/>
            <w:tcBorders>
              <w:top w:val="single" w:color="000000" w:sz="4" w:space="0"/>
              <w:left w:val="nil"/>
              <w:bottom w:val="single" w:color="000000" w:sz="4" w:space="0"/>
              <w:right w:val="single" w:color="000000" w:sz="4" w:space="0"/>
            </w:tcBorders>
            <w:shd w:val="clear" w:color="auto" w:fill="auto"/>
            <w:vAlign w:val="center"/>
          </w:tcPr>
          <w:p w14:paraId="4A1001E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预算执行数</w:t>
            </w:r>
          </w:p>
        </w:tc>
        <w:tc>
          <w:tcPr>
            <w:tcW w:w="857" w:type="dxa"/>
            <w:gridSpan w:val="2"/>
            <w:tcBorders>
              <w:top w:val="nil"/>
              <w:left w:val="nil"/>
              <w:bottom w:val="single" w:color="000000" w:sz="4" w:space="0"/>
              <w:right w:val="single" w:color="000000" w:sz="4" w:space="0"/>
            </w:tcBorders>
            <w:shd w:val="clear" w:color="auto" w:fill="auto"/>
            <w:vAlign w:val="center"/>
          </w:tcPr>
          <w:p w14:paraId="3ADF8EB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预算执行率</w:t>
            </w:r>
          </w:p>
        </w:tc>
        <w:tc>
          <w:tcPr>
            <w:tcW w:w="621" w:type="dxa"/>
            <w:gridSpan w:val="2"/>
            <w:tcBorders>
              <w:top w:val="nil"/>
              <w:left w:val="nil"/>
              <w:bottom w:val="single" w:color="000000" w:sz="4" w:space="0"/>
              <w:right w:val="single" w:color="000000" w:sz="4" w:space="0"/>
            </w:tcBorders>
            <w:shd w:val="clear" w:color="auto" w:fill="auto"/>
            <w:vAlign w:val="center"/>
          </w:tcPr>
          <w:p w14:paraId="7BF37A9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权重</w:t>
            </w:r>
          </w:p>
        </w:tc>
        <w:tc>
          <w:tcPr>
            <w:tcW w:w="624" w:type="dxa"/>
            <w:gridSpan w:val="3"/>
            <w:tcBorders>
              <w:top w:val="nil"/>
              <w:left w:val="nil"/>
              <w:bottom w:val="single" w:color="000000" w:sz="4" w:space="0"/>
              <w:right w:val="single" w:color="000000" w:sz="4" w:space="0"/>
            </w:tcBorders>
            <w:shd w:val="clear" w:color="auto" w:fill="auto"/>
            <w:vAlign w:val="center"/>
          </w:tcPr>
          <w:p w14:paraId="2C1E98B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得分</w:t>
            </w:r>
          </w:p>
        </w:tc>
        <w:tc>
          <w:tcPr>
            <w:tcW w:w="1692" w:type="dxa"/>
            <w:gridSpan w:val="2"/>
            <w:tcBorders>
              <w:top w:val="nil"/>
              <w:left w:val="nil"/>
              <w:bottom w:val="single" w:color="000000" w:sz="4" w:space="0"/>
              <w:right w:val="single" w:color="000000" w:sz="4" w:space="0"/>
            </w:tcBorders>
            <w:shd w:val="clear" w:color="auto" w:fill="auto"/>
            <w:vAlign w:val="center"/>
          </w:tcPr>
          <w:p w14:paraId="059339B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原因</w:t>
            </w:r>
          </w:p>
        </w:tc>
      </w:tr>
      <w:tr w14:paraId="2B31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65B9A47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tcBorders>
              <w:top w:val="nil"/>
              <w:left w:val="nil"/>
              <w:bottom w:val="single" w:color="000000" w:sz="4" w:space="0"/>
              <w:right w:val="single" w:color="000000" w:sz="4" w:space="0"/>
            </w:tcBorders>
            <w:shd w:val="clear" w:color="auto" w:fill="auto"/>
            <w:vAlign w:val="center"/>
          </w:tcPr>
          <w:p w14:paraId="789245D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总额</w:t>
            </w:r>
          </w:p>
        </w:tc>
        <w:tc>
          <w:tcPr>
            <w:tcW w:w="869" w:type="dxa"/>
            <w:tcBorders>
              <w:top w:val="nil"/>
              <w:left w:val="nil"/>
              <w:bottom w:val="single" w:color="000000" w:sz="4" w:space="0"/>
              <w:right w:val="single" w:color="000000" w:sz="4" w:space="0"/>
            </w:tcBorders>
            <w:shd w:val="clear" w:color="auto" w:fill="auto"/>
            <w:vAlign w:val="center"/>
          </w:tcPr>
          <w:p w14:paraId="0622C95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vAlign w:val="center"/>
          </w:tcPr>
          <w:p w14:paraId="0098D08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1.50</w:t>
            </w:r>
          </w:p>
        </w:tc>
        <w:tc>
          <w:tcPr>
            <w:tcW w:w="1833" w:type="dxa"/>
            <w:gridSpan w:val="7"/>
            <w:tcBorders>
              <w:top w:val="single" w:color="000000" w:sz="4" w:space="0"/>
              <w:left w:val="nil"/>
              <w:bottom w:val="single" w:color="000000" w:sz="4" w:space="0"/>
              <w:right w:val="single" w:color="000000" w:sz="4" w:space="0"/>
            </w:tcBorders>
            <w:shd w:val="clear" w:color="auto" w:fill="auto"/>
            <w:vAlign w:val="center"/>
          </w:tcPr>
          <w:p w14:paraId="1CEC336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1.50</w:t>
            </w:r>
          </w:p>
        </w:tc>
        <w:tc>
          <w:tcPr>
            <w:tcW w:w="857" w:type="dxa"/>
            <w:gridSpan w:val="2"/>
            <w:tcBorders>
              <w:top w:val="nil"/>
              <w:left w:val="nil"/>
              <w:bottom w:val="single" w:color="000000" w:sz="4" w:space="0"/>
              <w:right w:val="single" w:color="000000" w:sz="4" w:space="0"/>
            </w:tcBorders>
            <w:shd w:val="clear" w:color="auto" w:fill="auto"/>
            <w:vAlign w:val="center"/>
          </w:tcPr>
          <w:p w14:paraId="66A8B0A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100.00%</w:t>
            </w:r>
          </w:p>
        </w:tc>
        <w:tc>
          <w:tcPr>
            <w:tcW w:w="621" w:type="dxa"/>
            <w:gridSpan w:val="2"/>
            <w:tcBorders>
              <w:top w:val="nil"/>
              <w:left w:val="nil"/>
              <w:bottom w:val="single" w:color="000000" w:sz="4" w:space="0"/>
              <w:right w:val="single" w:color="000000" w:sz="4" w:space="0"/>
            </w:tcBorders>
            <w:shd w:val="clear" w:color="auto" w:fill="auto"/>
            <w:vAlign w:val="center"/>
          </w:tcPr>
          <w:p w14:paraId="50DBF14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24" w:type="dxa"/>
            <w:gridSpan w:val="3"/>
            <w:tcBorders>
              <w:top w:val="nil"/>
              <w:left w:val="nil"/>
              <w:bottom w:val="single" w:color="000000" w:sz="4" w:space="0"/>
              <w:right w:val="single" w:color="000000" w:sz="4" w:space="0"/>
            </w:tcBorders>
            <w:shd w:val="clear" w:color="auto" w:fill="auto"/>
            <w:vAlign w:val="center"/>
          </w:tcPr>
          <w:p w14:paraId="279D64D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692"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4523CC44">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i/>
                <w:iCs/>
                <w:kern w:val="0"/>
                <w:sz w:val="15"/>
                <w:szCs w:val="15"/>
                <w:lang w:val="en-US"/>
              </w:rPr>
            </w:pPr>
          </w:p>
        </w:tc>
      </w:tr>
      <w:tr w14:paraId="698F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0C2334F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tcBorders>
              <w:top w:val="nil"/>
              <w:left w:val="nil"/>
              <w:bottom w:val="single" w:color="000000" w:sz="4" w:space="0"/>
              <w:right w:val="single" w:color="000000" w:sz="4" w:space="0"/>
            </w:tcBorders>
            <w:shd w:val="clear" w:color="auto" w:fill="auto"/>
            <w:vAlign w:val="center"/>
          </w:tcPr>
          <w:p w14:paraId="4AFA71C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其中：财政资金</w:t>
            </w:r>
          </w:p>
        </w:tc>
        <w:tc>
          <w:tcPr>
            <w:tcW w:w="869" w:type="dxa"/>
            <w:tcBorders>
              <w:top w:val="nil"/>
              <w:left w:val="nil"/>
              <w:bottom w:val="single" w:color="000000" w:sz="4" w:space="0"/>
              <w:right w:val="single" w:color="000000" w:sz="4" w:space="0"/>
            </w:tcBorders>
            <w:shd w:val="clear" w:color="auto" w:fill="auto"/>
            <w:vAlign w:val="center"/>
          </w:tcPr>
          <w:p w14:paraId="3240F9F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vAlign w:val="center"/>
          </w:tcPr>
          <w:p w14:paraId="7269579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1.50</w:t>
            </w:r>
          </w:p>
        </w:tc>
        <w:tc>
          <w:tcPr>
            <w:tcW w:w="1833" w:type="dxa"/>
            <w:gridSpan w:val="7"/>
            <w:tcBorders>
              <w:top w:val="single" w:color="000000" w:sz="4" w:space="0"/>
              <w:left w:val="nil"/>
              <w:bottom w:val="single" w:color="000000" w:sz="4" w:space="0"/>
              <w:right w:val="single" w:color="000000" w:sz="4" w:space="0"/>
            </w:tcBorders>
            <w:shd w:val="clear" w:color="auto" w:fill="auto"/>
            <w:vAlign w:val="center"/>
          </w:tcPr>
          <w:p w14:paraId="41A014C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1.50</w:t>
            </w:r>
          </w:p>
        </w:tc>
        <w:tc>
          <w:tcPr>
            <w:tcW w:w="857" w:type="dxa"/>
            <w:gridSpan w:val="2"/>
            <w:tcBorders>
              <w:top w:val="nil"/>
              <w:left w:val="nil"/>
              <w:bottom w:val="single" w:color="000000" w:sz="4" w:space="0"/>
              <w:right w:val="single" w:color="000000" w:sz="4" w:space="0"/>
            </w:tcBorders>
            <w:shd w:val="clear" w:color="auto" w:fill="auto"/>
            <w:vAlign w:val="center"/>
          </w:tcPr>
          <w:p w14:paraId="48D6FAC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100.00%</w:t>
            </w:r>
          </w:p>
        </w:tc>
        <w:tc>
          <w:tcPr>
            <w:tcW w:w="621" w:type="dxa"/>
            <w:gridSpan w:val="2"/>
            <w:tcBorders>
              <w:top w:val="nil"/>
              <w:left w:val="nil"/>
              <w:bottom w:val="single" w:color="000000" w:sz="4" w:space="0"/>
              <w:right w:val="single" w:color="000000" w:sz="4" w:space="0"/>
            </w:tcBorders>
            <w:shd w:val="clear" w:color="auto" w:fill="auto"/>
            <w:vAlign w:val="center"/>
          </w:tcPr>
          <w:p w14:paraId="7DF3B95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24" w:type="dxa"/>
            <w:gridSpan w:val="3"/>
            <w:tcBorders>
              <w:top w:val="nil"/>
              <w:left w:val="nil"/>
              <w:bottom w:val="single" w:color="000000" w:sz="4" w:space="0"/>
              <w:right w:val="single" w:color="000000" w:sz="4" w:space="0"/>
            </w:tcBorders>
            <w:shd w:val="clear" w:color="auto" w:fill="auto"/>
            <w:vAlign w:val="center"/>
          </w:tcPr>
          <w:p w14:paraId="111EF4B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169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50E3465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329E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4415D2E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tcBorders>
              <w:top w:val="nil"/>
              <w:left w:val="nil"/>
              <w:bottom w:val="single" w:color="000000" w:sz="4" w:space="0"/>
              <w:right w:val="single" w:color="000000" w:sz="4" w:space="0"/>
            </w:tcBorders>
            <w:shd w:val="clear" w:color="auto" w:fill="auto"/>
            <w:vAlign w:val="center"/>
          </w:tcPr>
          <w:p w14:paraId="5A3998A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财政专户管理资金</w:t>
            </w:r>
          </w:p>
        </w:tc>
        <w:tc>
          <w:tcPr>
            <w:tcW w:w="869" w:type="dxa"/>
            <w:tcBorders>
              <w:top w:val="nil"/>
              <w:left w:val="nil"/>
              <w:bottom w:val="single" w:color="000000" w:sz="4" w:space="0"/>
              <w:right w:val="single" w:color="000000" w:sz="4" w:space="0"/>
            </w:tcBorders>
            <w:shd w:val="clear" w:color="auto" w:fill="auto"/>
            <w:vAlign w:val="center"/>
          </w:tcPr>
          <w:p w14:paraId="09022F5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vAlign w:val="center"/>
          </w:tcPr>
          <w:p w14:paraId="76F150F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833" w:type="dxa"/>
            <w:gridSpan w:val="7"/>
            <w:tcBorders>
              <w:top w:val="single" w:color="000000" w:sz="4" w:space="0"/>
              <w:left w:val="nil"/>
              <w:bottom w:val="single" w:color="000000" w:sz="4" w:space="0"/>
              <w:right w:val="single" w:color="000000" w:sz="4" w:space="0"/>
            </w:tcBorders>
            <w:shd w:val="clear" w:color="auto" w:fill="auto"/>
            <w:vAlign w:val="center"/>
          </w:tcPr>
          <w:p w14:paraId="57BFBE5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857" w:type="dxa"/>
            <w:gridSpan w:val="2"/>
            <w:tcBorders>
              <w:top w:val="nil"/>
              <w:left w:val="nil"/>
              <w:bottom w:val="single" w:color="000000" w:sz="4" w:space="0"/>
              <w:right w:val="single" w:color="000000" w:sz="4" w:space="0"/>
            </w:tcBorders>
            <w:shd w:val="clear" w:color="auto" w:fill="auto"/>
            <w:vAlign w:val="center"/>
          </w:tcPr>
          <w:p w14:paraId="23E6036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621" w:type="dxa"/>
            <w:gridSpan w:val="2"/>
            <w:tcBorders>
              <w:top w:val="nil"/>
              <w:left w:val="nil"/>
              <w:bottom w:val="single" w:color="000000" w:sz="4" w:space="0"/>
              <w:right w:val="single" w:color="000000" w:sz="4" w:space="0"/>
            </w:tcBorders>
            <w:shd w:val="clear" w:color="auto" w:fill="auto"/>
            <w:vAlign w:val="center"/>
          </w:tcPr>
          <w:p w14:paraId="7D696D6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24" w:type="dxa"/>
            <w:gridSpan w:val="3"/>
            <w:tcBorders>
              <w:top w:val="nil"/>
              <w:left w:val="nil"/>
              <w:bottom w:val="single" w:color="000000" w:sz="4" w:space="0"/>
              <w:right w:val="single" w:color="000000" w:sz="4" w:space="0"/>
            </w:tcBorders>
            <w:shd w:val="clear" w:color="auto" w:fill="auto"/>
            <w:vAlign w:val="center"/>
          </w:tcPr>
          <w:p w14:paraId="7578C63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169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346C3C9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0D71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2878DE9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tcBorders>
              <w:top w:val="nil"/>
              <w:left w:val="nil"/>
              <w:bottom w:val="single" w:color="000000" w:sz="4" w:space="0"/>
              <w:right w:val="single" w:color="000000" w:sz="4" w:space="0"/>
            </w:tcBorders>
            <w:shd w:val="clear" w:color="auto" w:fill="auto"/>
            <w:vAlign w:val="center"/>
          </w:tcPr>
          <w:p w14:paraId="60E8B21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单位资金</w:t>
            </w:r>
          </w:p>
        </w:tc>
        <w:tc>
          <w:tcPr>
            <w:tcW w:w="869" w:type="dxa"/>
            <w:tcBorders>
              <w:top w:val="nil"/>
              <w:left w:val="nil"/>
              <w:bottom w:val="single" w:color="000000" w:sz="4" w:space="0"/>
              <w:right w:val="single" w:color="000000" w:sz="4" w:space="0"/>
            </w:tcBorders>
            <w:shd w:val="clear" w:color="auto" w:fill="auto"/>
            <w:vAlign w:val="center"/>
          </w:tcPr>
          <w:p w14:paraId="17AE27A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vAlign w:val="center"/>
          </w:tcPr>
          <w:p w14:paraId="7094618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833" w:type="dxa"/>
            <w:gridSpan w:val="7"/>
            <w:tcBorders>
              <w:top w:val="single" w:color="000000" w:sz="4" w:space="0"/>
              <w:left w:val="nil"/>
              <w:bottom w:val="single" w:color="000000" w:sz="4" w:space="0"/>
              <w:right w:val="single" w:color="000000" w:sz="4" w:space="0"/>
            </w:tcBorders>
            <w:shd w:val="clear" w:color="auto" w:fill="auto"/>
            <w:vAlign w:val="center"/>
          </w:tcPr>
          <w:p w14:paraId="0B47A32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857" w:type="dxa"/>
            <w:gridSpan w:val="2"/>
            <w:tcBorders>
              <w:top w:val="nil"/>
              <w:left w:val="nil"/>
              <w:bottom w:val="single" w:color="000000" w:sz="4" w:space="0"/>
              <w:right w:val="single" w:color="000000" w:sz="4" w:space="0"/>
            </w:tcBorders>
            <w:shd w:val="clear" w:color="auto" w:fill="auto"/>
            <w:vAlign w:val="center"/>
          </w:tcPr>
          <w:p w14:paraId="182E4EC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621" w:type="dxa"/>
            <w:gridSpan w:val="2"/>
            <w:tcBorders>
              <w:top w:val="nil"/>
              <w:left w:val="nil"/>
              <w:bottom w:val="single" w:color="000000" w:sz="4" w:space="0"/>
              <w:right w:val="single" w:color="000000" w:sz="4" w:space="0"/>
            </w:tcBorders>
            <w:shd w:val="clear" w:color="auto" w:fill="auto"/>
            <w:vAlign w:val="center"/>
          </w:tcPr>
          <w:p w14:paraId="7BEBC6B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24" w:type="dxa"/>
            <w:gridSpan w:val="3"/>
            <w:tcBorders>
              <w:top w:val="nil"/>
              <w:left w:val="nil"/>
              <w:bottom w:val="single" w:color="000000" w:sz="4" w:space="0"/>
              <w:right w:val="single" w:color="000000" w:sz="4" w:space="0"/>
            </w:tcBorders>
            <w:shd w:val="clear" w:color="auto" w:fill="auto"/>
            <w:vAlign w:val="center"/>
          </w:tcPr>
          <w:p w14:paraId="7386CF7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169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20D8AE5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1807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2AA95A0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tcBorders>
              <w:top w:val="nil"/>
              <w:left w:val="nil"/>
              <w:bottom w:val="single" w:color="000000" w:sz="4" w:space="0"/>
              <w:right w:val="single" w:color="000000" w:sz="4" w:space="0"/>
            </w:tcBorders>
            <w:shd w:val="clear" w:color="auto" w:fill="auto"/>
            <w:vAlign w:val="center"/>
          </w:tcPr>
          <w:p w14:paraId="0809643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其他资金</w:t>
            </w:r>
          </w:p>
        </w:tc>
        <w:tc>
          <w:tcPr>
            <w:tcW w:w="869" w:type="dxa"/>
            <w:tcBorders>
              <w:top w:val="nil"/>
              <w:left w:val="nil"/>
              <w:bottom w:val="single" w:color="000000" w:sz="4" w:space="0"/>
              <w:right w:val="single" w:color="000000" w:sz="4" w:space="0"/>
            </w:tcBorders>
            <w:shd w:val="clear" w:color="auto" w:fill="auto"/>
            <w:vAlign w:val="center"/>
          </w:tcPr>
          <w:p w14:paraId="69BA28BC">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c>
          <w:tcPr>
            <w:tcW w:w="1173" w:type="dxa"/>
            <w:gridSpan w:val="2"/>
            <w:tcBorders>
              <w:top w:val="nil"/>
              <w:left w:val="nil"/>
              <w:bottom w:val="single" w:color="000000" w:sz="4" w:space="0"/>
              <w:right w:val="single" w:color="000000" w:sz="4" w:space="0"/>
            </w:tcBorders>
            <w:shd w:val="clear" w:color="auto" w:fill="auto"/>
            <w:vAlign w:val="center"/>
          </w:tcPr>
          <w:p w14:paraId="0CF0E640">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c>
          <w:tcPr>
            <w:tcW w:w="1833" w:type="dxa"/>
            <w:gridSpan w:val="7"/>
            <w:tcBorders>
              <w:top w:val="single" w:color="000000" w:sz="4" w:space="0"/>
              <w:left w:val="nil"/>
              <w:bottom w:val="single" w:color="000000" w:sz="4" w:space="0"/>
              <w:right w:val="single" w:color="000000" w:sz="4" w:space="0"/>
            </w:tcBorders>
            <w:shd w:val="clear" w:color="auto" w:fill="auto"/>
            <w:vAlign w:val="center"/>
          </w:tcPr>
          <w:p w14:paraId="1AC2B017">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c>
          <w:tcPr>
            <w:tcW w:w="857" w:type="dxa"/>
            <w:gridSpan w:val="2"/>
            <w:tcBorders>
              <w:top w:val="nil"/>
              <w:left w:val="nil"/>
              <w:bottom w:val="single" w:color="000000" w:sz="4" w:space="0"/>
              <w:right w:val="single" w:color="000000" w:sz="4" w:space="0"/>
            </w:tcBorders>
            <w:shd w:val="clear" w:color="auto" w:fill="auto"/>
            <w:vAlign w:val="center"/>
          </w:tcPr>
          <w:p w14:paraId="35160946">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c>
          <w:tcPr>
            <w:tcW w:w="621" w:type="dxa"/>
            <w:gridSpan w:val="2"/>
            <w:tcBorders>
              <w:top w:val="nil"/>
              <w:left w:val="nil"/>
              <w:bottom w:val="single" w:color="000000" w:sz="4" w:space="0"/>
              <w:right w:val="single" w:color="000000" w:sz="4" w:space="0"/>
            </w:tcBorders>
            <w:shd w:val="clear" w:color="auto" w:fill="auto"/>
            <w:vAlign w:val="center"/>
          </w:tcPr>
          <w:p w14:paraId="721531A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24" w:type="dxa"/>
            <w:gridSpan w:val="3"/>
            <w:tcBorders>
              <w:top w:val="nil"/>
              <w:left w:val="nil"/>
              <w:bottom w:val="single" w:color="000000" w:sz="4" w:space="0"/>
              <w:right w:val="single" w:color="000000" w:sz="4" w:space="0"/>
            </w:tcBorders>
            <w:shd w:val="clear" w:color="auto" w:fill="auto"/>
            <w:vAlign w:val="center"/>
          </w:tcPr>
          <w:p w14:paraId="0455F7F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169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65E868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4AF9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14:paraId="51AF9D3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绩效指标（90分）</w:t>
            </w:r>
          </w:p>
        </w:tc>
        <w:tc>
          <w:tcPr>
            <w:tcW w:w="992" w:type="dxa"/>
            <w:gridSpan w:val="3"/>
            <w:tcBorders>
              <w:top w:val="nil"/>
              <w:left w:val="nil"/>
              <w:bottom w:val="single" w:color="000000" w:sz="4" w:space="0"/>
              <w:right w:val="single" w:color="000000" w:sz="4" w:space="0"/>
            </w:tcBorders>
            <w:shd w:val="clear" w:color="auto" w:fill="auto"/>
            <w:vAlign w:val="center"/>
          </w:tcPr>
          <w:p w14:paraId="4DFBF12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一级指标</w:t>
            </w:r>
          </w:p>
        </w:tc>
        <w:tc>
          <w:tcPr>
            <w:tcW w:w="869" w:type="dxa"/>
            <w:tcBorders>
              <w:top w:val="nil"/>
              <w:left w:val="nil"/>
              <w:bottom w:val="single" w:color="000000" w:sz="4" w:space="0"/>
              <w:right w:val="single" w:color="000000" w:sz="4" w:space="0"/>
            </w:tcBorders>
            <w:shd w:val="clear" w:color="auto" w:fill="auto"/>
            <w:vAlign w:val="center"/>
          </w:tcPr>
          <w:p w14:paraId="6E51EB9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二级指标</w:t>
            </w:r>
          </w:p>
        </w:tc>
        <w:tc>
          <w:tcPr>
            <w:tcW w:w="1173" w:type="dxa"/>
            <w:gridSpan w:val="2"/>
            <w:tcBorders>
              <w:top w:val="nil"/>
              <w:left w:val="nil"/>
              <w:bottom w:val="single" w:color="000000" w:sz="4" w:space="0"/>
              <w:right w:val="single" w:color="000000" w:sz="4" w:space="0"/>
            </w:tcBorders>
            <w:shd w:val="clear" w:color="auto" w:fill="auto"/>
            <w:vAlign w:val="center"/>
          </w:tcPr>
          <w:p w14:paraId="35E285E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三级指标</w:t>
            </w:r>
          </w:p>
        </w:tc>
        <w:tc>
          <w:tcPr>
            <w:tcW w:w="551" w:type="dxa"/>
            <w:gridSpan w:val="2"/>
            <w:tcBorders>
              <w:top w:val="nil"/>
              <w:left w:val="nil"/>
              <w:bottom w:val="single" w:color="000000" w:sz="4" w:space="0"/>
              <w:right w:val="single" w:color="000000" w:sz="4" w:space="0"/>
            </w:tcBorders>
            <w:shd w:val="clear" w:color="auto" w:fill="auto"/>
            <w:vAlign w:val="center"/>
          </w:tcPr>
          <w:p w14:paraId="0F9C3B9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指标性质</w:t>
            </w:r>
          </w:p>
        </w:tc>
        <w:tc>
          <w:tcPr>
            <w:tcW w:w="526" w:type="dxa"/>
            <w:gridSpan w:val="2"/>
            <w:tcBorders>
              <w:top w:val="nil"/>
              <w:left w:val="nil"/>
              <w:bottom w:val="single" w:color="000000" w:sz="4" w:space="0"/>
              <w:right w:val="single" w:color="000000" w:sz="4" w:space="0"/>
            </w:tcBorders>
            <w:shd w:val="clear" w:color="auto" w:fill="auto"/>
            <w:vAlign w:val="center"/>
          </w:tcPr>
          <w:p w14:paraId="5906DE6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指标值</w:t>
            </w:r>
          </w:p>
        </w:tc>
        <w:tc>
          <w:tcPr>
            <w:tcW w:w="756" w:type="dxa"/>
            <w:gridSpan w:val="3"/>
            <w:tcBorders>
              <w:top w:val="nil"/>
              <w:left w:val="nil"/>
              <w:bottom w:val="single" w:color="000000" w:sz="4" w:space="0"/>
              <w:right w:val="single" w:color="000000" w:sz="4" w:space="0"/>
            </w:tcBorders>
            <w:shd w:val="clear" w:color="auto" w:fill="auto"/>
            <w:vAlign w:val="center"/>
          </w:tcPr>
          <w:p w14:paraId="5D36F2E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度量单位</w:t>
            </w:r>
          </w:p>
        </w:tc>
        <w:tc>
          <w:tcPr>
            <w:tcW w:w="857" w:type="dxa"/>
            <w:gridSpan w:val="2"/>
            <w:tcBorders>
              <w:top w:val="nil"/>
              <w:left w:val="nil"/>
              <w:bottom w:val="single" w:color="000000" w:sz="4" w:space="0"/>
              <w:right w:val="single" w:color="000000" w:sz="4" w:space="0"/>
            </w:tcBorders>
            <w:shd w:val="clear" w:color="auto" w:fill="auto"/>
            <w:vAlign w:val="center"/>
          </w:tcPr>
          <w:p w14:paraId="763D99E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完成值</w:t>
            </w:r>
          </w:p>
        </w:tc>
        <w:tc>
          <w:tcPr>
            <w:tcW w:w="621" w:type="dxa"/>
            <w:gridSpan w:val="2"/>
            <w:tcBorders>
              <w:top w:val="nil"/>
              <w:left w:val="nil"/>
              <w:bottom w:val="single" w:color="000000" w:sz="4" w:space="0"/>
              <w:right w:val="single" w:color="000000" w:sz="4" w:space="0"/>
            </w:tcBorders>
            <w:shd w:val="clear" w:color="auto" w:fill="auto"/>
            <w:vAlign w:val="center"/>
          </w:tcPr>
          <w:p w14:paraId="7634EC2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权重</w:t>
            </w:r>
          </w:p>
        </w:tc>
        <w:tc>
          <w:tcPr>
            <w:tcW w:w="624" w:type="dxa"/>
            <w:gridSpan w:val="3"/>
            <w:tcBorders>
              <w:top w:val="nil"/>
              <w:left w:val="nil"/>
              <w:bottom w:val="single" w:color="000000" w:sz="4" w:space="0"/>
              <w:right w:val="single" w:color="000000" w:sz="4" w:space="0"/>
            </w:tcBorders>
            <w:shd w:val="clear" w:color="auto" w:fill="auto"/>
            <w:vAlign w:val="center"/>
          </w:tcPr>
          <w:p w14:paraId="4D5B73F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得分</w:t>
            </w:r>
          </w:p>
        </w:tc>
        <w:tc>
          <w:tcPr>
            <w:tcW w:w="1692" w:type="dxa"/>
            <w:gridSpan w:val="2"/>
            <w:tcBorders>
              <w:top w:val="nil"/>
              <w:left w:val="nil"/>
              <w:bottom w:val="single" w:color="000000" w:sz="4" w:space="0"/>
              <w:right w:val="single" w:color="000000" w:sz="4" w:space="0"/>
            </w:tcBorders>
            <w:shd w:val="clear" w:color="auto" w:fill="auto"/>
            <w:vAlign w:val="center"/>
          </w:tcPr>
          <w:p w14:paraId="723F758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未完成原因分析</w:t>
            </w:r>
          </w:p>
        </w:tc>
      </w:tr>
      <w:tr w14:paraId="5F7F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543FA89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vMerge w:val="restart"/>
            <w:tcBorders>
              <w:top w:val="nil"/>
              <w:left w:val="nil"/>
              <w:bottom w:val="single" w:color="000000" w:sz="4" w:space="0"/>
              <w:right w:val="single" w:color="000000" w:sz="4" w:space="0"/>
            </w:tcBorders>
            <w:shd w:val="clear" w:color="auto" w:fill="auto"/>
            <w:vAlign w:val="center"/>
          </w:tcPr>
          <w:p w14:paraId="1895255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产出指标</w:t>
            </w:r>
          </w:p>
        </w:tc>
        <w:tc>
          <w:tcPr>
            <w:tcW w:w="869" w:type="dxa"/>
            <w:tcBorders>
              <w:top w:val="nil"/>
              <w:left w:val="nil"/>
              <w:bottom w:val="single" w:color="000000" w:sz="4" w:space="0"/>
              <w:right w:val="single" w:color="000000" w:sz="4" w:space="0"/>
            </w:tcBorders>
            <w:shd w:val="clear" w:color="auto" w:fill="auto"/>
            <w:vAlign w:val="center"/>
          </w:tcPr>
          <w:p w14:paraId="63C0A8F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数量指标</w:t>
            </w:r>
          </w:p>
        </w:tc>
        <w:tc>
          <w:tcPr>
            <w:tcW w:w="1173" w:type="dxa"/>
            <w:gridSpan w:val="2"/>
            <w:tcBorders>
              <w:top w:val="nil"/>
              <w:left w:val="nil"/>
              <w:bottom w:val="single" w:color="000000" w:sz="4" w:space="0"/>
              <w:right w:val="single" w:color="000000" w:sz="4" w:space="0"/>
            </w:tcBorders>
            <w:shd w:val="clear" w:color="auto" w:fill="auto"/>
            <w:vAlign w:val="center"/>
          </w:tcPr>
          <w:p w14:paraId="08BEA81B">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购买学习、体育用具等</w:t>
            </w:r>
          </w:p>
        </w:tc>
        <w:tc>
          <w:tcPr>
            <w:tcW w:w="551" w:type="dxa"/>
            <w:gridSpan w:val="2"/>
            <w:tcBorders>
              <w:top w:val="nil"/>
              <w:left w:val="nil"/>
              <w:bottom w:val="single" w:color="000000" w:sz="4" w:space="0"/>
              <w:right w:val="single" w:color="000000" w:sz="4" w:space="0"/>
            </w:tcBorders>
            <w:shd w:val="clear" w:color="auto" w:fill="auto"/>
            <w:vAlign w:val="center"/>
          </w:tcPr>
          <w:p w14:paraId="1FD5D21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526" w:type="dxa"/>
            <w:gridSpan w:val="2"/>
            <w:tcBorders>
              <w:top w:val="nil"/>
              <w:left w:val="nil"/>
              <w:bottom w:val="single" w:color="000000" w:sz="4" w:space="0"/>
              <w:right w:val="single" w:color="000000" w:sz="4" w:space="0"/>
            </w:tcBorders>
            <w:shd w:val="clear" w:color="auto" w:fill="auto"/>
            <w:vAlign w:val="center"/>
          </w:tcPr>
          <w:p w14:paraId="1851C15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350</w:t>
            </w:r>
          </w:p>
        </w:tc>
        <w:tc>
          <w:tcPr>
            <w:tcW w:w="756" w:type="dxa"/>
            <w:gridSpan w:val="3"/>
            <w:tcBorders>
              <w:top w:val="nil"/>
              <w:left w:val="nil"/>
              <w:bottom w:val="single" w:color="000000" w:sz="4" w:space="0"/>
              <w:right w:val="single" w:color="000000" w:sz="4" w:space="0"/>
            </w:tcBorders>
            <w:shd w:val="clear" w:color="auto" w:fill="auto"/>
            <w:vAlign w:val="center"/>
          </w:tcPr>
          <w:p w14:paraId="0C56BDA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次（项）</w:t>
            </w:r>
          </w:p>
        </w:tc>
        <w:tc>
          <w:tcPr>
            <w:tcW w:w="857" w:type="dxa"/>
            <w:gridSpan w:val="2"/>
            <w:tcBorders>
              <w:top w:val="nil"/>
              <w:left w:val="nil"/>
              <w:bottom w:val="single" w:color="000000" w:sz="4" w:space="0"/>
              <w:right w:val="single" w:color="000000" w:sz="4" w:space="0"/>
            </w:tcBorders>
            <w:shd w:val="clear" w:color="auto" w:fill="auto"/>
            <w:vAlign w:val="center"/>
          </w:tcPr>
          <w:p w14:paraId="251EF3DD">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363</w:t>
            </w:r>
          </w:p>
        </w:tc>
        <w:tc>
          <w:tcPr>
            <w:tcW w:w="621" w:type="dxa"/>
            <w:gridSpan w:val="2"/>
            <w:tcBorders>
              <w:top w:val="nil"/>
              <w:left w:val="nil"/>
              <w:bottom w:val="single" w:color="000000" w:sz="4" w:space="0"/>
              <w:right w:val="single" w:color="000000" w:sz="4" w:space="0"/>
            </w:tcBorders>
            <w:shd w:val="clear" w:color="auto" w:fill="auto"/>
            <w:vAlign w:val="center"/>
          </w:tcPr>
          <w:p w14:paraId="454348B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w:t>
            </w:r>
          </w:p>
        </w:tc>
        <w:tc>
          <w:tcPr>
            <w:tcW w:w="624" w:type="dxa"/>
            <w:gridSpan w:val="3"/>
            <w:tcBorders>
              <w:top w:val="nil"/>
              <w:left w:val="nil"/>
              <w:bottom w:val="single" w:color="000000" w:sz="4" w:space="0"/>
              <w:right w:val="single" w:color="000000" w:sz="4" w:space="0"/>
            </w:tcBorders>
            <w:shd w:val="clear" w:color="auto" w:fill="auto"/>
            <w:vAlign w:val="center"/>
          </w:tcPr>
          <w:p w14:paraId="7634815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　</w:t>
            </w:r>
          </w:p>
        </w:tc>
        <w:tc>
          <w:tcPr>
            <w:tcW w:w="1692" w:type="dxa"/>
            <w:gridSpan w:val="2"/>
            <w:tcBorders>
              <w:top w:val="nil"/>
              <w:left w:val="nil"/>
              <w:bottom w:val="single" w:color="000000" w:sz="4" w:space="0"/>
              <w:right w:val="single" w:color="000000" w:sz="4" w:space="0"/>
            </w:tcBorders>
            <w:shd w:val="clear" w:color="auto" w:fill="auto"/>
            <w:vAlign w:val="center"/>
          </w:tcPr>
          <w:p w14:paraId="68614232">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0F2E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1D028BC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vMerge w:val="continue"/>
            <w:tcBorders>
              <w:top w:val="nil"/>
              <w:left w:val="nil"/>
              <w:bottom w:val="single" w:color="000000" w:sz="4" w:space="0"/>
              <w:right w:val="single" w:color="000000" w:sz="4" w:space="0"/>
            </w:tcBorders>
            <w:shd w:val="clear" w:color="auto" w:fill="auto"/>
            <w:vAlign w:val="center"/>
          </w:tcPr>
          <w:p w14:paraId="00B1E18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9" w:type="dxa"/>
            <w:tcBorders>
              <w:top w:val="nil"/>
              <w:left w:val="nil"/>
              <w:bottom w:val="single" w:color="000000" w:sz="4" w:space="0"/>
              <w:right w:val="single" w:color="000000" w:sz="4" w:space="0"/>
            </w:tcBorders>
            <w:shd w:val="clear" w:color="auto" w:fill="auto"/>
            <w:vAlign w:val="center"/>
          </w:tcPr>
          <w:p w14:paraId="3EF2FD2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质量指标</w:t>
            </w:r>
          </w:p>
        </w:tc>
        <w:tc>
          <w:tcPr>
            <w:tcW w:w="1173" w:type="dxa"/>
            <w:gridSpan w:val="2"/>
            <w:tcBorders>
              <w:top w:val="nil"/>
              <w:left w:val="nil"/>
              <w:bottom w:val="single" w:color="000000" w:sz="4" w:space="0"/>
              <w:right w:val="single" w:color="000000" w:sz="4" w:space="0"/>
            </w:tcBorders>
            <w:shd w:val="clear" w:color="auto" w:fill="auto"/>
            <w:vAlign w:val="center"/>
          </w:tcPr>
          <w:p w14:paraId="29A172B2">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学习及体育用具达标率</w:t>
            </w:r>
          </w:p>
        </w:tc>
        <w:tc>
          <w:tcPr>
            <w:tcW w:w="551" w:type="dxa"/>
            <w:gridSpan w:val="2"/>
            <w:tcBorders>
              <w:top w:val="nil"/>
              <w:left w:val="nil"/>
              <w:bottom w:val="single" w:color="000000" w:sz="4" w:space="0"/>
              <w:right w:val="single" w:color="000000" w:sz="4" w:space="0"/>
            </w:tcBorders>
            <w:shd w:val="clear" w:color="auto" w:fill="auto"/>
            <w:vAlign w:val="center"/>
          </w:tcPr>
          <w:p w14:paraId="7CE244F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526" w:type="dxa"/>
            <w:gridSpan w:val="2"/>
            <w:tcBorders>
              <w:top w:val="nil"/>
              <w:left w:val="nil"/>
              <w:bottom w:val="single" w:color="000000" w:sz="4" w:space="0"/>
              <w:right w:val="single" w:color="000000" w:sz="4" w:space="0"/>
            </w:tcBorders>
            <w:shd w:val="clear" w:color="auto" w:fill="auto"/>
            <w:vAlign w:val="center"/>
          </w:tcPr>
          <w:p w14:paraId="26E9D23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90</w:t>
            </w:r>
          </w:p>
        </w:tc>
        <w:tc>
          <w:tcPr>
            <w:tcW w:w="756" w:type="dxa"/>
            <w:gridSpan w:val="3"/>
            <w:tcBorders>
              <w:top w:val="nil"/>
              <w:left w:val="nil"/>
              <w:bottom w:val="single" w:color="000000" w:sz="4" w:space="0"/>
              <w:right w:val="single" w:color="000000" w:sz="4" w:space="0"/>
            </w:tcBorders>
            <w:shd w:val="clear" w:color="auto" w:fill="auto"/>
            <w:vAlign w:val="center"/>
          </w:tcPr>
          <w:p w14:paraId="21CB21A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857" w:type="dxa"/>
            <w:gridSpan w:val="2"/>
            <w:tcBorders>
              <w:top w:val="nil"/>
              <w:left w:val="nil"/>
              <w:bottom w:val="single" w:color="000000" w:sz="4" w:space="0"/>
              <w:right w:val="single" w:color="000000" w:sz="4" w:space="0"/>
            </w:tcBorders>
            <w:shd w:val="clear" w:color="auto" w:fill="auto"/>
            <w:vAlign w:val="center"/>
          </w:tcPr>
          <w:p w14:paraId="1CE840D9">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95</w:t>
            </w:r>
          </w:p>
        </w:tc>
        <w:tc>
          <w:tcPr>
            <w:tcW w:w="621" w:type="dxa"/>
            <w:gridSpan w:val="2"/>
            <w:tcBorders>
              <w:top w:val="nil"/>
              <w:left w:val="nil"/>
              <w:bottom w:val="single" w:color="000000" w:sz="4" w:space="0"/>
              <w:right w:val="single" w:color="000000" w:sz="4" w:space="0"/>
            </w:tcBorders>
            <w:shd w:val="clear" w:color="auto" w:fill="auto"/>
            <w:vAlign w:val="center"/>
          </w:tcPr>
          <w:p w14:paraId="50EC67F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24" w:type="dxa"/>
            <w:gridSpan w:val="3"/>
            <w:tcBorders>
              <w:top w:val="nil"/>
              <w:left w:val="nil"/>
              <w:bottom w:val="single" w:color="000000" w:sz="4" w:space="0"/>
              <w:right w:val="single" w:color="000000" w:sz="4" w:space="0"/>
            </w:tcBorders>
            <w:shd w:val="clear" w:color="auto" w:fill="auto"/>
            <w:vAlign w:val="center"/>
          </w:tcPr>
          <w:p w14:paraId="65B95AE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692" w:type="dxa"/>
            <w:gridSpan w:val="2"/>
            <w:tcBorders>
              <w:top w:val="nil"/>
              <w:left w:val="nil"/>
              <w:bottom w:val="single" w:color="000000" w:sz="4" w:space="0"/>
              <w:right w:val="single" w:color="000000" w:sz="4" w:space="0"/>
            </w:tcBorders>
            <w:shd w:val="clear" w:color="auto" w:fill="auto"/>
            <w:vAlign w:val="center"/>
          </w:tcPr>
          <w:p w14:paraId="7969F48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2E58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3278D60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vMerge w:val="continue"/>
            <w:tcBorders>
              <w:top w:val="nil"/>
              <w:left w:val="nil"/>
              <w:bottom w:val="single" w:color="000000" w:sz="4" w:space="0"/>
              <w:right w:val="single" w:color="000000" w:sz="4" w:space="0"/>
            </w:tcBorders>
            <w:shd w:val="clear" w:color="auto" w:fill="auto"/>
            <w:vAlign w:val="center"/>
          </w:tcPr>
          <w:p w14:paraId="029BB5E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9" w:type="dxa"/>
            <w:tcBorders>
              <w:top w:val="nil"/>
              <w:left w:val="nil"/>
              <w:bottom w:val="single" w:color="000000" w:sz="4" w:space="0"/>
              <w:right w:val="single" w:color="000000" w:sz="4" w:space="0"/>
            </w:tcBorders>
            <w:shd w:val="clear" w:color="auto" w:fill="auto"/>
            <w:vAlign w:val="center"/>
          </w:tcPr>
          <w:p w14:paraId="4650889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时效指标</w:t>
            </w:r>
          </w:p>
        </w:tc>
        <w:tc>
          <w:tcPr>
            <w:tcW w:w="1173" w:type="dxa"/>
            <w:gridSpan w:val="2"/>
            <w:tcBorders>
              <w:top w:val="nil"/>
              <w:left w:val="nil"/>
              <w:bottom w:val="single" w:color="000000" w:sz="4" w:space="0"/>
              <w:right w:val="single" w:color="000000" w:sz="4" w:space="0"/>
            </w:tcBorders>
            <w:shd w:val="clear" w:color="auto" w:fill="auto"/>
            <w:vAlign w:val="center"/>
          </w:tcPr>
          <w:p w14:paraId="5FB66F71">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2023年1-12月完成</w:t>
            </w:r>
          </w:p>
        </w:tc>
        <w:tc>
          <w:tcPr>
            <w:tcW w:w="551" w:type="dxa"/>
            <w:gridSpan w:val="2"/>
            <w:tcBorders>
              <w:top w:val="nil"/>
              <w:left w:val="nil"/>
              <w:bottom w:val="single" w:color="000000" w:sz="4" w:space="0"/>
              <w:right w:val="single" w:color="000000" w:sz="4" w:space="0"/>
            </w:tcBorders>
            <w:shd w:val="clear" w:color="auto" w:fill="auto"/>
            <w:vAlign w:val="center"/>
          </w:tcPr>
          <w:p w14:paraId="77EAC54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526" w:type="dxa"/>
            <w:gridSpan w:val="2"/>
            <w:tcBorders>
              <w:top w:val="nil"/>
              <w:left w:val="nil"/>
              <w:bottom w:val="single" w:color="000000" w:sz="4" w:space="0"/>
              <w:right w:val="single" w:color="000000" w:sz="4" w:space="0"/>
            </w:tcBorders>
            <w:shd w:val="clear" w:color="auto" w:fill="auto"/>
            <w:vAlign w:val="center"/>
          </w:tcPr>
          <w:p w14:paraId="08BADC7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w:t>
            </w:r>
          </w:p>
        </w:tc>
        <w:tc>
          <w:tcPr>
            <w:tcW w:w="756" w:type="dxa"/>
            <w:gridSpan w:val="3"/>
            <w:tcBorders>
              <w:top w:val="nil"/>
              <w:left w:val="nil"/>
              <w:bottom w:val="single" w:color="000000" w:sz="4" w:space="0"/>
              <w:right w:val="single" w:color="000000" w:sz="4" w:space="0"/>
            </w:tcBorders>
            <w:shd w:val="clear" w:color="auto" w:fill="auto"/>
            <w:vAlign w:val="center"/>
          </w:tcPr>
          <w:p w14:paraId="3197214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w:t>
            </w:r>
          </w:p>
        </w:tc>
        <w:tc>
          <w:tcPr>
            <w:tcW w:w="857" w:type="dxa"/>
            <w:gridSpan w:val="2"/>
            <w:tcBorders>
              <w:top w:val="nil"/>
              <w:left w:val="nil"/>
              <w:bottom w:val="single" w:color="000000" w:sz="4" w:space="0"/>
              <w:right w:val="single" w:color="000000" w:sz="4" w:space="0"/>
            </w:tcBorders>
            <w:shd w:val="clear" w:color="auto" w:fill="auto"/>
            <w:vAlign w:val="center"/>
          </w:tcPr>
          <w:p w14:paraId="2D2075B4">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1　</w:t>
            </w:r>
          </w:p>
        </w:tc>
        <w:tc>
          <w:tcPr>
            <w:tcW w:w="621" w:type="dxa"/>
            <w:gridSpan w:val="2"/>
            <w:tcBorders>
              <w:top w:val="nil"/>
              <w:left w:val="nil"/>
              <w:bottom w:val="single" w:color="000000" w:sz="4" w:space="0"/>
              <w:right w:val="single" w:color="000000" w:sz="4" w:space="0"/>
            </w:tcBorders>
            <w:shd w:val="clear" w:color="auto" w:fill="auto"/>
            <w:vAlign w:val="center"/>
          </w:tcPr>
          <w:p w14:paraId="2774E79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24" w:type="dxa"/>
            <w:gridSpan w:val="3"/>
            <w:tcBorders>
              <w:top w:val="nil"/>
              <w:left w:val="nil"/>
              <w:bottom w:val="single" w:color="000000" w:sz="4" w:space="0"/>
              <w:right w:val="single" w:color="000000" w:sz="4" w:space="0"/>
            </w:tcBorders>
            <w:shd w:val="clear" w:color="auto" w:fill="auto"/>
            <w:vAlign w:val="center"/>
          </w:tcPr>
          <w:p w14:paraId="6F65138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692" w:type="dxa"/>
            <w:gridSpan w:val="2"/>
            <w:tcBorders>
              <w:top w:val="nil"/>
              <w:left w:val="nil"/>
              <w:bottom w:val="single" w:color="000000" w:sz="4" w:space="0"/>
              <w:right w:val="single" w:color="000000" w:sz="4" w:space="0"/>
            </w:tcBorders>
            <w:shd w:val="clear" w:color="auto" w:fill="auto"/>
            <w:vAlign w:val="center"/>
          </w:tcPr>
          <w:p w14:paraId="0365DFD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31D2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1D0B97D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vMerge w:val="restart"/>
            <w:tcBorders>
              <w:top w:val="nil"/>
              <w:left w:val="nil"/>
              <w:bottom w:val="single" w:color="000000" w:sz="4" w:space="0"/>
              <w:right w:val="single" w:color="000000" w:sz="4" w:space="0"/>
            </w:tcBorders>
            <w:shd w:val="clear" w:color="auto" w:fill="auto"/>
            <w:vAlign w:val="center"/>
          </w:tcPr>
          <w:p w14:paraId="1B7747A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效益指标</w:t>
            </w:r>
          </w:p>
        </w:tc>
        <w:tc>
          <w:tcPr>
            <w:tcW w:w="869" w:type="dxa"/>
            <w:tcBorders>
              <w:top w:val="nil"/>
              <w:left w:val="nil"/>
              <w:bottom w:val="single" w:color="000000" w:sz="4" w:space="0"/>
              <w:right w:val="single" w:color="000000" w:sz="4" w:space="0"/>
            </w:tcBorders>
            <w:shd w:val="clear" w:color="auto" w:fill="auto"/>
            <w:vAlign w:val="center"/>
          </w:tcPr>
          <w:p w14:paraId="56FE33F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社会效益指标</w:t>
            </w:r>
          </w:p>
        </w:tc>
        <w:tc>
          <w:tcPr>
            <w:tcW w:w="1173" w:type="dxa"/>
            <w:gridSpan w:val="2"/>
            <w:tcBorders>
              <w:top w:val="nil"/>
              <w:left w:val="nil"/>
              <w:bottom w:val="single" w:color="000000" w:sz="4" w:space="0"/>
              <w:right w:val="single" w:color="000000" w:sz="4" w:space="0"/>
            </w:tcBorders>
            <w:shd w:val="clear" w:color="auto" w:fill="auto"/>
            <w:vAlign w:val="center"/>
          </w:tcPr>
          <w:p w14:paraId="030BB137">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进一步凝聚合力，倡议全社会共同关心关爱儿童，用心用情促进儿童健康成长、全面发展。</w:t>
            </w:r>
          </w:p>
        </w:tc>
        <w:tc>
          <w:tcPr>
            <w:tcW w:w="551" w:type="dxa"/>
            <w:gridSpan w:val="2"/>
            <w:tcBorders>
              <w:top w:val="nil"/>
              <w:left w:val="nil"/>
              <w:bottom w:val="single" w:color="000000" w:sz="4" w:space="0"/>
              <w:right w:val="single" w:color="000000" w:sz="4" w:space="0"/>
            </w:tcBorders>
            <w:shd w:val="clear" w:color="auto" w:fill="auto"/>
            <w:vAlign w:val="center"/>
          </w:tcPr>
          <w:p w14:paraId="49AE664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526" w:type="dxa"/>
            <w:gridSpan w:val="2"/>
            <w:tcBorders>
              <w:top w:val="nil"/>
              <w:left w:val="nil"/>
              <w:bottom w:val="single" w:color="000000" w:sz="4" w:space="0"/>
              <w:right w:val="single" w:color="000000" w:sz="4" w:space="0"/>
            </w:tcBorders>
            <w:shd w:val="clear" w:color="auto" w:fill="auto"/>
            <w:vAlign w:val="center"/>
          </w:tcPr>
          <w:p w14:paraId="0D75890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3</w:t>
            </w:r>
          </w:p>
        </w:tc>
        <w:tc>
          <w:tcPr>
            <w:tcW w:w="756" w:type="dxa"/>
            <w:gridSpan w:val="3"/>
            <w:tcBorders>
              <w:top w:val="nil"/>
              <w:left w:val="nil"/>
              <w:bottom w:val="single" w:color="000000" w:sz="4" w:space="0"/>
              <w:right w:val="single" w:color="000000" w:sz="4" w:space="0"/>
            </w:tcBorders>
            <w:shd w:val="clear" w:color="auto" w:fill="auto"/>
            <w:vAlign w:val="center"/>
          </w:tcPr>
          <w:p w14:paraId="16AFB12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项</w:t>
            </w:r>
          </w:p>
        </w:tc>
        <w:tc>
          <w:tcPr>
            <w:tcW w:w="857" w:type="dxa"/>
            <w:gridSpan w:val="2"/>
            <w:tcBorders>
              <w:top w:val="nil"/>
              <w:left w:val="nil"/>
              <w:bottom w:val="single" w:color="000000" w:sz="4" w:space="0"/>
              <w:right w:val="single" w:color="000000" w:sz="4" w:space="0"/>
            </w:tcBorders>
            <w:shd w:val="clear" w:color="auto" w:fill="auto"/>
            <w:vAlign w:val="center"/>
          </w:tcPr>
          <w:p w14:paraId="46A89032">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4</w:t>
            </w:r>
          </w:p>
        </w:tc>
        <w:tc>
          <w:tcPr>
            <w:tcW w:w="621" w:type="dxa"/>
            <w:gridSpan w:val="2"/>
            <w:tcBorders>
              <w:top w:val="nil"/>
              <w:left w:val="nil"/>
              <w:bottom w:val="single" w:color="000000" w:sz="4" w:space="0"/>
              <w:right w:val="single" w:color="000000" w:sz="4" w:space="0"/>
            </w:tcBorders>
            <w:shd w:val="clear" w:color="auto" w:fill="auto"/>
            <w:vAlign w:val="center"/>
          </w:tcPr>
          <w:p w14:paraId="173BC2E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24" w:type="dxa"/>
            <w:gridSpan w:val="3"/>
            <w:tcBorders>
              <w:top w:val="nil"/>
              <w:left w:val="nil"/>
              <w:bottom w:val="single" w:color="000000" w:sz="4" w:space="0"/>
              <w:right w:val="single" w:color="000000" w:sz="4" w:space="0"/>
            </w:tcBorders>
            <w:shd w:val="clear" w:color="auto" w:fill="auto"/>
            <w:vAlign w:val="center"/>
          </w:tcPr>
          <w:p w14:paraId="245FC38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692" w:type="dxa"/>
            <w:gridSpan w:val="2"/>
            <w:tcBorders>
              <w:top w:val="nil"/>
              <w:left w:val="nil"/>
              <w:bottom w:val="single" w:color="000000" w:sz="4" w:space="0"/>
              <w:right w:val="single" w:color="000000" w:sz="4" w:space="0"/>
            </w:tcBorders>
            <w:shd w:val="clear" w:color="auto" w:fill="auto"/>
            <w:vAlign w:val="center"/>
          </w:tcPr>
          <w:p w14:paraId="440083F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21F9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42CA322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vMerge w:val="continue"/>
            <w:tcBorders>
              <w:top w:val="nil"/>
              <w:left w:val="nil"/>
              <w:bottom w:val="single" w:color="000000" w:sz="4" w:space="0"/>
              <w:right w:val="single" w:color="000000" w:sz="4" w:space="0"/>
            </w:tcBorders>
            <w:shd w:val="clear" w:color="auto" w:fill="auto"/>
            <w:vAlign w:val="center"/>
          </w:tcPr>
          <w:p w14:paraId="122AE8C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9" w:type="dxa"/>
            <w:tcBorders>
              <w:top w:val="nil"/>
              <w:left w:val="nil"/>
              <w:bottom w:val="single" w:color="000000" w:sz="4" w:space="0"/>
              <w:right w:val="single" w:color="000000" w:sz="4" w:space="0"/>
            </w:tcBorders>
            <w:shd w:val="clear" w:color="auto" w:fill="auto"/>
            <w:vAlign w:val="center"/>
          </w:tcPr>
          <w:p w14:paraId="6846D63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可持续影响指标</w:t>
            </w:r>
          </w:p>
        </w:tc>
        <w:tc>
          <w:tcPr>
            <w:tcW w:w="1173" w:type="dxa"/>
            <w:gridSpan w:val="2"/>
            <w:tcBorders>
              <w:top w:val="nil"/>
              <w:left w:val="nil"/>
              <w:bottom w:val="single" w:color="000000" w:sz="4" w:space="0"/>
              <w:right w:val="single" w:color="000000" w:sz="4" w:space="0"/>
            </w:tcBorders>
            <w:shd w:val="clear" w:color="auto" w:fill="auto"/>
            <w:vAlign w:val="center"/>
          </w:tcPr>
          <w:p w14:paraId="446311F1">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可持续影响</w:t>
            </w:r>
          </w:p>
        </w:tc>
        <w:tc>
          <w:tcPr>
            <w:tcW w:w="551" w:type="dxa"/>
            <w:gridSpan w:val="2"/>
            <w:tcBorders>
              <w:top w:val="nil"/>
              <w:left w:val="nil"/>
              <w:bottom w:val="single" w:color="000000" w:sz="4" w:space="0"/>
              <w:right w:val="single" w:color="000000" w:sz="4" w:space="0"/>
            </w:tcBorders>
            <w:shd w:val="clear" w:color="auto" w:fill="auto"/>
            <w:vAlign w:val="center"/>
          </w:tcPr>
          <w:p w14:paraId="2851B4C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526" w:type="dxa"/>
            <w:gridSpan w:val="2"/>
            <w:tcBorders>
              <w:top w:val="nil"/>
              <w:left w:val="nil"/>
              <w:bottom w:val="single" w:color="000000" w:sz="4" w:space="0"/>
              <w:right w:val="single" w:color="000000" w:sz="4" w:space="0"/>
            </w:tcBorders>
            <w:shd w:val="clear" w:color="auto" w:fill="auto"/>
            <w:vAlign w:val="center"/>
          </w:tcPr>
          <w:p w14:paraId="43CD69B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3</w:t>
            </w:r>
          </w:p>
        </w:tc>
        <w:tc>
          <w:tcPr>
            <w:tcW w:w="756" w:type="dxa"/>
            <w:gridSpan w:val="3"/>
            <w:tcBorders>
              <w:top w:val="nil"/>
              <w:left w:val="nil"/>
              <w:bottom w:val="single" w:color="000000" w:sz="4" w:space="0"/>
              <w:right w:val="single" w:color="000000" w:sz="4" w:space="0"/>
            </w:tcBorders>
            <w:shd w:val="clear" w:color="auto" w:fill="auto"/>
            <w:vAlign w:val="center"/>
          </w:tcPr>
          <w:p w14:paraId="1048603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w:t>
            </w:r>
          </w:p>
        </w:tc>
        <w:tc>
          <w:tcPr>
            <w:tcW w:w="857" w:type="dxa"/>
            <w:gridSpan w:val="2"/>
            <w:tcBorders>
              <w:top w:val="nil"/>
              <w:left w:val="nil"/>
              <w:bottom w:val="single" w:color="000000" w:sz="4" w:space="0"/>
              <w:right w:val="single" w:color="000000" w:sz="4" w:space="0"/>
            </w:tcBorders>
            <w:shd w:val="clear" w:color="auto" w:fill="auto"/>
            <w:vAlign w:val="center"/>
          </w:tcPr>
          <w:p w14:paraId="53CFCCA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3</w:t>
            </w:r>
          </w:p>
        </w:tc>
        <w:tc>
          <w:tcPr>
            <w:tcW w:w="621" w:type="dxa"/>
            <w:gridSpan w:val="2"/>
            <w:tcBorders>
              <w:top w:val="nil"/>
              <w:left w:val="nil"/>
              <w:bottom w:val="single" w:color="000000" w:sz="4" w:space="0"/>
              <w:right w:val="single" w:color="000000" w:sz="4" w:space="0"/>
            </w:tcBorders>
            <w:shd w:val="clear" w:color="auto" w:fill="auto"/>
            <w:vAlign w:val="center"/>
          </w:tcPr>
          <w:p w14:paraId="34B2E17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24" w:type="dxa"/>
            <w:gridSpan w:val="3"/>
            <w:tcBorders>
              <w:top w:val="nil"/>
              <w:left w:val="nil"/>
              <w:bottom w:val="single" w:color="000000" w:sz="4" w:space="0"/>
              <w:right w:val="single" w:color="000000" w:sz="4" w:space="0"/>
            </w:tcBorders>
            <w:shd w:val="clear" w:color="auto" w:fill="auto"/>
            <w:vAlign w:val="center"/>
          </w:tcPr>
          <w:p w14:paraId="5C4DFF7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1692" w:type="dxa"/>
            <w:gridSpan w:val="2"/>
            <w:tcBorders>
              <w:top w:val="nil"/>
              <w:left w:val="nil"/>
              <w:bottom w:val="single" w:color="000000" w:sz="4" w:space="0"/>
              <w:right w:val="single" w:color="000000" w:sz="4" w:space="0"/>
            </w:tcBorders>
            <w:shd w:val="clear" w:color="auto" w:fill="auto"/>
            <w:vAlign w:val="center"/>
          </w:tcPr>
          <w:p w14:paraId="3A3B5C74">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　</w:t>
            </w:r>
          </w:p>
        </w:tc>
      </w:tr>
      <w:tr w14:paraId="78EB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40BE41AB">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tcBorders>
              <w:top w:val="nil"/>
              <w:left w:val="nil"/>
              <w:bottom w:val="single" w:color="000000" w:sz="4" w:space="0"/>
              <w:right w:val="single" w:color="000000" w:sz="4" w:space="0"/>
            </w:tcBorders>
            <w:shd w:val="clear" w:color="auto" w:fill="auto"/>
            <w:vAlign w:val="center"/>
          </w:tcPr>
          <w:p w14:paraId="7854604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满意度指标</w:t>
            </w:r>
          </w:p>
        </w:tc>
        <w:tc>
          <w:tcPr>
            <w:tcW w:w="869" w:type="dxa"/>
            <w:tcBorders>
              <w:top w:val="nil"/>
              <w:left w:val="nil"/>
              <w:bottom w:val="single" w:color="000000" w:sz="4" w:space="0"/>
              <w:right w:val="single" w:color="000000" w:sz="4" w:space="0"/>
            </w:tcBorders>
            <w:shd w:val="clear" w:color="auto" w:fill="auto"/>
            <w:vAlign w:val="center"/>
          </w:tcPr>
          <w:p w14:paraId="109628D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服务对象满意度指标</w:t>
            </w:r>
          </w:p>
        </w:tc>
        <w:tc>
          <w:tcPr>
            <w:tcW w:w="1173" w:type="dxa"/>
            <w:gridSpan w:val="2"/>
            <w:tcBorders>
              <w:top w:val="nil"/>
              <w:left w:val="nil"/>
              <w:bottom w:val="single" w:color="000000" w:sz="4" w:space="0"/>
              <w:right w:val="single" w:color="000000" w:sz="4" w:space="0"/>
            </w:tcBorders>
            <w:shd w:val="clear" w:color="auto" w:fill="auto"/>
            <w:vAlign w:val="center"/>
          </w:tcPr>
          <w:p w14:paraId="09C6A733">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学生及家长满意度能够达到</w:t>
            </w:r>
          </w:p>
        </w:tc>
        <w:tc>
          <w:tcPr>
            <w:tcW w:w="551" w:type="dxa"/>
            <w:gridSpan w:val="2"/>
            <w:tcBorders>
              <w:top w:val="nil"/>
              <w:left w:val="nil"/>
              <w:bottom w:val="single" w:color="000000" w:sz="4" w:space="0"/>
              <w:right w:val="single" w:color="000000" w:sz="4" w:space="0"/>
            </w:tcBorders>
            <w:shd w:val="clear" w:color="auto" w:fill="auto"/>
            <w:vAlign w:val="center"/>
          </w:tcPr>
          <w:p w14:paraId="4BF8BAD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526" w:type="dxa"/>
            <w:gridSpan w:val="2"/>
            <w:tcBorders>
              <w:top w:val="nil"/>
              <w:left w:val="nil"/>
              <w:bottom w:val="single" w:color="000000" w:sz="4" w:space="0"/>
              <w:right w:val="single" w:color="000000" w:sz="4" w:space="0"/>
            </w:tcBorders>
            <w:shd w:val="clear" w:color="auto" w:fill="auto"/>
            <w:vAlign w:val="center"/>
          </w:tcPr>
          <w:p w14:paraId="6CDDA41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95</w:t>
            </w:r>
          </w:p>
        </w:tc>
        <w:tc>
          <w:tcPr>
            <w:tcW w:w="756" w:type="dxa"/>
            <w:gridSpan w:val="3"/>
            <w:tcBorders>
              <w:top w:val="nil"/>
              <w:left w:val="nil"/>
              <w:bottom w:val="single" w:color="000000" w:sz="4" w:space="0"/>
              <w:right w:val="single" w:color="000000" w:sz="4" w:space="0"/>
            </w:tcBorders>
            <w:shd w:val="clear" w:color="auto" w:fill="auto"/>
            <w:vAlign w:val="center"/>
          </w:tcPr>
          <w:p w14:paraId="5DF7B97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857" w:type="dxa"/>
            <w:gridSpan w:val="2"/>
            <w:tcBorders>
              <w:top w:val="nil"/>
              <w:left w:val="nil"/>
              <w:bottom w:val="single" w:color="000000" w:sz="4" w:space="0"/>
              <w:right w:val="single" w:color="000000" w:sz="4" w:space="0"/>
            </w:tcBorders>
            <w:shd w:val="clear" w:color="auto" w:fill="auto"/>
            <w:vAlign w:val="center"/>
          </w:tcPr>
          <w:p w14:paraId="0B17144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90</w:t>
            </w:r>
          </w:p>
        </w:tc>
        <w:tc>
          <w:tcPr>
            <w:tcW w:w="621" w:type="dxa"/>
            <w:gridSpan w:val="2"/>
            <w:tcBorders>
              <w:top w:val="nil"/>
              <w:left w:val="nil"/>
              <w:bottom w:val="single" w:color="000000" w:sz="4" w:space="0"/>
              <w:right w:val="single" w:color="000000" w:sz="4" w:space="0"/>
            </w:tcBorders>
            <w:shd w:val="clear" w:color="auto" w:fill="auto"/>
            <w:vAlign w:val="center"/>
          </w:tcPr>
          <w:p w14:paraId="6A3B873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24" w:type="dxa"/>
            <w:gridSpan w:val="3"/>
            <w:tcBorders>
              <w:top w:val="nil"/>
              <w:left w:val="nil"/>
              <w:bottom w:val="single" w:color="000000" w:sz="4" w:space="0"/>
              <w:right w:val="single" w:color="000000" w:sz="4" w:space="0"/>
            </w:tcBorders>
            <w:shd w:val="clear" w:color="auto" w:fill="auto"/>
            <w:vAlign w:val="center"/>
          </w:tcPr>
          <w:p w14:paraId="5556FEB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7</w:t>
            </w:r>
          </w:p>
        </w:tc>
        <w:tc>
          <w:tcPr>
            <w:tcW w:w="1692" w:type="dxa"/>
            <w:gridSpan w:val="2"/>
            <w:tcBorders>
              <w:top w:val="nil"/>
              <w:left w:val="nil"/>
              <w:bottom w:val="single" w:color="000000" w:sz="4" w:space="0"/>
              <w:right w:val="single" w:color="000000" w:sz="4" w:space="0"/>
            </w:tcBorders>
            <w:shd w:val="clear" w:color="auto" w:fill="auto"/>
            <w:vAlign w:val="center"/>
          </w:tcPr>
          <w:p w14:paraId="3C7B1115">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学生及家长满意度未能达到设定目标，自评扣3分。　</w:t>
            </w:r>
          </w:p>
        </w:tc>
      </w:tr>
      <w:tr w14:paraId="60B6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76" w:type="dxa"/>
            <w:vMerge w:val="continue"/>
            <w:tcBorders>
              <w:top w:val="nil"/>
              <w:left w:val="single" w:color="000000" w:sz="4" w:space="0"/>
              <w:bottom w:val="single" w:color="000000" w:sz="4" w:space="0"/>
              <w:right w:val="single" w:color="000000" w:sz="4" w:space="0"/>
            </w:tcBorders>
            <w:shd w:val="clear" w:color="auto" w:fill="auto"/>
            <w:vAlign w:val="center"/>
          </w:tcPr>
          <w:p w14:paraId="33694A1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gridSpan w:val="3"/>
            <w:tcBorders>
              <w:top w:val="nil"/>
              <w:left w:val="nil"/>
              <w:bottom w:val="single" w:color="000000" w:sz="4" w:space="0"/>
              <w:right w:val="single" w:color="000000" w:sz="4" w:space="0"/>
            </w:tcBorders>
            <w:shd w:val="clear" w:color="auto" w:fill="auto"/>
            <w:vAlign w:val="center"/>
          </w:tcPr>
          <w:p w14:paraId="0E1A46E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成本指标</w:t>
            </w:r>
          </w:p>
        </w:tc>
        <w:tc>
          <w:tcPr>
            <w:tcW w:w="869" w:type="dxa"/>
            <w:tcBorders>
              <w:top w:val="nil"/>
              <w:left w:val="nil"/>
              <w:bottom w:val="single" w:color="000000" w:sz="4" w:space="0"/>
              <w:right w:val="single" w:color="000000" w:sz="4" w:space="0"/>
            </w:tcBorders>
            <w:shd w:val="clear" w:color="auto" w:fill="auto"/>
            <w:vAlign w:val="center"/>
          </w:tcPr>
          <w:p w14:paraId="3DD2616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经济成本指标</w:t>
            </w:r>
          </w:p>
        </w:tc>
        <w:tc>
          <w:tcPr>
            <w:tcW w:w="1173" w:type="dxa"/>
            <w:gridSpan w:val="2"/>
            <w:tcBorders>
              <w:top w:val="nil"/>
              <w:left w:val="nil"/>
              <w:bottom w:val="single" w:color="000000" w:sz="4" w:space="0"/>
              <w:right w:val="single" w:color="000000" w:sz="4" w:space="0"/>
            </w:tcBorders>
            <w:shd w:val="clear" w:color="auto" w:fill="auto"/>
            <w:vAlign w:val="center"/>
          </w:tcPr>
          <w:p w14:paraId="46BCF3E0">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年度完成各项目工作费用</w:t>
            </w:r>
          </w:p>
        </w:tc>
        <w:tc>
          <w:tcPr>
            <w:tcW w:w="551" w:type="dxa"/>
            <w:gridSpan w:val="2"/>
            <w:tcBorders>
              <w:top w:val="nil"/>
              <w:left w:val="nil"/>
              <w:bottom w:val="single" w:color="000000" w:sz="4" w:space="0"/>
              <w:right w:val="single" w:color="000000" w:sz="4" w:space="0"/>
            </w:tcBorders>
            <w:shd w:val="clear" w:color="auto" w:fill="auto"/>
            <w:vAlign w:val="center"/>
          </w:tcPr>
          <w:p w14:paraId="76224A6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526" w:type="dxa"/>
            <w:gridSpan w:val="2"/>
            <w:tcBorders>
              <w:top w:val="nil"/>
              <w:left w:val="nil"/>
              <w:bottom w:val="single" w:color="000000" w:sz="4" w:space="0"/>
              <w:right w:val="single" w:color="000000" w:sz="4" w:space="0"/>
            </w:tcBorders>
            <w:shd w:val="clear" w:color="auto" w:fill="auto"/>
            <w:vAlign w:val="center"/>
          </w:tcPr>
          <w:p w14:paraId="5ACCB78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1.5</w:t>
            </w:r>
          </w:p>
        </w:tc>
        <w:tc>
          <w:tcPr>
            <w:tcW w:w="756" w:type="dxa"/>
            <w:gridSpan w:val="3"/>
            <w:tcBorders>
              <w:top w:val="nil"/>
              <w:left w:val="nil"/>
              <w:bottom w:val="single" w:color="000000" w:sz="4" w:space="0"/>
              <w:right w:val="single" w:color="000000" w:sz="4" w:space="0"/>
            </w:tcBorders>
            <w:shd w:val="clear" w:color="auto" w:fill="auto"/>
            <w:vAlign w:val="center"/>
          </w:tcPr>
          <w:p w14:paraId="53E046D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万元</w:t>
            </w:r>
          </w:p>
        </w:tc>
        <w:tc>
          <w:tcPr>
            <w:tcW w:w="857" w:type="dxa"/>
            <w:gridSpan w:val="2"/>
            <w:tcBorders>
              <w:top w:val="nil"/>
              <w:left w:val="nil"/>
              <w:bottom w:val="single" w:color="000000" w:sz="4" w:space="0"/>
              <w:right w:val="single" w:color="000000" w:sz="4" w:space="0"/>
            </w:tcBorders>
            <w:shd w:val="clear" w:color="auto" w:fill="auto"/>
            <w:vAlign w:val="center"/>
          </w:tcPr>
          <w:p w14:paraId="77EF16D9">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1.5</w:t>
            </w:r>
          </w:p>
        </w:tc>
        <w:tc>
          <w:tcPr>
            <w:tcW w:w="621" w:type="dxa"/>
            <w:gridSpan w:val="2"/>
            <w:tcBorders>
              <w:top w:val="nil"/>
              <w:left w:val="nil"/>
              <w:bottom w:val="single" w:color="000000" w:sz="4" w:space="0"/>
              <w:right w:val="single" w:color="000000" w:sz="4" w:space="0"/>
            </w:tcBorders>
            <w:shd w:val="clear" w:color="auto" w:fill="auto"/>
            <w:vAlign w:val="center"/>
          </w:tcPr>
          <w:p w14:paraId="1EB4E7F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w:t>
            </w:r>
          </w:p>
        </w:tc>
        <w:tc>
          <w:tcPr>
            <w:tcW w:w="624" w:type="dxa"/>
            <w:gridSpan w:val="3"/>
            <w:tcBorders>
              <w:top w:val="nil"/>
              <w:left w:val="nil"/>
              <w:bottom w:val="single" w:color="000000" w:sz="4" w:space="0"/>
              <w:right w:val="single" w:color="000000" w:sz="4" w:space="0"/>
            </w:tcBorders>
            <w:shd w:val="clear" w:color="auto" w:fill="auto"/>
            <w:vAlign w:val="center"/>
          </w:tcPr>
          <w:p w14:paraId="3138D11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w:t>
            </w:r>
          </w:p>
        </w:tc>
        <w:tc>
          <w:tcPr>
            <w:tcW w:w="1692" w:type="dxa"/>
            <w:gridSpan w:val="2"/>
            <w:tcBorders>
              <w:top w:val="nil"/>
              <w:left w:val="nil"/>
              <w:bottom w:val="single" w:color="000000" w:sz="4" w:space="0"/>
              <w:right w:val="single" w:color="000000" w:sz="4" w:space="0"/>
            </w:tcBorders>
            <w:shd w:val="clear" w:color="auto" w:fill="auto"/>
            <w:vAlign w:val="center"/>
          </w:tcPr>
          <w:p w14:paraId="73913C1F">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2F68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630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952873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合计</w:t>
            </w:r>
          </w:p>
        </w:tc>
        <w:tc>
          <w:tcPr>
            <w:tcW w:w="621" w:type="dxa"/>
            <w:gridSpan w:val="2"/>
            <w:tcBorders>
              <w:top w:val="nil"/>
              <w:left w:val="nil"/>
              <w:bottom w:val="single" w:color="000000" w:sz="4" w:space="0"/>
              <w:right w:val="single" w:color="000000" w:sz="4" w:space="0"/>
            </w:tcBorders>
            <w:shd w:val="clear" w:color="auto" w:fill="auto"/>
            <w:vAlign w:val="center"/>
          </w:tcPr>
          <w:p w14:paraId="52259CF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100</w:t>
            </w:r>
          </w:p>
        </w:tc>
        <w:tc>
          <w:tcPr>
            <w:tcW w:w="624" w:type="dxa"/>
            <w:gridSpan w:val="3"/>
            <w:tcBorders>
              <w:top w:val="nil"/>
              <w:left w:val="nil"/>
              <w:bottom w:val="single" w:color="000000" w:sz="4" w:space="0"/>
              <w:right w:val="single" w:color="000000" w:sz="4" w:space="0"/>
            </w:tcBorders>
            <w:shd w:val="clear" w:color="auto" w:fill="auto"/>
            <w:vAlign w:val="center"/>
          </w:tcPr>
          <w:p w14:paraId="0D724D4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97</w:t>
            </w:r>
          </w:p>
        </w:tc>
        <w:tc>
          <w:tcPr>
            <w:tcW w:w="1692" w:type="dxa"/>
            <w:gridSpan w:val="2"/>
            <w:tcBorders>
              <w:top w:val="nil"/>
              <w:left w:val="nil"/>
              <w:bottom w:val="single" w:color="000000" w:sz="4" w:space="0"/>
              <w:right w:val="single" w:color="000000" w:sz="4" w:space="0"/>
            </w:tcBorders>
            <w:shd w:val="clear" w:color="auto" w:fill="auto"/>
            <w:vAlign w:val="center"/>
          </w:tcPr>
          <w:p w14:paraId="43D94EC1">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　</w:t>
            </w:r>
          </w:p>
        </w:tc>
      </w:tr>
      <w:tr w14:paraId="1091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14:paraId="78DD47F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评价结论</w:t>
            </w:r>
          </w:p>
        </w:tc>
        <w:tc>
          <w:tcPr>
            <w:tcW w:w="8661" w:type="dxa"/>
            <w:gridSpan w:val="22"/>
            <w:tcBorders>
              <w:top w:val="single" w:color="000000" w:sz="4" w:space="0"/>
              <w:left w:val="nil"/>
              <w:bottom w:val="single" w:color="000000" w:sz="4" w:space="0"/>
              <w:right w:val="single" w:color="000000" w:sz="4" w:space="0"/>
            </w:tcBorders>
            <w:shd w:val="clear" w:color="auto" w:fill="auto"/>
            <w:vAlign w:val="center"/>
          </w:tcPr>
          <w:p w14:paraId="33CC50A7">
            <w:pPr>
              <w:keepNext w:val="0"/>
              <w:keepLines w:val="0"/>
              <w:widowControl w:val="0"/>
              <w:suppressLineNumbers w:val="0"/>
              <w:spacing w:before="0" w:beforeAutospacing="0" w:after="0" w:afterAutospacing="0" w:line="200" w:lineRule="exact"/>
              <w:ind w:left="0" w:right="0"/>
              <w:jc w:val="both"/>
              <w:rPr>
                <w:rFonts w:hint="eastAsia" w:ascii="微软雅黑" w:hAnsi="微软雅黑" w:eastAsia="宋体" w:cs="宋体"/>
                <w:i/>
                <w:iCs/>
                <w:kern w:val="0"/>
                <w:sz w:val="15"/>
                <w:szCs w:val="15"/>
                <w:lang w:val="en-US"/>
              </w:rPr>
            </w:pPr>
            <w:r>
              <w:rPr>
                <w:rFonts w:hint="eastAsia" w:ascii="宋体" w:hAnsi="宋体" w:eastAsia="宋体" w:cs="宋体"/>
                <w:kern w:val="0"/>
                <w:sz w:val="15"/>
                <w:szCs w:val="15"/>
                <w:lang w:val="en-US" w:eastAsia="zh-CN" w:bidi="ar"/>
              </w:rPr>
              <w:t>推动凉山州妇女儿童关爱提升三年行动深入实施、取得实效，进一步凝聚合力，倡议全社会共同关心关爱儿童，用心用情促进儿童健康成长、全面发展。帮助扣好人生第一粒纽扣，共同当好儿童成长引路人、儿童权益守护人和儿童未来筑梦人。从产出、效益、满意度指标等进行了以上打分，预算执行率100%，执行情况良好，自评得分97分。</w:t>
            </w:r>
          </w:p>
        </w:tc>
      </w:tr>
      <w:tr w14:paraId="24D6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14:paraId="27FF164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存在问题</w:t>
            </w:r>
          </w:p>
        </w:tc>
        <w:tc>
          <w:tcPr>
            <w:tcW w:w="8661" w:type="dxa"/>
            <w:gridSpan w:val="22"/>
            <w:tcBorders>
              <w:top w:val="single" w:color="000000" w:sz="4" w:space="0"/>
              <w:left w:val="nil"/>
              <w:bottom w:val="single" w:color="000000" w:sz="4" w:space="0"/>
              <w:right w:val="single" w:color="000000" w:sz="4" w:space="0"/>
            </w:tcBorders>
            <w:shd w:val="clear" w:color="auto" w:fill="auto"/>
            <w:vAlign w:val="center"/>
          </w:tcPr>
          <w:p w14:paraId="2EC1ACBC">
            <w:pPr>
              <w:keepNext w:val="0"/>
              <w:keepLines w:val="0"/>
              <w:widowControl/>
              <w:suppressLineNumbers w:val="0"/>
              <w:spacing w:before="0" w:beforeAutospacing="0" w:after="0" w:afterAutospacing="0" w:line="200" w:lineRule="exact"/>
              <w:ind w:left="0" w:right="0"/>
              <w:jc w:val="left"/>
              <w:rPr>
                <w:rFonts w:hint="eastAsia" w:ascii="微软雅黑" w:hAnsi="微软雅黑" w:eastAsia="宋体" w:cs="宋体"/>
                <w:i/>
                <w:iCs/>
                <w:kern w:val="0"/>
                <w:sz w:val="15"/>
                <w:szCs w:val="15"/>
                <w:lang w:val="en-US"/>
              </w:rPr>
            </w:pPr>
            <w:r>
              <w:rPr>
                <w:rFonts w:hint="eastAsia" w:ascii="宋体" w:hAnsi="宋体" w:eastAsia="宋体" w:cs="宋体"/>
                <w:kern w:val="0"/>
                <w:sz w:val="15"/>
                <w:szCs w:val="15"/>
                <w:lang w:val="en-US" w:eastAsia="zh-CN" w:bidi="ar"/>
              </w:rPr>
              <w:t>部分群众对“树新风促振兴”暨妇女儿童关爱工作了解不够，没有充分认识其重要意义，认知不足。</w:t>
            </w:r>
          </w:p>
        </w:tc>
      </w:tr>
      <w:tr w14:paraId="323F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14:paraId="2E6A3C2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改进措施</w:t>
            </w:r>
          </w:p>
        </w:tc>
        <w:tc>
          <w:tcPr>
            <w:tcW w:w="8661" w:type="dxa"/>
            <w:gridSpan w:val="22"/>
            <w:tcBorders>
              <w:top w:val="single" w:color="000000" w:sz="4" w:space="0"/>
              <w:left w:val="nil"/>
              <w:bottom w:val="single" w:color="000000" w:sz="4" w:space="0"/>
              <w:right w:val="single" w:color="000000" w:sz="4" w:space="0"/>
            </w:tcBorders>
            <w:shd w:val="clear" w:color="auto" w:fill="auto"/>
            <w:vAlign w:val="center"/>
          </w:tcPr>
          <w:p w14:paraId="4C73566F">
            <w:pPr>
              <w:keepNext w:val="0"/>
              <w:keepLines w:val="0"/>
              <w:widowControl/>
              <w:suppressLineNumbers w:val="0"/>
              <w:spacing w:before="0" w:beforeAutospacing="0" w:after="0" w:afterAutospacing="0" w:line="200" w:lineRule="exact"/>
              <w:ind w:left="0" w:right="0"/>
              <w:jc w:val="left"/>
              <w:rPr>
                <w:rFonts w:hint="eastAsia" w:ascii="微软雅黑" w:hAnsi="微软雅黑" w:eastAsia="宋体" w:cs="宋体"/>
                <w:i/>
                <w:iCs/>
                <w:kern w:val="0"/>
                <w:sz w:val="15"/>
                <w:szCs w:val="15"/>
                <w:lang w:val="en-US"/>
              </w:rPr>
            </w:pPr>
            <w:r>
              <w:rPr>
                <w:rFonts w:hint="eastAsia" w:ascii="宋体" w:hAnsi="宋体" w:eastAsia="宋体" w:cs="宋体"/>
                <w:kern w:val="0"/>
                <w:sz w:val="15"/>
                <w:szCs w:val="15"/>
                <w:lang w:val="en-US" w:eastAsia="zh-CN" w:bidi="ar"/>
              </w:rPr>
              <w:t>依托广播电视、网站、微信公众号等媒体与平台，加大关爱儿童工作的宣传力度，营造全社会共同关心关爱儿童良好氛围。</w:t>
            </w:r>
          </w:p>
        </w:tc>
      </w:tr>
      <w:tr w14:paraId="757A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1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0DD7BD">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kern w:val="0"/>
                <w:sz w:val="15"/>
                <w:szCs w:val="15"/>
                <w:lang w:val="en-US"/>
              </w:rPr>
            </w:pPr>
            <w:r>
              <w:rPr>
                <w:rFonts w:hint="eastAsia" w:ascii="Courier New" w:hAnsi="Courier New" w:eastAsia="宋体" w:cs="Courier New"/>
                <w:kern w:val="0"/>
                <w:sz w:val="15"/>
                <w:szCs w:val="15"/>
                <w:lang w:val="en-US" w:eastAsia="zh-CN" w:bidi="ar"/>
              </w:rPr>
              <w:t>项目负责人：吴家英、李红</w:t>
            </w:r>
          </w:p>
        </w:tc>
        <w:tc>
          <w:tcPr>
            <w:tcW w:w="5076" w:type="dxa"/>
            <w:gridSpan w:val="14"/>
            <w:tcBorders>
              <w:top w:val="single" w:color="000000" w:sz="4" w:space="0"/>
              <w:left w:val="nil"/>
              <w:bottom w:val="single" w:color="000000" w:sz="4" w:space="0"/>
              <w:right w:val="single" w:color="000000" w:sz="4" w:space="0"/>
            </w:tcBorders>
            <w:shd w:val="clear" w:color="auto" w:fill="auto"/>
            <w:vAlign w:val="center"/>
          </w:tcPr>
          <w:p w14:paraId="67EAED1D">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kern w:val="0"/>
                <w:sz w:val="15"/>
                <w:szCs w:val="15"/>
                <w:lang w:val="en-US"/>
              </w:rPr>
            </w:pPr>
            <w:r>
              <w:rPr>
                <w:rFonts w:hint="eastAsia" w:ascii="Courier New" w:hAnsi="Courier New" w:eastAsia="宋体" w:cs="Courier New"/>
                <w:kern w:val="0"/>
                <w:sz w:val="15"/>
                <w:szCs w:val="15"/>
                <w:lang w:val="en-US" w:eastAsia="zh-CN" w:bidi="ar"/>
              </w:rPr>
              <w:t>财务负责人：毛正华</w:t>
            </w:r>
          </w:p>
        </w:tc>
      </w:tr>
    </w:tbl>
    <w:p w14:paraId="072DEBCB">
      <w:pPr>
        <w:keepNext w:val="0"/>
        <w:keepLines w:val="0"/>
        <w:widowControl w:val="0"/>
        <w:suppressLineNumbers w:val="0"/>
        <w:spacing w:before="0" w:beforeAutospacing="0" w:after="0" w:afterAutospacing="0" w:line="180" w:lineRule="exact"/>
        <w:ind w:left="0" w:right="0"/>
        <w:jc w:val="both"/>
        <w:rPr>
          <w:lang w:val="en-US"/>
        </w:rPr>
      </w:pPr>
    </w:p>
    <w:p w14:paraId="7B31A8CF">
      <w:pPr>
        <w:keepNext w:val="0"/>
        <w:keepLines w:val="0"/>
        <w:widowControl w:val="0"/>
        <w:suppressLineNumbers w:val="0"/>
        <w:spacing w:before="0" w:beforeAutospacing="0" w:after="0" w:afterAutospacing="0" w:line="180" w:lineRule="exact"/>
        <w:ind w:left="0" w:right="0"/>
        <w:jc w:val="both"/>
        <w:rPr>
          <w:lang w:val="en-US"/>
        </w:rPr>
      </w:pPr>
      <w:r>
        <w:rPr>
          <w:rFonts w:hint="default" w:ascii="Calibri" w:hAnsi="Calibri" w:eastAsia="宋体" w:cs="Times New Roman"/>
          <w:kern w:val="2"/>
          <w:sz w:val="21"/>
          <w:szCs w:val="24"/>
          <w:lang w:val="en-US" w:eastAsia="zh-CN" w:bidi="ar"/>
        </w:rPr>
        <w:br w:type="page"/>
      </w:r>
    </w:p>
    <w:tbl>
      <w:tblPr>
        <w:tblStyle w:val="18"/>
        <w:tblW w:w="9720"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136"/>
        <w:gridCol w:w="992"/>
        <w:gridCol w:w="1836"/>
        <w:gridCol w:w="119"/>
        <w:gridCol w:w="470"/>
        <w:gridCol w:w="612"/>
        <w:gridCol w:w="551"/>
        <w:gridCol w:w="665"/>
        <w:gridCol w:w="708"/>
        <w:gridCol w:w="660"/>
        <w:gridCol w:w="1403"/>
      </w:tblGrid>
      <w:tr w14:paraId="2AF2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7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82FC708">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4"/>
                <w:szCs w:val="24"/>
                <w:lang w:val="en-US"/>
              </w:rPr>
            </w:pPr>
            <w:r>
              <w:rPr>
                <w:rFonts w:hint="eastAsia" w:ascii="黑体" w:hAnsi="宋体" w:eastAsia="黑体" w:cs="宋体"/>
                <w:b/>
                <w:bCs/>
                <w:kern w:val="0"/>
                <w:sz w:val="24"/>
                <w:szCs w:val="24"/>
                <w:lang w:val="en-US" w:eastAsia="zh-CN" w:bidi="ar"/>
              </w:rPr>
              <w:t>部门预算项目支出绩效自评表（2023年度）</w:t>
            </w:r>
          </w:p>
        </w:tc>
      </w:tr>
      <w:tr w14:paraId="5E06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DA859">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项目名称</w:t>
            </w:r>
          </w:p>
        </w:tc>
        <w:tc>
          <w:tcPr>
            <w:tcW w:w="8016" w:type="dxa"/>
            <w:gridSpan w:val="10"/>
            <w:tcBorders>
              <w:top w:val="single" w:color="000000" w:sz="4" w:space="0"/>
              <w:left w:val="nil"/>
              <w:bottom w:val="single" w:color="000000" w:sz="4" w:space="0"/>
              <w:right w:val="single" w:color="000000" w:sz="4" w:space="0"/>
            </w:tcBorders>
            <w:shd w:val="clear" w:color="auto" w:fill="auto"/>
            <w:vAlign w:val="center"/>
          </w:tcPr>
          <w:p w14:paraId="723CA400">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51340022T000005849396-人才发展专项</w:t>
            </w:r>
          </w:p>
        </w:tc>
      </w:tr>
      <w:tr w14:paraId="1048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F2852">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主管部门</w:t>
            </w:r>
          </w:p>
        </w:tc>
        <w:tc>
          <w:tcPr>
            <w:tcW w:w="4029" w:type="dxa"/>
            <w:gridSpan w:val="5"/>
            <w:tcBorders>
              <w:top w:val="single" w:color="000000" w:sz="4" w:space="0"/>
              <w:left w:val="nil"/>
              <w:bottom w:val="single" w:color="000000" w:sz="4" w:space="0"/>
              <w:right w:val="single" w:color="000000" w:sz="4" w:space="0"/>
            </w:tcBorders>
            <w:shd w:val="clear" w:color="auto" w:fill="auto"/>
            <w:vAlign w:val="center"/>
          </w:tcPr>
          <w:p w14:paraId="1CC3BE88">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凉山州科学技术协会部门</w:t>
            </w:r>
          </w:p>
        </w:tc>
        <w:tc>
          <w:tcPr>
            <w:tcW w:w="1216" w:type="dxa"/>
            <w:gridSpan w:val="2"/>
            <w:shd w:val="clear" w:color="auto" w:fill="auto"/>
            <w:vAlign w:val="center"/>
          </w:tcPr>
          <w:p w14:paraId="63CC8669">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kern w:val="0"/>
                <w:sz w:val="15"/>
                <w:szCs w:val="15"/>
                <w:lang w:val="en-US"/>
              </w:rPr>
            </w:pPr>
            <w:r>
              <w:rPr>
                <w:rFonts w:hint="eastAsia" w:ascii="Courier New" w:hAnsi="Courier New" w:eastAsia="宋体" w:cs="Courier New"/>
                <w:kern w:val="0"/>
                <w:sz w:val="15"/>
                <w:szCs w:val="15"/>
                <w:lang w:val="en-US" w:eastAsia="zh-CN" w:bidi="ar"/>
              </w:rPr>
              <w:t>实施单位</w:t>
            </w:r>
            <w:r>
              <w:rPr>
                <w:rFonts w:hint="default" w:ascii="Courier New" w:hAnsi="Courier New" w:eastAsia="宋体" w:cs="Courier New"/>
                <w:kern w:val="0"/>
                <w:sz w:val="15"/>
                <w:szCs w:val="15"/>
                <w:lang w:val="en-US" w:eastAsia="zh-CN" w:bidi="ar"/>
              </w:rPr>
              <w:t xml:space="preserve"> </w:t>
            </w:r>
            <w:r>
              <w:rPr>
                <w:rFonts w:hint="eastAsia" w:ascii="Courier New" w:hAnsi="Courier New" w:eastAsia="宋体" w:cs="Courier New"/>
                <w:kern w:val="0"/>
                <w:sz w:val="15"/>
                <w:szCs w:val="15"/>
                <w:lang w:val="en-US" w:eastAsia="zh-CN" w:bidi="ar"/>
              </w:rPr>
              <w:t>（盖章）</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D32E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凉山州科学技术协会</w:t>
            </w:r>
          </w:p>
        </w:tc>
      </w:tr>
      <w:tr w14:paraId="7B30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14:paraId="6418DED0">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项目基本情况</w:t>
            </w:r>
          </w:p>
        </w:tc>
        <w:tc>
          <w:tcPr>
            <w:tcW w:w="1136" w:type="dxa"/>
            <w:vMerge w:val="restart"/>
            <w:tcBorders>
              <w:top w:val="nil"/>
              <w:left w:val="single" w:color="000000" w:sz="4" w:space="0"/>
              <w:bottom w:val="single" w:color="000000" w:sz="4" w:space="0"/>
              <w:right w:val="single" w:color="000000" w:sz="4" w:space="0"/>
            </w:tcBorders>
            <w:shd w:val="clear" w:color="auto" w:fill="auto"/>
            <w:vAlign w:val="center"/>
          </w:tcPr>
          <w:p w14:paraId="5AC4779B">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1.项目年度目标完成情况</w:t>
            </w:r>
          </w:p>
        </w:tc>
        <w:tc>
          <w:tcPr>
            <w:tcW w:w="4029" w:type="dxa"/>
            <w:gridSpan w:val="5"/>
            <w:tcBorders>
              <w:top w:val="single" w:color="000000" w:sz="4" w:space="0"/>
              <w:left w:val="nil"/>
              <w:bottom w:val="single" w:color="000000" w:sz="4" w:space="0"/>
              <w:right w:val="single" w:color="000000" w:sz="4" w:space="0"/>
            </w:tcBorders>
            <w:shd w:val="clear" w:color="auto" w:fill="auto"/>
            <w:vAlign w:val="center"/>
          </w:tcPr>
          <w:p w14:paraId="1762A36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项目年度目标</w:t>
            </w:r>
          </w:p>
        </w:tc>
        <w:tc>
          <w:tcPr>
            <w:tcW w:w="3987" w:type="dxa"/>
            <w:gridSpan w:val="5"/>
            <w:tcBorders>
              <w:top w:val="single" w:color="000000" w:sz="4" w:space="0"/>
              <w:left w:val="nil"/>
              <w:bottom w:val="single" w:color="000000" w:sz="4" w:space="0"/>
              <w:right w:val="single" w:color="000000" w:sz="4" w:space="0"/>
            </w:tcBorders>
            <w:shd w:val="clear" w:color="auto" w:fill="auto"/>
            <w:vAlign w:val="center"/>
          </w:tcPr>
          <w:p w14:paraId="601F82EF">
            <w:pPr>
              <w:keepNext w:val="0"/>
              <w:keepLines w:val="0"/>
              <w:widowControl/>
              <w:suppressLineNumbers w:val="0"/>
              <w:spacing w:before="0" w:beforeAutospacing="0" w:after="0" w:afterAutospacing="0" w:line="200" w:lineRule="exact"/>
              <w:ind w:left="0" w:right="0"/>
              <w:jc w:val="center"/>
              <w:rPr>
                <w:rFonts w:hint="default" w:ascii="Courier New" w:hAnsi="Courier New" w:cs="Courier New"/>
                <w:kern w:val="0"/>
                <w:sz w:val="15"/>
                <w:szCs w:val="15"/>
                <w:lang w:val="en-US"/>
              </w:rPr>
            </w:pPr>
            <w:r>
              <w:rPr>
                <w:rFonts w:hint="eastAsia" w:ascii="Courier New" w:hAnsi="Courier New" w:eastAsia="宋体" w:cs="Courier New"/>
                <w:kern w:val="0"/>
                <w:sz w:val="15"/>
                <w:szCs w:val="15"/>
                <w:lang w:val="en-US" w:eastAsia="zh-CN" w:bidi="ar"/>
              </w:rPr>
              <w:t>年度目标完成情况</w:t>
            </w:r>
          </w:p>
        </w:tc>
      </w:tr>
      <w:tr w14:paraId="1A66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5DCB6DF3">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vMerge w:val="continue"/>
            <w:tcBorders>
              <w:top w:val="nil"/>
              <w:left w:val="single" w:color="000000" w:sz="4" w:space="0"/>
              <w:bottom w:val="single" w:color="000000" w:sz="4" w:space="0"/>
              <w:right w:val="single" w:color="000000" w:sz="4" w:space="0"/>
            </w:tcBorders>
            <w:shd w:val="clear" w:color="auto" w:fill="auto"/>
            <w:vAlign w:val="center"/>
          </w:tcPr>
          <w:p w14:paraId="566BD16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4029" w:type="dxa"/>
            <w:gridSpan w:val="5"/>
            <w:tcBorders>
              <w:top w:val="single" w:color="000000" w:sz="4" w:space="0"/>
              <w:left w:val="nil"/>
              <w:bottom w:val="single" w:color="000000" w:sz="4" w:space="0"/>
              <w:right w:val="single" w:color="000000" w:sz="4" w:space="0"/>
            </w:tcBorders>
            <w:shd w:val="clear" w:color="auto" w:fill="auto"/>
            <w:vAlign w:val="center"/>
          </w:tcPr>
          <w:p w14:paraId="5C471085">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　支持5名研究方向瞄准科技前沿、在科学技术或工程技术领域作出系统的或重大的、创造性的成绩或贡献的高层次人才。</w:t>
            </w:r>
          </w:p>
        </w:tc>
        <w:tc>
          <w:tcPr>
            <w:tcW w:w="3987" w:type="dxa"/>
            <w:gridSpan w:val="5"/>
            <w:tcBorders>
              <w:top w:val="single" w:color="000000" w:sz="4" w:space="0"/>
              <w:left w:val="nil"/>
              <w:bottom w:val="single" w:color="000000" w:sz="4" w:space="0"/>
              <w:right w:val="single" w:color="000000" w:sz="4" w:space="0"/>
            </w:tcBorders>
            <w:shd w:val="clear" w:color="auto" w:fill="auto"/>
            <w:vAlign w:val="center"/>
          </w:tcPr>
          <w:p w14:paraId="72206663">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kern w:val="0"/>
                <w:sz w:val="15"/>
                <w:szCs w:val="15"/>
                <w:lang w:val="en-US"/>
              </w:rPr>
            </w:pPr>
            <w:r>
              <w:rPr>
                <w:rFonts w:hint="eastAsia" w:ascii="宋体" w:hAnsi="宋体" w:eastAsia="宋体" w:cs="宋体"/>
                <w:kern w:val="0"/>
                <w:sz w:val="15"/>
                <w:szCs w:val="15"/>
                <w:lang w:val="en-US" w:eastAsia="zh-CN" w:bidi="ar"/>
              </w:rPr>
              <w:t>州科协按计划评选数20%以上的差额提出6名建议名单报州委组织部，州委组织部终评后，5名科技工作者入选。支持经费每名10万元，共计50万元。</w:t>
            </w:r>
          </w:p>
        </w:tc>
      </w:tr>
      <w:tr w14:paraId="15EF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22CD7DA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tcBorders>
              <w:top w:val="nil"/>
              <w:left w:val="nil"/>
              <w:bottom w:val="single" w:color="000000" w:sz="4" w:space="0"/>
              <w:right w:val="single" w:color="000000" w:sz="4" w:space="0"/>
            </w:tcBorders>
            <w:shd w:val="clear" w:color="auto" w:fill="auto"/>
            <w:vAlign w:val="center"/>
          </w:tcPr>
          <w:p w14:paraId="200CCF55">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2.项目实施内容及过程概述</w:t>
            </w:r>
          </w:p>
        </w:tc>
        <w:tc>
          <w:tcPr>
            <w:tcW w:w="8016" w:type="dxa"/>
            <w:gridSpan w:val="10"/>
            <w:tcBorders>
              <w:top w:val="single" w:color="000000" w:sz="4" w:space="0"/>
              <w:left w:val="nil"/>
              <w:bottom w:val="single" w:color="000000" w:sz="4" w:space="0"/>
              <w:right w:val="single" w:color="000000" w:sz="4" w:space="0"/>
            </w:tcBorders>
            <w:shd w:val="clear" w:color="auto" w:fill="auto"/>
            <w:vAlign w:val="center"/>
          </w:tcPr>
          <w:p w14:paraId="08B6CBF6">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州科协根据州委组织部文件下发《开展“菁英计划”申报工作的通知》，各推荐人选采取适当方式公示后，按要求报送到州科协。学会部对申报人选进行资格审查，组织专家评审委员会开展初评，按计划评选数20%以上的差额提出6名建议名单报州委组织部（州委人才办），州委组织部终评后，拟入选名单经公示无异议后，会同有关部门印发正式名单，颁发《凉山州“菁英计划”入选证书》，凭证落实入选者有关支持政策。</w:t>
            </w:r>
          </w:p>
        </w:tc>
      </w:tr>
      <w:tr w14:paraId="0B13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14:paraId="1C525ED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预算执行情况（10分）</w:t>
            </w:r>
          </w:p>
        </w:tc>
        <w:tc>
          <w:tcPr>
            <w:tcW w:w="1136" w:type="dxa"/>
            <w:tcBorders>
              <w:top w:val="nil"/>
              <w:left w:val="nil"/>
              <w:bottom w:val="single" w:color="000000" w:sz="4" w:space="0"/>
              <w:right w:val="single" w:color="000000" w:sz="4" w:space="0"/>
            </w:tcBorders>
            <w:shd w:val="clear" w:color="auto" w:fill="auto"/>
            <w:vAlign w:val="center"/>
          </w:tcPr>
          <w:p w14:paraId="3469CE8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年度预算数（万元）</w:t>
            </w:r>
          </w:p>
        </w:tc>
        <w:tc>
          <w:tcPr>
            <w:tcW w:w="992" w:type="dxa"/>
            <w:tcBorders>
              <w:top w:val="nil"/>
              <w:left w:val="nil"/>
              <w:bottom w:val="single" w:color="000000" w:sz="4" w:space="0"/>
              <w:right w:val="single" w:color="000000" w:sz="4" w:space="0"/>
            </w:tcBorders>
            <w:shd w:val="clear" w:color="auto" w:fill="auto"/>
            <w:vAlign w:val="center"/>
          </w:tcPr>
          <w:p w14:paraId="562284A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年初预算</w:t>
            </w:r>
          </w:p>
        </w:tc>
        <w:tc>
          <w:tcPr>
            <w:tcW w:w="1836" w:type="dxa"/>
            <w:tcBorders>
              <w:top w:val="nil"/>
              <w:left w:val="nil"/>
              <w:bottom w:val="single" w:color="000000" w:sz="4" w:space="0"/>
              <w:right w:val="single" w:color="000000" w:sz="4" w:space="0"/>
            </w:tcBorders>
            <w:shd w:val="clear" w:color="auto" w:fill="auto"/>
            <w:vAlign w:val="center"/>
          </w:tcPr>
          <w:p w14:paraId="221EE6B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调整后预算数</w:t>
            </w:r>
          </w:p>
        </w:tc>
        <w:tc>
          <w:tcPr>
            <w:tcW w:w="1201" w:type="dxa"/>
            <w:gridSpan w:val="3"/>
            <w:tcBorders>
              <w:top w:val="single" w:color="000000" w:sz="4" w:space="0"/>
              <w:left w:val="nil"/>
              <w:bottom w:val="single" w:color="000000" w:sz="4" w:space="0"/>
              <w:right w:val="single" w:color="000000" w:sz="4" w:space="0"/>
            </w:tcBorders>
            <w:shd w:val="clear" w:color="auto" w:fill="auto"/>
            <w:vAlign w:val="center"/>
          </w:tcPr>
          <w:p w14:paraId="63954FF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预算执行数</w:t>
            </w:r>
          </w:p>
        </w:tc>
        <w:tc>
          <w:tcPr>
            <w:tcW w:w="1216" w:type="dxa"/>
            <w:gridSpan w:val="2"/>
            <w:tcBorders>
              <w:top w:val="nil"/>
              <w:left w:val="nil"/>
              <w:bottom w:val="single" w:color="000000" w:sz="4" w:space="0"/>
              <w:right w:val="single" w:color="000000" w:sz="4" w:space="0"/>
            </w:tcBorders>
            <w:shd w:val="clear" w:color="auto" w:fill="auto"/>
            <w:vAlign w:val="center"/>
          </w:tcPr>
          <w:p w14:paraId="10EE1BF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预算执行率</w:t>
            </w:r>
          </w:p>
        </w:tc>
        <w:tc>
          <w:tcPr>
            <w:tcW w:w="708" w:type="dxa"/>
            <w:tcBorders>
              <w:top w:val="nil"/>
              <w:left w:val="nil"/>
              <w:bottom w:val="single" w:color="000000" w:sz="4" w:space="0"/>
              <w:right w:val="single" w:color="000000" w:sz="4" w:space="0"/>
            </w:tcBorders>
            <w:shd w:val="clear" w:color="auto" w:fill="auto"/>
            <w:vAlign w:val="center"/>
          </w:tcPr>
          <w:p w14:paraId="13B8214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权重</w:t>
            </w:r>
          </w:p>
        </w:tc>
        <w:tc>
          <w:tcPr>
            <w:tcW w:w="660" w:type="dxa"/>
            <w:tcBorders>
              <w:top w:val="nil"/>
              <w:left w:val="nil"/>
              <w:bottom w:val="single" w:color="000000" w:sz="4" w:space="0"/>
              <w:right w:val="single" w:color="000000" w:sz="4" w:space="0"/>
            </w:tcBorders>
            <w:shd w:val="clear" w:color="auto" w:fill="auto"/>
            <w:vAlign w:val="center"/>
          </w:tcPr>
          <w:p w14:paraId="6A3E835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得分</w:t>
            </w:r>
          </w:p>
        </w:tc>
        <w:tc>
          <w:tcPr>
            <w:tcW w:w="1403" w:type="dxa"/>
            <w:tcBorders>
              <w:top w:val="nil"/>
              <w:left w:val="nil"/>
              <w:bottom w:val="single" w:color="000000" w:sz="4" w:space="0"/>
              <w:right w:val="single" w:color="000000" w:sz="4" w:space="0"/>
            </w:tcBorders>
            <w:shd w:val="clear" w:color="auto" w:fill="auto"/>
            <w:vAlign w:val="center"/>
          </w:tcPr>
          <w:p w14:paraId="2E30BAC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原因</w:t>
            </w:r>
          </w:p>
        </w:tc>
      </w:tr>
      <w:tr w14:paraId="7901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36B6C6F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tcBorders>
              <w:top w:val="nil"/>
              <w:left w:val="nil"/>
              <w:bottom w:val="single" w:color="000000" w:sz="4" w:space="0"/>
              <w:right w:val="single" w:color="000000" w:sz="4" w:space="0"/>
            </w:tcBorders>
            <w:shd w:val="clear" w:color="auto" w:fill="auto"/>
            <w:vAlign w:val="center"/>
          </w:tcPr>
          <w:p w14:paraId="1B22484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总额</w:t>
            </w:r>
          </w:p>
        </w:tc>
        <w:tc>
          <w:tcPr>
            <w:tcW w:w="992" w:type="dxa"/>
            <w:tcBorders>
              <w:top w:val="nil"/>
              <w:left w:val="nil"/>
              <w:bottom w:val="single" w:color="000000" w:sz="4" w:space="0"/>
              <w:right w:val="single" w:color="000000" w:sz="4" w:space="0"/>
            </w:tcBorders>
            <w:shd w:val="clear" w:color="auto" w:fill="auto"/>
            <w:vAlign w:val="center"/>
          </w:tcPr>
          <w:p w14:paraId="20662AB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836" w:type="dxa"/>
            <w:tcBorders>
              <w:top w:val="nil"/>
              <w:left w:val="nil"/>
              <w:bottom w:val="single" w:color="000000" w:sz="4" w:space="0"/>
              <w:right w:val="single" w:color="000000" w:sz="4" w:space="0"/>
            </w:tcBorders>
            <w:shd w:val="clear" w:color="auto" w:fill="auto"/>
            <w:vAlign w:val="center"/>
          </w:tcPr>
          <w:p w14:paraId="06A6DC4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50.00</w:t>
            </w:r>
          </w:p>
        </w:tc>
        <w:tc>
          <w:tcPr>
            <w:tcW w:w="1201" w:type="dxa"/>
            <w:gridSpan w:val="3"/>
            <w:tcBorders>
              <w:top w:val="single" w:color="000000" w:sz="4" w:space="0"/>
              <w:left w:val="nil"/>
              <w:bottom w:val="single" w:color="000000" w:sz="4" w:space="0"/>
              <w:right w:val="single" w:color="000000" w:sz="4" w:space="0"/>
            </w:tcBorders>
            <w:shd w:val="clear" w:color="auto" w:fill="auto"/>
            <w:vAlign w:val="center"/>
          </w:tcPr>
          <w:p w14:paraId="70099C4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50.00</w:t>
            </w:r>
          </w:p>
        </w:tc>
        <w:tc>
          <w:tcPr>
            <w:tcW w:w="1216" w:type="dxa"/>
            <w:gridSpan w:val="2"/>
            <w:tcBorders>
              <w:top w:val="nil"/>
              <w:left w:val="nil"/>
              <w:bottom w:val="single" w:color="000000" w:sz="4" w:space="0"/>
              <w:right w:val="single" w:color="000000" w:sz="4" w:space="0"/>
            </w:tcBorders>
            <w:shd w:val="clear" w:color="auto" w:fill="auto"/>
            <w:vAlign w:val="center"/>
          </w:tcPr>
          <w:p w14:paraId="6086F4C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100.00%</w:t>
            </w:r>
          </w:p>
        </w:tc>
        <w:tc>
          <w:tcPr>
            <w:tcW w:w="708" w:type="dxa"/>
            <w:tcBorders>
              <w:top w:val="nil"/>
              <w:left w:val="nil"/>
              <w:bottom w:val="single" w:color="000000" w:sz="4" w:space="0"/>
              <w:right w:val="single" w:color="000000" w:sz="4" w:space="0"/>
            </w:tcBorders>
            <w:shd w:val="clear" w:color="auto" w:fill="auto"/>
            <w:vAlign w:val="center"/>
          </w:tcPr>
          <w:p w14:paraId="15D90AE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60" w:type="dxa"/>
            <w:tcBorders>
              <w:top w:val="nil"/>
              <w:left w:val="nil"/>
              <w:bottom w:val="single" w:color="000000" w:sz="4" w:space="0"/>
              <w:right w:val="single" w:color="000000" w:sz="4" w:space="0"/>
            </w:tcBorders>
            <w:shd w:val="clear" w:color="auto" w:fill="auto"/>
            <w:vAlign w:val="center"/>
          </w:tcPr>
          <w:p w14:paraId="4E400CC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1403" w:type="dxa"/>
            <w:vMerge w:val="restart"/>
            <w:tcBorders>
              <w:top w:val="nil"/>
              <w:left w:val="single" w:color="000000" w:sz="4" w:space="0"/>
              <w:bottom w:val="single" w:color="000000" w:sz="4" w:space="0"/>
              <w:right w:val="single" w:color="000000" w:sz="4" w:space="0"/>
            </w:tcBorders>
            <w:shd w:val="clear" w:color="auto" w:fill="auto"/>
            <w:vAlign w:val="center"/>
          </w:tcPr>
          <w:p w14:paraId="7850052E">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i/>
                <w:iCs/>
                <w:kern w:val="0"/>
                <w:sz w:val="15"/>
                <w:szCs w:val="15"/>
                <w:lang w:val="en-US"/>
              </w:rPr>
            </w:pPr>
          </w:p>
        </w:tc>
      </w:tr>
      <w:tr w14:paraId="337F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3C605533">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tcBorders>
              <w:top w:val="nil"/>
              <w:left w:val="nil"/>
              <w:bottom w:val="single" w:color="000000" w:sz="4" w:space="0"/>
              <w:right w:val="single" w:color="000000" w:sz="4" w:space="0"/>
            </w:tcBorders>
            <w:shd w:val="clear" w:color="auto" w:fill="auto"/>
            <w:vAlign w:val="center"/>
          </w:tcPr>
          <w:p w14:paraId="10682EC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其中：财政资金</w:t>
            </w:r>
          </w:p>
        </w:tc>
        <w:tc>
          <w:tcPr>
            <w:tcW w:w="992" w:type="dxa"/>
            <w:tcBorders>
              <w:top w:val="nil"/>
              <w:left w:val="nil"/>
              <w:bottom w:val="single" w:color="000000" w:sz="4" w:space="0"/>
              <w:right w:val="single" w:color="000000" w:sz="4" w:space="0"/>
            </w:tcBorders>
            <w:shd w:val="clear" w:color="auto" w:fill="auto"/>
            <w:vAlign w:val="center"/>
          </w:tcPr>
          <w:p w14:paraId="4D51F99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836" w:type="dxa"/>
            <w:tcBorders>
              <w:top w:val="nil"/>
              <w:left w:val="nil"/>
              <w:bottom w:val="single" w:color="000000" w:sz="4" w:space="0"/>
              <w:right w:val="single" w:color="000000" w:sz="4" w:space="0"/>
            </w:tcBorders>
            <w:shd w:val="clear" w:color="auto" w:fill="auto"/>
            <w:vAlign w:val="center"/>
          </w:tcPr>
          <w:p w14:paraId="331E6D8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50.00</w:t>
            </w:r>
          </w:p>
        </w:tc>
        <w:tc>
          <w:tcPr>
            <w:tcW w:w="1201" w:type="dxa"/>
            <w:gridSpan w:val="3"/>
            <w:tcBorders>
              <w:top w:val="single" w:color="000000" w:sz="4" w:space="0"/>
              <w:left w:val="nil"/>
              <w:bottom w:val="single" w:color="000000" w:sz="4" w:space="0"/>
              <w:right w:val="single" w:color="000000" w:sz="4" w:space="0"/>
            </w:tcBorders>
            <w:shd w:val="clear" w:color="auto" w:fill="auto"/>
            <w:vAlign w:val="center"/>
          </w:tcPr>
          <w:p w14:paraId="08D50B0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50.00</w:t>
            </w:r>
          </w:p>
        </w:tc>
        <w:tc>
          <w:tcPr>
            <w:tcW w:w="1216" w:type="dxa"/>
            <w:gridSpan w:val="2"/>
            <w:tcBorders>
              <w:top w:val="nil"/>
              <w:left w:val="nil"/>
              <w:bottom w:val="single" w:color="000000" w:sz="4" w:space="0"/>
              <w:right w:val="single" w:color="000000" w:sz="4" w:space="0"/>
            </w:tcBorders>
            <w:shd w:val="clear" w:color="auto" w:fill="auto"/>
            <w:vAlign w:val="center"/>
          </w:tcPr>
          <w:p w14:paraId="2AE4BD0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100.00%</w:t>
            </w:r>
          </w:p>
        </w:tc>
        <w:tc>
          <w:tcPr>
            <w:tcW w:w="708" w:type="dxa"/>
            <w:tcBorders>
              <w:top w:val="nil"/>
              <w:left w:val="nil"/>
              <w:bottom w:val="single" w:color="000000" w:sz="4" w:space="0"/>
              <w:right w:val="single" w:color="000000" w:sz="4" w:space="0"/>
            </w:tcBorders>
            <w:shd w:val="clear" w:color="auto" w:fill="auto"/>
            <w:vAlign w:val="center"/>
          </w:tcPr>
          <w:p w14:paraId="10CADE6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60" w:type="dxa"/>
            <w:tcBorders>
              <w:top w:val="nil"/>
              <w:left w:val="nil"/>
              <w:bottom w:val="single" w:color="000000" w:sz="4" w:space="0"/>
              <w:right w:val="single" w:color="000000" w:sz="4" w:space="0"/>
            </w:tcBorders>
            <w:shd w:val="clear" w:color="auto" w:fill="auto"/>
            <w:vAlign w:val="center"/>
          </w:tcPr>
          <w:p w14:paraId="1911AD5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1403" w:type="dxa"/>
            <w:vMerge w:val="continue"/>
            <w:tcBorders>
              <w:top w:val="nil"/>
              <w:left w:val="single" w:color="000000" w:sz="4" w:space="0"/>
              <w:bottom w:val="single" w:color="000000" w:sz="4" w:space="0"/>
              <w:right w:val="single" w:color="000000" w:sz="4" w:space="0"/>
            </w:tcBorders>
            <w:shd w:val="clear" w:color="auto" w:fill="auto"/>
            <w:vAlign w:val="center"/>
          </w:tcPr>
          <w:p w14:paraId="74C05BE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093B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4593E55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tcBorders>
              <w:top w:val="nil"/>
              <w:left w:val="nil"/>
              <w:bottom w:val="single" w:color="000000" w:sz="4" w:space="0"/>
              <w:right w:val="single" w:color="000000" w:sz="4" w:space="0"/>
            </w:tcBorders>
            <w:shd w:val="clear" w:color="auto" w:fill="auto"/>
            <w:vAlign w:val="center"/>
          </w:tcPr>
          <w:p w14:paraId="79924A6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财政专户管理资金</w:t>
            </w:r>
          </w:p>
        </w:tc>
        <w:tc>
          <w:tcPr>
            <w:tcW w:w="992" w:type="dxa"/>
            <w:tcBorders>
              <w:top w:val="nil"/>
              <w:left w:val="nil"/>
              <w:bottom w:val="single" w:color="000000" w:sz="4" w:space="0"/>
              <w:right w:val="single" w:color="000000" w:sz="4" w:space="0"/>
            </w:tcBorders>
            <w:shd w:val="clear" w:color="auto" w:fill="auto"/>
            <w:vAlign w:val="center"/>
          </w:tcPr>
          <w:p w14:paraId="010CE73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836" w:type="dxa"/>
            <w:tcBorders>
              <w:top w:val="nil"/>
              <w:left w:val="nil"/>
              <w:bottom w:val="single" w:color="000000" w:sz="4" w:space="0"/>
              <w:right w:val="single" w:color="000000" w:sz="4" w:space="0"/>
            </w:tcBorders>
            <w:shd w:val="clear" w:color="auto" w:fill="auto"/>
            <w:vAlign w:val="center"/>
          </w:tcPr>
          <w:p w14:paraId="6E7B47C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201" w:type="dxa"/>
            <w:gridSpan w:val="3"/>
            <w:tcBorders>
              <w:top w:val="single" w:color="000000" w:sz="4" w:space="0"/>
              <w:left w:val="nil"/>
              <w:bottom w:val="single" w:color="000000" w:sz="4" w:space="0"/>
              <w:right w:val="single" w:color="000000" w:sz="4" w:space="0"/>
            </w:tcBorders>
            <w:shd w:val="clear" w:color="auto" w:fill="auto"/>
            <w:vAlign w:val="center"/>
          </w:tcPr>
          <w:p w14:paraId="01FE237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216" w:type="dxa"/>
            <w:gridSpan w:val="2"/>
            <w:tcBorders>
              <w:top w:val="nil"/>
              <w:left w:val="nil"/>
              <w:bottom w:val="single" w:color="000000" w:sz="4" w:space="0"/>
              <w:right w:val="single" w:color="000000" w:sz="4" w:space="0"/>
            </w:tcBorders>
            <w:shd w:val="clear" w:color="auto" w:fill="auto"/>
            <w:vAlign w:val="center"/>
          </w:tcPr>
          <w:p w14:paraId="0F7D98E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708" w:type="dxa"/>
            <w:tcBorders>
              <w:top w:val="nil"/>
              <w:left w:val="nil"/>
              <w:bottom w:val="single" w:color="000000" w:sz="4" w:space="0"/>
              <w:right w:val="single" w:color="000000" w:sz="4" w:space="0"/>
            </w:tcBorders>
            <w:shd w:val="clear" w:color="auto" w:fill="auto"/>
            <w:vAlign w:val="center"/>
          </w:tcPr>
          <w:p w14:paraId="2575C4C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60" w:type="dxa"/>
            <w:tcBorders>
              <w:top w:val="nil"/>
              <w:left w:val="nil"/>
              <w:bottom w:val="single" w:color="000000" w:sz="4" w:space="0"/>
              <w:right w:val="single" w:color="000000" w:sz="4" w:space="0"/>
            </w:tcBorders>
            <w:shd w:val="clear" w:color="auto" w:fill="auto"/>
            <w:vAlign w:val="center"/>
          </w:tcPr>
          <w:p w14:paraId="5632A07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1403" w:type="dxa"/>
            <w:vMerge w:val="continue"/>
            <w:tcBorders>
              <w:top w:val="nil"/>
              <w:left w:val="single" w:color="000000" w:sz="4" w:space="0"/>
              <w:bottom w:val="single" w:color="000000" w:sz="4" w:space="0"/>
              <w:right w:val="single" w:color="000000" w:sz="4" w:space="0"/>
            </w:tcBorders>
            <w:shd w:val="clear" w:color="auto" w:fill="auto"/>
            <w:vAlign w:val="center"/>
          </w:tcPr>
          <w:p w14:paraId="4B12DEE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666B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795DEEB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tcBorders>
              <w:top w:val="nil"/>
              <w:left w:val="nil"/>
              <w:bottom w:val="single" w:color="000000" w:sz="4" w:space="0"/>
              <w:right w:val="single" w:color="000000" w:sz="4" w:space="0"/>
            </w:tcBorders>
            <w:shd w:val="clear" w:color="auto" w:fill="auto"/>
            <w:vAlign w:val="center"/>
          </w:tcPr>
          <w:p w14:paraId="67A9F4B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单位资金</w:t>
            </w:r>
          </w:p>
        </w:tc>
        <w:tc>
          <w:tcPr>
            <w:tcW w:w="992" w:type="dxa"/>
            <w:tcBorders>
              <w:top w:val="nil"/>
              <w:left w:val="nil"/>
              <w:bottom w:val="single" w:color="000000" w:sz="4" w:space="0"/>
              <w:right w:val="single" w:color="000000" w:sz="4" w:space="0"/>
            </w:tcBorders>
            <w:shd w:val="clear" w:color="auto" w:fill="auto"/>
            <w:vAlign w:val="center"/>
          </w:tcPr>
          <w:p w14:paraId="3155D51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836" w:type="dxa"/>
            <w:tcBorders>
              <w:top w:val="nil"/>
              <w:left w:val="nil"/>
              <w:bottom w:val="single" w:color="000000" w:sz="4" w:space="0"/>
              <w:right w:val="single" w:color="000000" w:sz="4" w:space="0"/>
            </w:tcBorders>
            <w:shd w:val="clear" w:color="auto" w:fill="auto"/>
            <w:vAlign w:val="center"/>
          </w:tcPr>
          <w:p w14:paraId="59DDEBF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201" w:type="dxa"/>
            <w:gridSpan w:val="3"/>
            <w:tcBorders>
              <w:top w:val="single" w:color="000000" w:sz="4" w:space="0"/>
              <w:left w:val="nil"/>
              <w:bottom w:val="single" w:color="000000" w:sz="4" w:space="0"/>
              <w:right w:val="single" w:color="000000" w:sz="4" w:space="0"/>
            </w:tcBorders>
            <w:shd w:val="clear" w:color="auto" w:fill="auto"/>
            <w:vAlign w:val="center"/>
          </w:tcPr>
          <w:p w14:paraId="29ED824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1216" w:type="dxa"/>
            <w:gridSpan w:val="2"/>
            <w:tcBorders>
              <w:top w:val="nil"/>
              <w:left w:val="nil"/>
              <w:bottom w:val="single" w:color="000000" w:sz="4" w:space="0"/>
              <w:right w:val="single" w:color="000000" w:sz="4" w:space="0"/>
            </w:tcBorders>
            <w:shd w:val="clear" w:color="auto" w:fill="auto"/>
            <w:vAlign w:val="center"/>
          </w:tcPr>
          <w:p w14:paraId="5C55602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0.00%</w:t>
            </w:r>
          </w:p>
        </w:tc>
        <w:tc>
          <w:tcPr>
            <w:tcW w:w="708" w:type="dxa"/>
            <w:tcBorders>
              <w:top w:val="nil"/>
              <w:left w:val="nil"/>
              <w:bottom w:val="single" w:color="000000" w:sz="4" w:space="0"/>
              <w:right w:val="single" w:color="000000" w:sz="4" w:space="0"/>
            </w:tcBorders>
            <w:shd w:val="clear" w:color="auto" w:fill="auto"/>
            <w:vAlign w:val="center"/>
          </w:tcPr>
          <w:p w14:paraId="6D77F7D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60" w:type="dxa"/>
            <w:tcBorders>
              <w:top w:val="nil"/>
              <w:left w:val="nil"/>
              <w:bottom w:val="single" w:color="000000" w:sz="4" w:space="0"/>
              <w:right w:val="single" w:color="000000" w:sz="4" w:space="0"/>
            </w:tcBorders>
            <w:shd w:val="clear" w:color="auto" w:fill="auto"/>
            <w:vAlign w:val="center"/>
          </w:tcPr>
          <w:p w14:paraId="2EC8B62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1403" w:type="dxa"/>
            <w:vMerge w:val="continue"/>
            <w:tcBorders>
              <w:top w:val="nil"/>
              <w:left w:val="single" w:color="000000" w:sz="4" w:space="0"/>
              <w:bottom w:val="single" w:color="000000" w:sz="4" w:space="0"/>
              <w:right w:val="single" w:color="000000" w:sz="4" w:space="0"/>
            </w:tcBorders>
            <w:shd w:val="clear" w:color="auto" w:fill="auto"/>
            <w:vAlign w:val="center"/>
          </w:tcPr>
          <w:p w14:paraId="19E1B87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1083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726BA84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tcBorders>
              <w:top w:val="nil"/>
              <w:left w:val="nil"/>
              <w:bottom w:val="single" w:color="000000" w:sz="4" w:space="0"/>
              <w:right w:val="single" w:color="000000" w:sz="4" w:space="0"/>
            </w:tcBorders>
            <w:shd w:val="clear" w:color="auto" w:fill="auto"/>
            <w:vAlign w:val="center"/>
          </w:tcPr>
          <w:p w14:paraId="4AB7F78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其他资金</w:t>
            </w:r>
          </w:p>
        </w:tc>
        <w:tc>
          <w:tcPr>
            <w:tcW w:w="992" w:type="dxa"/>
            <w:tcBorders>
              <w:top w:val="nil"/>
              <w:left w:val="nil"/>
              <w:bottom w:val="single" w:color="000000" w:sz="4" w:space="0"/>
              <w:right w:val="single" w:color="000000" w:sz="4" w:space="0"/>
            </w:tcBorders>
            <w:shd w:val="clear" w:color="auto" w:fill="auto"/>
            <w:vAlign w:val="center"/>
          </w:tcPr>
          <w:p w14:paraId="50781D6C">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c>
          <w:tcPr>
            <w:tcW w:w="1836" w:type="dxa"/>
            <w:tcBorders>
              <w:top w:val="nil"/>
              <w:left w:val="nil"/>
              <w:bottom w:val="single" w:color="000000" w:sz="4" w:space="0"/>
              <w:right w:val="single" w:color="000000" w:sz="4" w:space="0"/>
            </w:tcBorders>
            <w:shd w:val="clear" w:color="auto" w:fill="auto"/>
            <w:vAlign w:val="center"/>
          </w:tcPr>
          <w:p w14:paraId="12AA3F5B">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c>
          <w:tcPr>
            <w:tcW w:w="1201" w:type="dxa"/>
            <w:gridSpan w:val="3"/>
            <w:tcBorders>
              <w:top w:val="single" w:color="000000" w:sz="4" w:space="0"/>
              <w:left w:val="nil"/>
              <w:bottom w:val="single" w:color="000000" w:sz="4" w:space="0"/>
              <w:right w:val="single" w:color="000000" w:sz="4" w:space="0"/>
            </w:tcBorders>
            <w:shd w:val="clear" w:color="auto" w:fill="auto"/>
            <w:vAlign w:val="center"/>
          </w:tcPr>
          <w:p w14:paraId="73AD8CE4">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c>
          <w:tcPr>
            <w:tcW w:w="1216" w:type="dxa"/>
            <w:gridSpan w:val="2"/>
            <w:tcBorders>
              <w:top w:val="nil"/>
              <w:left w:val="nil"/>
              <w:bottom w:val="single" w:color="000000" w:sz="4" w:space="0"/>
              <w:right w:val="single" w:color="000000" w:sz="4" w:space="0"/>
            </w:tcBorders>
            <w:shd w:val="clear" w:color="auto" w:fill="auto"/>
            <w:vAlign w:val="center"/>
          </w:tcPr>
          <w:p w14:paraId="5664D7CB">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c>
          <w:tcPr>
            <w:tcW w:w="708" w:type="dxa"/>
            <w:tcBorders>
              <w:top w:val="nil"/>
              <w:left w:val="nil"/>
              <w:bottom w:val="single" w:color="000000" w:sz="4" w:space="0"/>
              <w:right w:val="single" w:color="000000" w:sz="4" w:space="0"/>
            </w:tcBorders>
            <w:shd w:val="clear" w:color="auto" w:fill="auto"/>
            <w:vAlign w:val="center"/>
          </w:tcPr>
          <w:p w14:paraId="28620DC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60" w:type="dxa"/>
            <w:tcBorders>
              <w:top w:val="nil"/>
              <w:left w:val="nil"/>
              <w:bottom w:val="single" w:color="000000" w:sz="4" w:space="0"/>
              <w:right w:val="single" w:color="000000" w:sz="4" w:space="0"/>
            </w:tcBorders>
            <w:shd w:val="clear" w:color="auto" w:fill="auto"/>
            <w:vAlign w:val="center"/>
          </w:tcPr>
          <w:p w14:paraId="5D5EDAA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1403" w:type="dxa"/>
            <w:vMerge w:val="continue"/>
            <w:tcBorders>
              <w:top w:val="nil"/>
              <w:left w:val="single" w:color="000000" w:sz="4" w:space="0"/>
              <w:bottom w:val="single" w:color="000000" w:sz="4" w:space="0"/>
              <w:right w:val="single" w:color="000000" w:sz="4" w:space="0"/>
            </w:tcBorders>
            <w:shd w:val="clear" w:color="auto" w:fill="auto"/>
            <w:vAlign w:val="center"/>
          </w:tcPr>
          <w:p w14:paraId="4322984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05CC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14:paraId="083B296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绩效指标（90分）</w:t>
            </w:r>
          </w:p>
        </w:tc>
        <w:tc>
          <w:tcPr>
            <w:tcW w:w="1136" w:type="dxa"/>
            <w:tcBorders>
              <w:top w:val="nil"/>
              <w:left w:val="nil"/>
              <w:bottom w:val="single" w:color="000000" w:sz="4" w:space="0"/>
              <w:right w:val="single" w:color="000000" w:sz="4" w:space="0"/>
            </w:tcBorders>
            <w:shd w:val="clear" w:color="auto" w:fill="auto"/>
            <w:vAlign w:val="center"/>
          </w:tcPr>
          <w:p w14:paraId="4966425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一级指标</w:t>
            </w:r>
          </w:p>
        </w:tc>
        <w:tc>
          <w:tcPr>
            <w:tcW w:w="992" w:type="dxa"/>
            <w:tcBorders>
              <w:top w:val="nil"/>
              <w:left w:val="nil"/>
              <w:bottom w:val="single" w:color="000000" w:sz="4" w:space="0"/>
              <w:right w:val="single" w:color="000000" w:sz="4" w:space="0"/>
            </w:tcBorders>
            <w:shd w:val="clear" w:color="auto" w:fill="auto"/>
            <w:vAlign w:val="center"/>
          </w:tcPr>
          <w:p w14:paraId="3F2B2EE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二级指标</w:t>
            </w:r>
          </w:p>
        </w:tc>
        <w:tc>
          <w:tcPr>
            <w:tcW w:w="1836" w:type="dxa"/>
            <w:tcBorders>
              <w:top w:val="nil"/>
              <w:left w:val="nil"/>
              <w:bottom w:val="single" w:color="000000" w:sz="4" w:space="0"/>
              <w:right w:val="single" w:color="000000" w:sz="4" w:space="0"/>
            </w:tcBorders>
            <w:shd w:val="clear" w:color="auto" w:fill="auto"/>
            <w:vAlign w:val="center"/>
          </w:tcPr>
          <w:p w14:paraId="79D5CE3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三级指标</w:t>
            </w:r>
          </w:p>
        </w:tc>
        <w:tc>
          <w:tcPr>
            <w:tcW w:w="589" w:type="dxa"/>
            <w:gridSpan w:val="2"/>
            <w:tcBorders>
              <w:top w:val="nil"/>
              <w:left w:val="nil"/>
              <w:bottom w:val="single" w:color="000000" w:sz="4" w:space="0"/>
              <w:right w:val="single" w:color="000000" w:sz="4" w:space="0"/>
            </w:tcBorders>
            <w:shd w:val="clear" w:color="auto" w:fill="auto"/>
            <w:vAlign w:val="center"/>
          </w:tcPr>
          <w:p w14:paraId="5D90362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指标性质</w:t>
            </w:r>
          </w:p>
        </w:tc>
        <w:tc>
          <w:tcPr>
            <w:tcW w:w="612" w:type="dxa"/>
            <w:tcBorders>
              <w:top w:val="nil"/>
              <w:left w:val="nil"/>
              <w:bottom w:val="single" w:color="000000" w:sz="4" w:space="0"/>
              <w:right w:val="single" w:color="000000" w:sz="4" w:space="0"/>
            </w:tcBorders>
            <w:shd w:val="clear" w:color="auto" w:fill="auto"/>
            <w:vAlign w:val="center"/>
          </w:tcPr>
          <w:p w14:paraId="4C588C9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指标值</w:t>
            </w:r>
          </w:p>
        </w:tc>
        <w:tc>
          <w:tcPr>
            <w:tcW w:w="551" w:type="dxa"/>
            <w:tcBorders>
              <w:top w:val="nil"/>
              <w:left w:val="nil"/>
              <w:bottom w:val="single" w:color="000000" w:sz="4" w:space="0"/>
              <w:right w:val="single" w:color="000000" w:sz="4" w:space="0"/>
            </w:tcBorders>
            <w:shd w:val="clear" w:color="auto" w:fill="auto"/>
            <w:vAlign w:val="center"/>
          </w:tcPr>
          <w:p w14:paraId="518B3E0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度量单位</w:t>
            </w:r>
          </w:p>
        </w:tc>
        <w:tc>
          <w:tcPr>
            <w:tcW w:w="665" w:type="dxa"/>
            <w:tcBorders>
              <w:top w:val="nil"/>
              <w:left w:val="nil"/>
              <w:bottom w:val="single" w:color="000000" w:sz="4" w:space="0"/>
              <w:right w:val="single" w:color="000000" w:sz="4" w:space="0"/>
            </w:tcBorders>
            <w:shd w:val="clear" w:color="auto" w:fill="auto"/>
            <w:vAlign w:val="center"/>
          </w:tcPr>
          <w:p w14:paraId="77C0FD2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完成值</w:t>
            </w:r>
          </w:p>
        </w:tc>
        <w:tc>
          <w:tcPr>
            <w:tcW w:w="708" w:type="dxa"/>
            <w:tcBorders>
              <w:top w:val="nil"/>
              <w:left w:val="nil"/>
              <w:bottom w:val="single" w:color="000000" w:sz="4" w:space="0"/>
              <w:right w:val="single" w:color="000000" w:sz="4" w:space="0"/>
            </w:tcBorders>
            <w:shd w:val="clear" w:color="auto" w:fill="auto"/>
            <w:vAlign w:val="center"/>
          </w:tcPr>
          <w:p w14:paraId="33C6FF3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权重</w:t>
            </w:r>
          </w:p>
        </w:tc>
        <w:tc>
          <w:tcPr>
            <w:tcW w:w="660" w:type="dxa"/>
            <w:tcBorders>
              <w:top w:val="nil"/>
              <w:left w:val="nil"/>
              <w:bottom w:val="single" w:color="000000" w:sz="4" w:space="0"/>
              <w:right w:val="single" w:color="000000" w:sz="4" w:space="0"/>
            </w:tcBorders>
            <w:shd w:val="clear" w:color="auto" w:fill="auto"/>
            <w:vAlign w:val="center"/>
          </w:tcPr>
          <w:p w14:paraId="4321A3A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得分</w:t>
            </w:r>
          </w:p>
        </w:tc>
        <w:tc>
          <w:tcPr>
            <w:tcW w:w="1403" w:type="dxa"/>
            <w:tcBorders>
              <w:top w:val="nil"/>
              <w:left w:val="nil"/>
              <w:bottom w:val="single" w:color="000000" w:sz="4" w:space="0"/>
              <w:right w:val="single" w:color="000000" w:sz="4" w:space="0"/>
            </w:tcBorders>
            <w:shd w:val="clear" w:color="auto" w:fill="auto"/>
            <w:vAlign w:val="center"/>
          </w:tcPr>
          <w:p w14:paraId="4DD0434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未完成原因分析</w:t>
            </w:r>
          </w:p>
        </w:tc>
      </w:tr>
      <w:tr w14:paraId="70DB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04AB785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vMerge w:val="restart"/>
            <w:tcBorders>
              <w:top w:val="nil"/>
              <w:left w:val="nil"/>
              <w:bottom w:val="single" w:color="000000" w:sz="4" w:space="0"/>
              <w:right w:val="single" w:color="000000" w:sz="4" w:space="0"/>
            </w:tcBorders>
            <w:shd w:val="clear" w:color="auto" w:fill="auto"/>
            <w:vAlign w:val="center"/>
          </w:tcPr>
          <w:p w14:paraId="4ECEC75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产出指标</w:t>
            </w:r>
          </w:p>
        </w:tc>
        <w:tc>
          <w:tcPr>
            <w:tcW w:w="992" w:type="dxa"/>
            <w:tcBorders>
              <w:top w:val="nil"/>
              <w:left w:val="nil"/>
              <w:bottom w:val="single" w:color="000000" w:sz="4" w:space="0"/>
              <w:right w:val="single" w:color="000000" w:sz="4" w:space="0"/>
            </w:tcBorders>
            <w:shd w:val="clear" w:color="auto" w:fill="auto"/>
            <w:vAlign w:val="center"/>
          </w:tcPr>
          <w:p w14:paraId="4AA4709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数量指标</w:t>
            </w:r>
          </w:p>
        </w:tc>
        <w:tc>
          <w:tcPr>
            <w:tcW w:w="1836" w:type="dxa"/>
            <w:tcBorders>
              <w:top w:val="nil"/>
              <w:left w:val="nil"/>
              <w:bottom w:val="single" w:color="000000" w:sz="4" w:space="0"/>
              <w:right w:val="single" w:color="000000" w:sz="4" w:space="0"/>
            </w:tcBorders>
            <w:shd w:val="clear" w:color="auto" w:fill="auto"/>
            <w:vAlign w:val="center"/>
          </w:tcPr>
          <w:p w14:paraId="486BC49D">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计划初评上报州委组织部人数</w:t>
            </w:r>
          </w:p>
        </w:tc>
        <w:tc>
          <w:tcPr>
            <w:tcW w:w="589" w:type="dxa"/>
            <w:gridSpan w:val="2"/>
            <w:tcBorders>
              <w:top w:val="nil"/>
              <w:left w:val="nil"/>
              <w:bottom w:val="single" w:color="000000" w:sz="4" w:space="0"/>
              <w:right w:val="single" w:color="000000" w:sz="4" w:space="0"/>
            </w:tcBorders>
            <w:shd w:val="clear" w:color="auto" w:fill="auto"/>
            <w:vAlign w:val="center"/>
          </w:tcPr>
          <w:p w14:paraId="671A2BD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12" w:type="dxa"/>
            <w:tcBorders>
              <w:top w:val="nil"/>
              <w:left w:val="nil"/>
              <w:bottom w:val="single" w:color="000000" w:sz="4" w:space="0"/>
              <w:right w:val="single" w:color="000000" w:sz="4" w:space="0"/>
            </w:tcBorders>
            <w:shd w:val="clear" w:color="auto" w:fill="auto"/>
            <w:vAlign w:val="center"/>
          </w:tcPr>
          <w:p w14:paraId="0F8C5D2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6</w:t>
            </w:r>
          </w:p>
        </w:tc>
        <w:tc>
          <w:tcPr>
            <w:tcW w:w="551" w:type="dxa"/>
            <w:tcBorders>
              <w:top w:val="nil"/>
              <w:left w:val="nil"/>
              <w:bottom w:val="single" w:color="000000" w:sz="4" w:space="0"/>
              <w:right w:val="single" w:color="000000" w:sz="4" w:space="0"/>
            </w:tcBorders>
            <w:shd w:val="clear" w:color="auto" w:fill="auto"/>
            <w:vAlign w:val="center"/>
          </w:tcPr>
          <w:p w14:paraId="191FB0C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人（次）</w:t>
            </w:r>
          </w:p>
        </w:tc>
        <w:tc>
          <w:tcPr>
            <w:tcW w:w="665" w:type="dxa"/>
            <w:tcBorders>
              <w:top w:val="nil"/>
              <w:left w:val="nil"/>
              <w:bottom w:val="single" w:color="000000" w:sz="4" w:space="0"/>
              <w:right w:val="single" w:color="000000" w:sz="4" w:space="0"/>
            </w:tcBorders>
            <w:shd w:val="clear" w:color="auto" w:fill="auto"/>
            <w:vAlign w:val="center"/>
          </w:tcPr>
          <w:p w14:paraId="6AF9C3C8">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6</w:t>
            </w:r>
          </w:p>
        </w:tc>
        <w:tc>
          <w:tcPr>
            <w:tcW w:w="708" w:type="dxa"/>
            <w:tcBorders>
              <w:top w:val="nil"/>
              <w:left w:val="nil"/>
              <w:bottom w:val="single" w:color="000000" w:sz="4" w:space="0"/>
              <w:right w:val="single" w:color="000000" w:sz="4" w:space="0"/>
            </w:tcBorders>
            <w:shd w:val="clear" w:color="auto" w:fill="auto"/>
            <w:vAlign w:val="center"/>
          </w:tcPr>
          <w:p w14:paraId="7B02E71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w:t>
            </w:r>
          </w:p>
        </w:tc>
        <w:tc>
          <w:tcPr>
            <w:tcW w:w="660" w:type="dxa"/>
            <w:tcBorders>
              <w:top w:val="nil"/>
              <w:left w:val="nil"/>
              <w:bottom w:val="single" w:color="000000" w:sz="4" w:space="0"/>
              <w:right w:val="single" w:color="000000" w:sz="4" w:space="0"/>
            </w:tcBorders>
            <w:shd w:val="clear" w:color="auto" w:fill="auto"/>
            <w:vAlign w:val="center"/>
          </w:tcPr>
          <w:p w14:paraId="3626D71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　</w:t>
            </w:r>
          </w:p>
        </w:tc>
        <w:tc>
          <w:tcPr>
            <w:tcW w:w="1403" w:type="dxa"/>
            <w:tcBorders>
              <w:top w:val="nil"/>
              <w:left w:val="nil"/>
              <w:bottom w:val="single" w:color="000000" w:sz="4" w:space="0"/>
              <w:right w:val="single" w:color="000000" w:sz="4" w:space="0"/>
            </w:tcBorders>
            <w:shd w:val="clear" w:color="auto" w:fill="auto"/>
            <w:vAlign w:val="center"/>
          </w:tcPr>
          <w:p w14:paraId="70FE68EE">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1D0A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48597FA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vMerge w:val="continue"/>
            <w:tcBorders>
              <w:top w:val="nil"/>
              <w:left w:val="nil"/>
              <w:bottom w:val="single" w:color="000000" w:sz="4" w:space="0"/>
              <w:right w:val="single" w:color="000000" w:sz="4" w:space="0"/>
            </w:tcBorders>
            <w:shd w:val="clear" w:color="auto" w:fill="auto"/>
            <w:vAlign w:val="center"/>
          </w:tcPr>
          <w:p w14:paraId="2E5FD10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tcBorders>
              <w:top w:val="nil"/>
              <w:left w:val="nil"/>
              <w:bottom w:val="single" w:color="000000" w:sz="4" w:space="0"/>
              <w:right w:val="single" w:color="000000" w:sz="4" w:space="0"/>
            </w:tcBorders>
            <w:shd w:val="clear" w:color="auto" w:fill="auto"/>
            <w:vAlign w:val="center"/>
          </w:tcPr>
          <w:p w14:paraId="2C989ED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质量指标</w:t>
            </w:r>
          </w:p>
        </w:tc>
        <w:tc>
          <w:tcPr>
            <w:tcW w:w="1836" w:type="dxa"/>
            <w:tcBorders>
              <w:top w:val="nil"/>
              <w:left w:val="nil"/>
              <w:bottom w:val="single" w:color="000000" w:sz="4" w:space="0"/>
              <w:right w:val="single" w:color="000000" w:sz="4" w:space="0"/>
            </w:tcBorders>
            <w:shd w:val="clear" w:color="auto" w:fill="auto"/>
            <w:vAlign w:val="center"/>
          </w:tcPr>
          <w:p w14:paraId="149A1D05">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遴选科技工作者达标率。</w:t>
            </w:r>
          </w:p>
        </w:tc>
        <w:tc>
          <w:tcPr>
            <w:tcW w:w="589" w:type="dxa"/>
            <w:gridSpan w:val="2"/>
            <w:tcBorders>
              <w:top w:val="nil"/>
              <w:left w:val="nil"/>
              <w:bottom w:val="single" w:color="000000" w:sz="4" w:space="0"/>
              <w:right w:val="single" w:color="000000" w:sz="4" w:space="0"/>
            </w:tcBorders>
            <w:shd w:val="clear" w:color="auto" w:fill="auto"/>
            <w:vAlign w:val="center"/>
          </w:tcPr>
          <w:p w14:paraId="619C456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12" w:type="dxa"/>
            <w:tcBorders>
              <w:top w:val="nil"/>
              <w:left w:val="nil"/>
              <w:bottom w:val="single" w:color="000000" w:sz="4" w:space="0"/>
              <w:right w:val="single" w:color="000000" w:sz="4" w:space="0"/>
            </w:tcBorders>
            <w:shd w:val="clear" w:color="auto" w:fill="auto"/>
            <w:vAlign w:val="center"/>
          </w:tcPr>
          <w:p w14:paraId="6088F71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90</w:t>
            </w:r>
          </w:p>
        </w:tc>
        <w:tc>
          <w:tcPr>
            <w:tcW w:w="551" w:type="dxa"/>
            <w:tcBorders>
              <w:top w:val="nil"/>
              <w:left w:val="nil"/>
              <w:bottom w:val="single" w:color="000000" w:sz="4" w:space="0"/>
              <w:right w:val="single" w:color="000000" w:sz="4" w:space="0"/>
            </w:tcBorders>
            <w:shd w:val="clear" w:color="auto" w:fill="auto"/>
            <w:vAlign w:val="center"/>
          </w:tcPr>
          <w:p w14:paraId="54C812A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65" w:type="dxa"/>
            <w:tcBorders>
              <w:top w:val="nil"/>
              <w:left w:val="nil"/>
              <w:bottom w:val="single" w:color="000000" w:sz="4" w:space="0"/>
              <w:right w:val="single" w:color="000000" w:sz="4" w:space="0"/>
            </w:tcBorders>
            <w:shd w:val="clear" w:color="auto" w:fill="auto"/>
            <w:vAlign w:val="center"/>
          </w:tcPr>
          <w:p w14:paraId="1A1D27F7">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95</w:t>
            </w:r>
          </w:p>
        </w:tc>
        <w:tc>
          <w:tcPr>
            <w:tcW w:w="708" w:type="dxa"/>
            <w:tcBorders>
              <w:top w:val="nil"/>
              <w:left w:val="nil"/>
              <w:bottom w:val="single" w:color="000000" w:sz="4" w:space="0"/>
              <w:right w:val="single" w:color="000000" w:sz="4" w:space="0"/>
            </w:tcBorders>
            <w:shd w:val="clear" w:color="auto" w:fill="auto"/>
            <w:vAlign w:val="center"/>
          </w:tcPr>
          <w:p w14:paraId="1E94441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60" w:type="dxa"/>
            <w:tcBorders>
              <w:top w:val="nil"/>
              <w:left w:val="nil"/>
              <w:bottom w:val="single" w:color="000000" w:sz="4" w:space="0"/>
              <w:right w:val="single" w:color="000000" w:sz="4" w:space="0"/>
            </w:tcBorders>
            <w:shd w:val="clear" w:color="auto" w:fill="auto"/>
            <w:vAlign w:val="center"/>
          </w:tcPr>
          <w:p w14:paraId="7CBC872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403" w:type="dxa"/>
            <w:tcBorders>
              <w:top w:val="nil"/>
              <w:left w:val="nil"/>
              <w:bottom w:val="single" w:color="000000" w:sz="4" w:space="0"/>
              <w:right w:val="single" w:color="000000" w:sz="4" w:space="0"/>
            </w:tcBorders>
            <w:shd w:val="clear" w:color="auto" w:fill="auto"/>
            <w:vAlign w:val="center"/>
          </w:tcPr>
          <w:p w14:paraId="40930F72">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0985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696F6FF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vMerge w:val="continue"/>
            <w:tcBorders>
              <w:top w:val="nil"/>
              <w:left w:val="nil"/>
              <w:bottom w:val="single" w:color="000000" w:sz="4" w:space="0"/>
              <w:right w:val="single" w:color="000000" w:sz="4" w:space="0"/>
            </w:tcBorders>
            <w:shd w:val="clear" w:color="auto" w:fill="auto"/>
            <w:vAlign w:val="center"/>
          </w:tcPr>
          <w:p w14:paraId="1024687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tcBorders>
              <w:top w:val="nil"/>
              <w:left w:val="nil"/>
              <w:bottom w:val="single" w:color="000000" w:sz="4" w:space="0"/>
              <w:right w:val="single" w:color="000000" w:sz="4" w:space="0"/>
            </w:tcBorders>
            <w:shd w:val="clear" w:color="auto" w:fill="auto"/>
            <w:vAlign w:val="center"/>
          </w:tcPr>
          <w:p w14:paraId="1B3D5D2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时效指标</w:t>
            </w:r>
          </w:p>
        </w:tc>
        <w:tc>
          <w:tcPr>
            <w:tcW w:w="1836" w:type="dxa"/>
            <w:tcBorders>
              <w:top w:val="nil"/>
              <w:left w:val="nil"/>
              <w:bottom w:val="single" w:color="000000" w:sz="4" w:space="0"/>
              <w:right w:val="single" w:color="000000" w:sz="4" w:space="0"/>
            </w:tcBorders>
            <w:shd w:val="clear" w:color="auto" w:fill="auto"/>
            <w:vAlign w:val="center"/>
          </w:tcPr>
          <w:p w14:paraId="453048E3">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2023年1-12月完成</w:t>
            </w:r>
          </w:p>
        </w:tc>
        <w:tc>
          <w:tcPr>
            <w:tcW w:w="589" w:type="dxa"/>
            <w:gridSpan w:val="2"/>
            <w:tcBorders>
              <w:top w:val="nil"/>
              <w:left w:val="nil"/>
              <w:bottom w:val="single" w:color="000000" w:sz="4" w:space="0"/>
              <w:right w:val="single" w:color="000000" w:sz="4" w:space="0"/>
            </w:tcBorders>
            <w:shd w:val="clear" w:color="auto" w:fill="auto"/>
            <w:vAlign w:val="center"/>
          </w:tcPr>
          <w:p w14:paraId="3C7B4C5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12" w:type="dxa"/>
            <w:tcBorders>
              <w:top w:val="nil"/>
              <w:left w:val="nil"/>
              <w:bottom w:val="single" w:color="000000" w:sz="4" w:space="0"/>
              <w:right w:val="single" w:color="000000" w:sz="4" w:space="0"/>
            </w:tcBorders>
            <w:shd w:val="clear" w:color="auto" w:fill="auto"/>
            <w:vAlign w:val="center"/>
          </w:tcPr>
          <w:p w14:paraId="33654B7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w:t>
            </w:r>
          </w:p>
        </w:tc>
        <w:tc>
          <w:tcPr>
            <w:tcW w:w="551" w:type="dxa"/>
            <w:tcBorders>
              <w:top w:val="nil"/>
              <w:left w:val="nil"/>
              <w:bottom w:val="single" w:color="000000" w:sz="4" w:space="0"/>
              <w:right w:val="single" w:color="000000" w:sz="4" w:space="0"/>
            </w:tcBorders>
            <w:shd w:val="clear" w:color="auto" w:fill="auto"/>
            <w:vAlign w:val="center"/>
          </w:tcPr>
          <w:p w14:paraId="566AA5D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w:t>
            </w:r>
          </w:p>
        </w:tc>
        <w:tc>
          <w:tcPr>
            <w:tcW w:w="665" w:type="dxa"/>
            <w:tcBorders>
              <w:top w:val="nil"/>
              <w:left w:val="nil"/>
              <w:bottom w:val="single" w:color="000000" w:sz="4" w:space="0"/>
              <w:right w:val="single" w:color="000000" w:sz="4" w:space="0"/>
            </w:tcBorders>
            <w:shd w:val="clear" w:color="auto" w:fill="auto"/>
            <w:vAlign w:val="center"/>
          </w:tcPr>
          <w:p w14:paraId="39EE4F11">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1　</w:t>
            </w:r>
          </w:p>
        </w:tc>
        <w:tc>
          <w:tcPr>
            <w:tcW w:w="708" w:type="dxa"/>
            <w:tcBorders>
              <w:top w:val="nil"/>
              <w:left w:val="nil"/>
              <w:bottom w:val="single" w:color="000000" w:sz="4" w:space="0"/>
              <w:right w:val="single" w:color="000000" w:sz="4" w:space="0"/>
            </w:tcBorders>
            <w:shd w:val="clear" w:color="auto" w:fill="auto"/>
            <w:vAlign w:val="center"/>
          </w:tcPr>
          <w:p w14:paraId="2E389E8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60" w:type="dxa"/>
            <w:tcBorders>
              <w:top w:val="nil"/>
              <w:left w:val="nil"/>
              <w:bottom w:val="single" w:color="000000" w:sz="4" w:space="0"/>
              <w:right w:val="single" w:color="000000" w:sz="4" w:space="0"/>
            </w:tcBorders>
            <w:shd w:val="clear" w:color="auto" w:fill="auto"/>
            <w:vAlign w:val="center"/>
          </w:tcPr>
          <w:p w14:paraId="080266D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403" w:type="dxa"/>
            <w:tcBorders>
              <w:top w:val="nil"/>
              <w:left w:val="nil"/>
              <w:bottom w:val="single" w:color="000000" w:sz="4" w:space="0"/>
              <w:right w:val="single" w:color="000000" w:sz="4" w:space="0"/>
            </w:tcBorders>
            <w:shd w:val="clear" w:color="auto" w:fill="auto"/>
            <w:vAlign w:val="center"/>
          </w:tcPr>
          <w:p w14:paraId="143BAD3D">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7E38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4AA05AB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vMerge w:val="restart"/>
            <w:tcBorders>
              <w:top w:val="nil"/>
              <w:left w:val="nil"/>
              <w:bottom w:val="single" w:color="000000" w:sz="4" w:space="0"/>
              <w:right w:val="single" w:color="000000" w:sz="4" w:space="0"/>
            </w:tcBorders>
            <w:shd w:val="clear" w:color="auto" w:fill="auto"/>
            <w:vAlign w:val="center"/>
          </w:tcPr>
          <w:p w14:paraId="7D7A037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效益指标</w:t>
            </w:r>
          </w:p>
        </w:tc>
        <w:tc>
          <w:tcPr>
            <w:tcW w:w="992" w:type="dxa"/>
            <w:tcBorders>
              <w:top w:val="nil"/>
              <w:left w:val="nil"/>
              <w:bottom w:val="single" w:color="000000" w:sz="4" w:space="0"/>
              <w:right w:val="single" w:color="000000" w:sz="4" w:space="0"/>
            </w:tcBorders>
            <w:shd w:val="clear" w:color="auto" w:fill="auto"/>
            <w:vAlign w:val="center"/>
          </w:tcPr>
          <w:p w14:paraId="2650AE0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社会效益指标</w:t>
            </w:r>
          </w:p>
        </w:tc>
        <w:tc>
          <w:tcPr>
            <w:tcW w:w="1836" w:type="dxa"/>
            <w:tcBorders>
              <w:top w:val="nil"/>
              <w:left w:val="nil"/>
              <w:bottom w:val="single" w:color="000000" w:sz="4" w:space="0"/>
              <w:right w:val="single" w:color="000000" w:sz="4" w:space="0"/>
            </w:tcBorders>
            <w:shd w:val="clear" w:color="auto" w:fill="auto"/>
            <w:vAlign w:val="center"/>
          </w:tcPr>
          <w:p w14:paraId="025807D8">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示范带动各县（市）支持培养一批各类高层次人才，加快培育一支“凉山牌”高层次人才队伍。</w:t>
            </w:r>
          </w:p>
        </w:tc>
        <w:tc>
          <w:tcPr>
            <w:tcW w:w="589" w:type="dxa"/>
            <w:gridSpan w:val="2"/>
            <w:tcBorders>
              <w:top w:val="nil"/>
              <w:left w:val="nil"/>
              <w:bottom w:val="single" w:color="000000" w:sz="4" w:space="0"/>
              <w:right w:val="single" w:color="000000" w:sz="4" w:space="0"/>
            </w:tcBorders>
            <w:shd w:val="clear" w:color="auto" w:fill="auto"/>
            <w:vAlign w:val="center"/>
          </w:tcPr>
          <w:p w14:paraId="78326BA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12" w:type="dxa"/>
            <w:tcBorders>
              <w:top w:val="nil"/>
              <w:left w:val="nil"/>
              <w:bottom w:val="single" w:color="000000" w:sz="4" w:space="0"/>
              <w:right w:val="single" w:color="000000" w:sz="4" w:space="0"/>
            </w:tcBorders>
            <w:shd w:val="clear" w:color="auto" w:fill="auto"/>
            <w:vAlign w:val="center"/>
          </w:tcPr>
          <w:p w14:paraId="66D0A8F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w:t>
            </w:r>
          </w:p>
        </w:tc>
        <w:tc>
          <w:tcPr>
            <w:tcW w:w="551" w:type="dxa"/>
            <w:tcBorders>
              <w:top w:val="nil"/>
              <w:left w:val="nil"/>
              <w:bottom w:val="single" w:color="000000" w:sz="4" w:space="0"/>
              <w:right w:val="single" w:color="000000" w:sz="4" w:space="0"/>
            </w:tcBorders>
            <w:shd w:val="clear" w:color="auto" w:fill="auto"/>
            <w:vAlign w:val="center"/>
          </w:tcPr>
          <w:p w14:paraId="1B796B7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项</w:t>
            </w:r>
          </w:p>
        </w:tc>
        <w:tc>
          <w:tcPr>
            <w:tcW w:w="665" w:type="dxa"/>
            <w:tcBorders>
              <w:top w:val="nil"/>
              <w:left w:val="nil"/>
              <w:bottom w:val="single" w:color="000000" w:sz="4" w:space="0"/>
              <w:right w:val="single" w:color="000000" w:sz="4" w:space="0"/>
            </w:tcBorders>
            <w:shd w:val="clear" w:color="auto" w:fill="auto"/>
            <w:vAlign w:val="center"/>
          </w:tcPr>
          <w:p w14:paraId="08DE38E6">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3</w:t>
            </w:r>
          </w:p>
        </w:tc>
        <w:tc>
          <w:tcPr>
            <w:tcW w:w="708" w:type="dxa"/>
            <w:tcBorders>
              <w:top w:val="nil"/>
              <w:left w:val="nil"/>
              <w:bottom w:val="single" w:color="000000" w:sz="4" w:space="0"/>
              <w:right w:val="single" w:color="000000" w:sz="4" w:space="0"/>
            </w:tcBorders>
            <w:shd w:val="clear" w:color="auto" w:fill="auto"/>
            <w:vAlign w:val="center"/>
          </w:tcPr>
          <w:p w14:paraId="50A5DA0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60" w:type="dxa"/>
            <w:tcBorders>
              <w:top w:val="nil"/>
              <w:left w:val="nil"/>
              <w:bottom w:val="single" w:color="000000" w:sz="4" w:space="0"/>
              <w:right w:val="single" w:color="000000" w:sz="4" w:space="0"/>
            </w:tcBorders>
            <w:shd w:val="clear" w:color="auto" w:fill="auto"/>
            <w:vAlign w:val="center"/>
          </w:tcPr>
          <w:p w14:paraId="2A4E408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403" w:type="dxa"/>
            <w:tcBorders>
              <w:top w:val="nil"/>
              <w:left w:val="nil"/>
              <w:bottom w:val="single" w:color="000000" w:sz="4" w:space="0"/>
              <w:right w:val="single" w:color="000000" w:sz="4" w:space="0"/>
            </w:tcBorders>
            <w:shd w:val="clear" w:color="auto" w:fill="auto"/>
            <w:vAlign w:val="center"/>
          </w:tcPr>
          <w:p w14:paraId="102D95D9">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5D64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6E2FA13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vMerge w:val="continue"/>
            <w:tcBorders>
              <w:top w:val="nil"/>
              <w:left w:val="nil"/>
              <w:bottom w:val="single" w:color="000000" w:sz="4" w:space="0"/>
              <w:right w:val="single" w:color="000000" w:sz="4" w:space="0"/>
            </w:tcBorders>
            <w:shd w:val="clear" w:color="auto" w:fill="auto"/>
            <w:vAlign w:val="center"/>
          </w:tcPr>
          <w:p w14:paraId="039EEF5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92" w:type="dxa"/>
            <w:tcBorders>
              <w:top w:val="nil"/>
              <w:left w:val="nil"/>
              <w:bottom w:val="single" w:color="000000" w:sz="4" w:space="0"/>
              <w:right w:val="single" w:color="000000" w:sz="4" w:space="0"/>
            </w:tcBorders>
            <w:shd w:val="clear" w:color="auto" w:fill="auto"/>
            <w:vAlign w:val="center"/>
          </w:tcPr>
          <w:p w14:paraId="04F26C5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可持续影响指标</w:t>
            </w:r>
          </w:p>
        </w:tc>
        <w:tc>
          <w:tcPr>
            <w:tcW w:w="1836" w:type="dxa"/>
            <w:tcBorders>
              <w:top w:val="nil"/>
              <w:left w:val="nil"/>
              <w:bottom w:val="single" w:color="000000" w:sz="4" w:space="0"/>
              <w:right w:val="single" w:color="000000" w:sz="4" w:space="0"/>
            </w:tcBorders>
            <w:shd w:val="clear" w:color="auto" w:fill="auto"/>
            <w:vAlign w:val="center"/>
          </w:tcPr>
          <w:p w14:paraId="0702A5B2">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可持续影响</w:t>
            </w:r>
          </w:p>
        </w:tc>
        <w:tc>
          <w:tcPr>
            <w:tcW w:w="589" w:type="dxa"/>
            <w:gridSpan w:val="2"/>
            <w:tcBorders>
              <w:top w:val="nil"/>
              <w:left w:val="nil"/>
              <w:bottom w:val="single" w:color="000000" w:sz="4" w:space="0"/>
              <w:right w:val="single" w:color="000000" w:sz="4" w:space="0"/>
            </w:tcBorders>
            <w:shd w:val="clear" w:color="auto" w:fill="auto"/>
            <w:vAlign w:val="center"/>
          </w:tcPr>
          <w:p w14:paraId="1BDCD48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12" w:type="dxa"/>
            <w:tcBorders>
              <w:top w:val="nil"/>
              <w:left w:val="nil"/>
              <w:bottom w:val="single" w:color="000000" w:sz="4" w:space="0"/>
              <w:right w:val="single" w:color="000000" w:sz="4" w:space="0"/>
            </w:tcBorders>
            <w:shd w:val="clear" w:color="auto" w:fill="auto"/>
            <w:vAlign w:val="center"/>
          </w:tcPr>
          <w:p w14:paraId="3C10954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3</w:t>
            </w:r>
          </w:p>
        </w:tc>
        <w:tc>
          <w:tcPr>
            <w:tcW w:w="551" w:type="dxa"/>
            <w:tcBorders>
              <w:top w:val="nil"/>
              <w:left w:val="nil"/>
              <w:bottom w:val="single" w:color="000000" w:sz="4" w:space="0"/>
              <w:right w:val="single" w:color="000000" w:sz="4" w:space="0"/>
            </w:tcBorders>
            <w:shd w:val="clear" w:color="auto" w:fill="auto"/>
            <w:vAlign w:val="center"/>
          </w:tcPr>
          <w:p w14:paraId="082E3EF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w:t>
            </w:r>
          </w:p>
        </w:tc>
        <w:tc>
          <w:tcPr>
            <w:tcW w:w="665" w:type="dxa"/>
            <w:tcBorders>
              <w:top w:val="nil"/>
              <w:left w:val="nil"/>
              <w:bottom w:val="single" w:color="000000" w:sz="4" w:space="0"/>
              <w:right w:val="single" w:color="000000" w:sz="4" w:space="0"/>
            </w:tcBorders>
            <w:shd w:val="clear" w:color="auto" w:fill="auto"/>
            <w:vAlign w:val="center"/>
          </w:tcPr>
          <w:p w14:paraId="0EA14C0B">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3　</w:t>
            </w:r>
          </w:p>
        </w:tc>
        <w:tc>
          <w:tcPr>
            <w:tcW w:w="708" w:type="dxa"/>
            <w:tcBorders>
              <w:top w:val="nil"/>
              <w:left w:val="nil"/>
              <w:bottom w:val="single" w:color="000000" w:sz="4" w:space="0"/>
              <w:right w:val="single" w:color="000000" w:sz="4" w:space="0"/>
            </w:tcBorders>
            <w:shd w:val="clear" w:color="auto" w:fill="auto"/>
            <w:vAlign w:val="center"/>
          </w:tcPr>
          <w:p w14:paraId="66DFCA4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60" w:type="dxa"/>
            <w:tcBorders>
              <w:top w:val="nil"/>
              <w:left w:val="nil"/>
              <w:bottom w:val="single" w:color="000000" w:sz="4" w:space="0"/>
              <w:right w:val="single" w:color="000000" w:sz="4" w:space="0"/>
            </w:tcBorders>
            <w:shd w:val="clear" w:color="auto" w:fill="auto"/>
            <w:vAlign w:val="center"/>
          </w:tcPr>
          <w:p w14:paraId="292E356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　</w:t>
            </w:r>
          </w:p>
        </w:tc>
        <w:tc>
          <w:tcPr>
            <w:tcW w:w="1403" w:type="dxa"/>
            <w:tcBorders>
              <w:top w:val="nil"/>
              <w:left w:val="nil"/>
              <w:bottom w:val="single" w:color="000000" w:sz="4" w:space="0"/>
              <w:right w:val="single" w:color="000000" w:sz="4" w:space="0"/>
            </w:tcBorders>
            <w:shd w:val="clear" w:color="auto" w:fill="auto"/>
            <w:vAlign w:val="center"/>
          </w:tcPr>
          <w:p w14:paraId="37EE3780">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2002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1EF1A80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tcBorders>
              <w:top w:val="nil"/>
              <w:left w:val="nil"/>
              <w:bottom w:val="single" w:color="000000" w:sz="4" w:space="0"/>
              <w:right w:val="single" w:color="000000" w:sz="4" w:space="0"/>
            </w:tcBorders>
            <w:shd w:val="clear" w:color="auto" w:fill="auto"/>
            <w:vAlign w:val="center"/>
          </w:tcPr>
          <w:p w14:paraId="7521DB9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满意度指标</w:t>
            </w:r>
          </w:p>
        </w:tc>
        <w:tc>
          <w:tcPr>
            <w:tcW w:w="992" w:type="dxa"/>
            <w:tcBorders>
              <w:top w:val="nil"/>
              <w:left w:val="nil"/>
              <w:bottom w:val="single" w:color="000000" w:sz="4" w:space="0"/>
              <w:right w:val="single" w:color="000000" w:sz="4" w:space="0"/>
            </w:tcBorders>
            <w:shd w:val="clear" w:color="auto" w:fill="auto"/>
            <w:vAlign w:val="center"/>
          </w:tcPr>
          <w:p w14:paraId="38EFAAF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服务对象满意度指标</w:t>
            </w:r>
          </w:p>
        </w:tc>
        <w:tc>
          <w:tcPr>
            <w:tcW w:w="1836" w:type="dxa"/>
            <w:tcBorders>
              <w:top w:val="nil"/>
              <w:left w:val="nil"/>
              <w:bottom w:val="single" w:color="000000" w:sz="4" w:space="0"/>
              <w:right w:val="single" w:color="000000" w:sz="4" w:space="0"/>
            </w:tcBorders>
            <w:shd w:val="clear" w:color="auto" w:fill="auto"/>
            <w:vAlign w:val="center"/>
          </w:tcPr>
          <w:p w14:paraId="16EEEC1B">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相关部门、科技工作者满意度能够达到</w:t>
            </w:r>
          </w:p>
        </w:tc>
        <w:tc>
          <w:tcPr>
            <w:tcW w:w="589" w:type="dxa"/>
            <w:gridSpan w:val="2"/>
            <w:tcBorders>
              <w:top w:val="nil"/>
              <w:left w:val="nil"/>
              <w:bottom w:val="single" w:color="000000" w:sz="4" w:space="0"/>
              <w:right w:val="single" w:color="000000" w:sz="4" w:space="0"/>
            </w:tcBorders>
            <w:shd w:val="clear" w:color="auto" w:fill="auto"/>
            <w:vAlign w:val="center"/>
          </w:tcPr>
          <w:p w14:paraId="23509EB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12" w:type="dxa"/>
            <w:tcBorders>
              <w:top w:val="nil"/>
              <w:left w:val="nil"/>
              <w:bottom w:val="single" w:color="000000" w:sz="4" w:space="0"/>
              <w:right w:val="single" w:color="000000" w:sz="4" w:space="0"/>
            </w:tcBorders>
            <w:shd w:val="clear" w:color="auto" w:fill="auto"/>
            <w:vAlign w:val="center"/>
          </w:tcPr>
          <w:p w14:paraId="10E1AD7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95</w:t>
            </w:r>
          </w:p>
        </w:tc>
        <w:tc>
          <w:tcPr>
            <w:tcW w:w="551" w:type="dxa"/>
            <w:tcBorders>
              <w:top w:val="nil"/>
              <w:left w:val="nil"/>
              <w:bottom w:val="single" w:color="000000" w:sz="4" w:space="0"/>
              <w:right w:val="single" w:color="000000" w:sz="4" w:space="0"/>
            </w:tcBorders>
            <w:shd w:val="clear" w:color="auto" w:fill="auto"/>
            <w:vAlign w:val="center"/>
          </w:tcPr>
          <w:p w14:paraId="3BE5B22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65" w:type="dxa"/>
            <w:tcBorders>
              <w:top w:val="nil"/>
              <w:left w:val="nil"/>
              <w:bottom w:val="single" w:color="000000" w:sz="4" w:space="0"/>
              <w:right w:val="single" w:color="000000" w:sz="4" w:space="0"/>
            </w:tcBorders>
            <w:shd w:val="clear" w:color="auto" w:fill="auto"/>
            <w:vAlign w:val="center"/>
          </w:tcPr>
          <w:p w14:paraId="291BD1F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90</w:t>
            </w:r>
          </w:p>
        </w:tc>
        <w:tc>
          <w:tcPr>
            <w:tcW w:w="708" w:type="dxa"/>
            <w:tcBorders>
              <w:top w:val="nil"/>
              <w:left w:val="nil"/>
              <w:bottom w:val="single" w:color="000000" w:sz="4" w:space="0"/>
              <w:right w:val="single" w:color="000000" w:sz="4" w:space="0"/>
            </w:tcBorders>
            <w:shd w:val="clear" w:color="auto" w:fill="auto"/>
            <w:vAlign w:val="center"/>
          </w:tcPr>
          <w:p w14:paraId="1BA8D43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w:t>
            </w:r>
          </w:p>
        </w:tc>
        <w:tc>
          <w:tcPr>
            <w:tcW w:w="660" w:type="dxa"/>
            <w:tcBorders>
              <w:top w:val="nil"/>
              <w:left w:val="nil"/>
              <w:bottom w:val="single" w:color="000000" w:sz="4" w:space="0"/>
              <w:right w:val="single" w:color="000000" w:sz="4" w:space="0"/>
            </w:tcBorders>
            <w:shd w:val="clear" w:color="auto" w:fill="auto"/>
            <w:vAlign w:val="center"/>
          </w:tcPr>
          <w:p w14:paraId="6834D5C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7　</w:t>
            </w:r>
          </w:p>
        </w:tc>
        <w:tc>
          <w:tcPr>
            <w:tcW w:w="1403" w:type="dxa"/>
            <w:tcBorders>
              <w:top w:val="nil"/>
              <w:left w:val="nil"/>
              <w:bottom w:val="single" w:color="000000" w:sz="4" w:space="0"/>
              <w:right w:val="single" w:color="000000" w:sz="4" w:space="0"/>
            </w:tcBorders>
            <w:shd w:val="clear" w:color="auto" w:fill="auto"/>
            <w:vAlign w:val="center"/>
          </w:tcPr>
          <w:p w14:paraId="243F6B4E">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相关部门、科技工作者满意度未能达到设定目标，自评扣3分。　</w:t>
            </w:r>
          </w:p>
        </w:tc>
      </w:tr>
      <w:tr w14:paraId="4C79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0F7F681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tcBorders>
              <w:top w:val="nil"/>
              <w:left w:val="nil"/>
              <w:bottom w:val="single" w:color="000000" w:sz="4" w:space="0"/>
              <w:right w:val="single" w:color="000000" w:sz="4" w:space="0"/>
            </w:tcBorders>
            <w:shd w:val="clear" w:color="auto" w:fill="auto"/>
            <w:vAlign w:val="center"/>
          </w:tcPr>
          <w:p w14:paraId="44A6A37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成本指标</w:t>
            </w:r>
          </w:p>
        </w:tc>
        <w:tc>
          <w:tcPr>
            <w:tcW w:w="992" w:type="dxa"/>
            <w:tcBorders>
              <w:top w:val="nil"/>
              <w:left w:val="nil"/>
              <w:bottom w:val="single" w:color="000000" w:sz="4" w:space="0"/>
              <w:right w:val="single" w:color="000000" w:sz="4" w:space="0"/>
            </w:tcBorders>
            <w:shd w:val="clear" w:color="auto" w:fill="auto"/>
            <w:vAlign w:val="center"/>
          </w:tcPr>
          <w:p w14:paraId="34C8203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经济成本指标</w:t>
            </w:r>
          </w:p>
        </w:tc>
        <w:tc>
          <w:tcPr>
            <w:tcW w:w="1836" w:type="dxa"/>
            <w:tcBorders>
              <w:top w:val="nil"/>
              <w:left w:val="nil"/>
              <w:bottom w:val="single" w:color="000000" w:sz="4" w:space="0"/>
              <w:right w:val="single" w:color="000000" w:sz="4" w:space="0"/>
            </w:tcBorders>
            <w:shd w:val="clear" w:color="auto" w:fill="auto"/>
            <w:vAlign w:val="center"/>
          </w:tcPr>
          <w:p w14:paraId="20A23A13">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年度完成各项目工作费用</w:t>
            </w:r>
          </w:p>
        </w:tc>
        <w:tc>
          <w:tcPr>
            <w:tcW w:w="589" w:type="dxa"/>
            <w:gridSpan w:val="2"/>
            <w:tcBorders>
              <w:top w:val="nil"/>
              <w:left w:val="nil"/>
              <w:bottom w:val="single" w:color="000000" w:sz="4" w:space="0"/>
              <w:right w:val="single" w:color="000000" w:sz="4" w:space="0"/>
            </w:tcBorders>
            <w:shd w:val="clear" w:color="auto" w:fill="auto"/>
            <w:vAlign w:val="center"/>
          </w:tcPr>
          <w:p w14:paraId="2AC61DA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12" w:type="dxa"/>
            <w:tcBorders>
              <w:top w:val="nil"/>
              <w:left w:val="nil"/>
              <w:bottom w:val="single" w:color="000000" w:sz="4" w:space="0"/>
              <w:right w:val="single" w:color="000000" w:sz="4" w:space="0"/>
            </w:tcBorders>
            <w:shd w:val="clear" w:color="auto" w:fill="auto"/>
            <w:vAlign w:val="center"/>
          </w:tcPr>
          <w:p w14:paraId="59CDFCA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50</w:t>
            </w:r>
          </w:p>
        </w:tc>
        <w:tc>
          <w:tcPr>
            <w:tcW w:w="551" w:type="dxa"/>
            <w:tcBorders>
              <w:top w:val="nil"/>
              <w:left w:val="nil"/>
              <w:bottom w:val="single" w:color="000000" w:sz="4" w:space="0"/>
              <w:right w:val="single" w:color="000000" w:sz="4" w:space="0"/>
            </w:tcBorders>
            <w:shd w:val="clear" w:color="auto" w:fill="auto"/>
            <w:vAlign w:val="center"/>
          </w:tcPr>
          <w:p w14:paraId="5A87CB6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万元</w:t>
            </w:r>
          </w:p>
        </w:tc>
        <w:tc>
          <w:tcPr>
            <w:tcW w:w="665" w:type="dxa"/>
            <w:tcBorders>
              <w:top w:val="nil"/>
              <w:left w:val="nil"/>
              <w:bottom w:val="single" w:color="000000" w:sz="4" w:space="0"/>
              <w:right w:val="single" w:color="000000" w:sz="4" w:space="0"/>
            </w:tcBorders>
            <w:shd w:val="clear" w:color="auto" w:fill="auto"/>
            <w:vAlign w:val="center"/>
          </w:tcPr>
          <w:p w14:paraId="3EE5A04B">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50</w:t>
            </w:r>
          </w:p>
        </w:tc>
        <w:tc>
          <w:tcPr>
            <w:tcW w:w="708" w:type="dxa"/>
            <w:tcBorders>
              <w:top w:val="nil"/>
              <w:left w:val="nil"/>
              <w:bottom w:val="single" w:color="000000" w:sz="4" w:space="0"/>
              <w:right w:val="single" w:color="000000" w:sz="4" w:space="0"/>
            </w:tcBorders>
            <w:shd w:val="clear" w:color="auto" w:fill="auto"/>
            <w:vAlign w:val="center"/>
          </w:tcPr>
          <w:p w14:paraId="2E5848A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w:t>
            </w:r>
          </w:p>
        </w:tc>
        <w:tc>
          <w:tcPr>
            <w:tcW w:w="660" w:type="dxa"/>
            <w:tcBorders>
              <w:top w:val="nil"/>
              <w:left w:val="nil"/>
              <w:bottom w:val="single" w:color="000000" w:sz="4" w:space="0"/>
              <w:right w:val="single" w:color="000000" w:sz="4" w:space="0"/>
            </w:tcBorders>
            <w:shd w:val="clear" w:color="auto" w:fill="auto"/>
            <w:vAlign w:val="center"/>
          </w:tcPr>
          <w:p w14:paraId="6B73787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　</w:t>
            </w:r>
          </w:p>
        </w:tc>
        <w:tc>
          <w:tcPr>
            <w:tcW w:w="1403" w:type="dxa"/>
            <w:tcBorders>
              <w:top w:val="nil"/>
              <w:left w:val="nil"/>
              <w:bottom w:val="single" w:color="000000" w:sz="4" w:space="0"/>
              <w:right w:val="single" w:color="000000" w:sz="4" w:space="0"/>
            </w:tcBorders>
            <w:shd w:val="clear" w:color="auto" w:fill="auto"/>
            <w:vAlign w:val="center"/>
          </w:tcPr>
          <w:p w14:paraId="694765CE">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3F4C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14:paraId="557DA38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绩效指标（90分）</w:t>
            </w:r>
          </w:p>
        </w:tc>
        <w:tc>
          <w:tcPr>
            <w:tcW w:w="1136" w:type="dxa"/>
            <w:tcBorders>
              <w:top w:val="nil"/>
              <w:left w:val="nil"/>
              <w:bottom w:val="single" w:color="000000" w:sz="4" w:space="0"/>
              <w:right w:val="single" w:color="000000" w:sz="4" w:space="0"/>
            </w:tcBorders>
            <w:shd w:val="clear" w:color="auto" w:fill="auto"/>
            <w:vAlign w:val="center"/>
          </w:tcPr>
          <w:p w14:paraId="26C838A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一级指标</w:t>
            </w:r>
          </w:p>
        </w:tc>
        <w:tc>
          <w:tcPr>
            <w:tcW w:w="992" w:type="dxa"/>
            <w:tcBorders>
              <w:top w:val="nil"/>
              <w:left w:val="nil"/>
              <w:bottom w:val="single" w:color="000000" w:sz="4" w:space="0"/>
              <w:right w:val="single" w:color="000000" w:sz="4" w:space="0"/>
            </w:tcBorders>
            <w:shd w:val="clear" w:color="auto" w:fill="auto"/>
            <w:vAlign w:val="center"/>
          </w:tcPr>
          <w:p w14:paraId="777074D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二级指标</w:t>
            </w:r>
          </w:p>
        </w:tc>
        <w:tc>
          <w:tcPr>
            <w:tcW w:w="1836" w:type="dxa"/>
            <w:tcBorders>
              <w:top w:val="nil"/>
              <w:left w:val="nil"/>
              <w:bottom w:val="single" w:color="000000" w:sz="4" w:space="0"/>
              <w:right w:val="single" w:color="000000" w:sz="4" w:space="0"/>
            </w:tcBorders>
            <w:shd w:val="clear" w:color="auto" w:fill="auto"/>
            <w:vAlign w:val="center"/>
          </w:tcPr>
          <w:p w14:paraId="11E1A79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三级指标</w:t>
            </w:r>
          </w:p>
        </w:tc>
        <w:tc>
          <w:tcPr>
            <w:tcW w:w="589" w:type="dxa"/>
            <w:gridSpan w:val="2"/>
            <w:tcBorders>
              <w:top w:val="nil"/>
              <w:left w:val="nil"/>
              <w:bottom w:val="single" w:color="000000" w:sz="4" w:space="0"/>
              <w:right w:val="single" w:color="000000" w:sz="4" w:space="0"/>
            </w:tcBorders>
            <w:shd w:val="clear" w:color="auto" w:fill="auto"/>
            <w:vAlign w:val="center"/>
          </w:tcPr>
          <w:p w14:paraId="40E9533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指标性质</w:t>
            </w:r>
          </w:p>
        </w:tc>
        <w:tc>
          <w:tcPr>
            <w:tcW w:w="612" w:type="dxa"/>
            <w:tcBorders>
              <w:top w:val="nil"/>
              <w:left w:val="nil"/>
              <w:bottom w:val="single" w:color="000000" w:sz="4" w:space="0"/>
              <w:right w:val="single" w:color="000000" w:sz="4" w:space="0"/>
            </w:tcBorders>
            <w:shd w:val="clear" w:color="auto" w:fill="auto"/>
            <w:vAlign w:val="center"/>
          </w:tcPr>
          <w:p w14:paraId="743604D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指标值</w:t>
            </w:r>
          </w:p>
        </w:tc>
        <w:tc>
          <w:tcPr>
            <w:tcW w:w="551" w:type="dxa"/>
            <w:tcBorders>
              <w:top w:val="nil"/>
              <w:left w:val="nil"/>
              <w:bottom w:val="single" w:color="000000" w:sz="4" w:space="0"/>
              <w:right w:val="single" w:color="000000" w:sz="4" w:space="0"/>
            </w:tcBorders>
            <w:shd w:val="clear" w:color="auto" w:fill="auto"/>
            <w:vAlign w:val="center"/>
          </w:tcPr>
          <w:p w14:paraId="246408E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度量单位</w:t>
            </w:r>
          </w:p>
        </w:tc>
        <w:tc>
          <w:tcPr>
            <w:tcW w:w="665" w:type="dxa"/>
            <w:tcBorders>
              <w:top w:val="nil"/>
              <w:left w:val="nil"/>
              <w:bottom w:val="single" w:color="000000" w:sz="4" w:space="0"/>
              <w:right w:val="single" w:color="000000" w:sz="4" w:space="0"/>
            </w:tcBorders>
            <w:shd w:val="clear" w:color="auto" w:fill="auto"/>
            <w:vAlign w:val="center"/>
          </w:tcPr>
          <w:p w14:paraId="73518CA3">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宋体" w:hAnsi="宋体" w:eastAsia="宋体" w:cs="宋体"/>
                <w:kern w:val="0"/>
                <w:sz w:val="15"/>
                <w:szCs w:val="15"/>
                <w:lang w:val="en-US" w:eastAsia="zh-CN" w:bidi="ar"/>
              </w:rPr>
              <w:t>完成值</w:t>
            </w:r>
          </w:p>
        </w:tc>
        <w:tc>
          <w:tcPr>
            <w:tcW w:w="708" w:type="dxa"/>
            <w:tcBorders>
              <w:top w:val="nil"/>
              <w:left w:val="nil"/>
              <w:bottom w:val="single" w:color="000000" w:sz="4" w:space="0"/>
              <w:right w:val="single" w:color="000000" w:sz="4" w:space="0"/>
            </w:tcBorders>
            <w:shd w:val="clear" w:color="auto" w:fill="auto"/>
            <w:vAlign w:val="center"/>
          </w:tcPr>
          <w:p w14:paraId="79D66B2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权重</w:t>
            </w:r>
          </w:p>
        </w:tc>
        <w:tc>
          <w:tcPr>
            <w:tcW w:w="660" w:type="dxa"/>
            <w:tcBorders>
              <w:top w:val="nil"/>
              <w:left w:val="nil"/>
              <w:bottom w:val="single" w:color="000000" w:sz="4" w:space="0"/>
              <w:right w:val="single" w:color="000000" w:sz="4" w:space="0"/>
            </w:tcBorders>
            <w:shd w:val="clear" w:color="auto" w:fill="auto"/>
            <w:vAlign w:val="center"/>
          </w:tcPr>
          <w:p w14:paraId="5C77027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得分</w:t>
            </w:r>
          </w:p>
        </w:tc>
        <w:tc>
          <w:tcPr>
            <w:tcW w:w="1403" w:type="dxa"/>
            <w:tcBorders>
              <w:top w:val="nil"/>
              <w:left w:val="nil"/>
              <w:bottom w:val="single" w:color="000000" w:sz="4" w:space="0"/>
              <w:right w:val="single" w:color="000000" w:sz="4" w:space="0"/>
            </w:tcBorders>
            <w:shd w:val="clear" w:color="auto" w:fill="auto"/>
            <w:vAlign w:val="center"/>
          </w:tcPr>
          <w:p w14:paraId="43B6548B">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宋体" w:hAnsi="宋体" w:eastAsia="宋体" w:cs="宋体"/>
                <w:kern w:val="0"/>
                <w:sz w:val="15"/>
                <w:szCs w:val="15"/>
                <w:lang w:val="en-US" w:eastAsia="zh-CN" w:bidi="ar"/>
              </w:rPr>
              <w:t>未完成原因分析</w:t>
            </w:r>
          </w:p>
        </w:tc>
      </w:tr>
      <w:tr w14:paraId="6469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14:paraId="7883131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136" w:type="dxa"/>
            <w:tcBorders>
              <w:top w:val="nil"/>
              <w:left w:val="nil"/>
              <w:bottom w:val="single" w:color="000000" w:sz="4" w:space="0"/>
              <w:right w:val="single" w:color="000000" w:sz="4" w:space="0"/>
            </w:tcBorders>
            <w:shd w:val="clear" w:color="auto" w:fill="auto"/>
            <w:vAlign w:val="center"/>
          </w:tcPr>
          <w:p w14:paraId="7EB7C2E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产出指标</w:t>
            </w:r>
          </w:p>
        </w:tc>
        <w:tc>
          <w:tcPr>
            <w:tcW w:w="992" w:type="dxa"/>
            <w:tcBorders>
              <w:top w:val="nil"/>
              <w:left w:val="nil"/>
              <w:bottom w:val="single" w:color="000000" w:sz="4" w:space="0"/>
              <w:right w:val="single" w:color="000000" w:sz="4" w:space="0"/>
            </w:tcBorders>
            <w:shd w:val="clear" w:color="auto" w:fill="auto"/>
            <w:vAlign w:val="center"/>
          </w:tcPr>
          <w:p w14:paraId="59F52A2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数量指标</w:t>
            </w:r>
          </w:p>
        </w:tc>
        <w:tc>
          <w:tcPr>
            <w:tcW w:w="1836" w:type="dxa"/>
            <w:tcBorders>
              <w:top w:val="nil"/>
              <w:left w:val="nil"/>
              <w:bottom w:val="single" w:color="000000" w:sz="4" w:space="0"/>
              <w:right w:val="single" w:color="000000" w:sz="4" w:space="0"/>
            </w:tcBorders>
            <w:shd w:val="clear" w:color="auto" w:fill="auto"/>
            <w:vAlign w:val="center"/>
          </w:tcPr>
          <w:p w14:paraId="2028B3F2">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支持经费5名科技工作者，每名10万元，共计50万元。</w:t>
            </w:r>
          </w:p>
        </w:tc>
        <w:tc>
          <w:tcPr>
            <w:tcW w:w="589" w:type="dxa"/>
            <w:gridSpan w:val="2"/>
            <w:tcBorders>
              <w:top w:val="nil"/>
              <w:left w:val="nil"/>
              <w:bottom w:val="single" w:color="000000" w:sz="4" w:space="0"/>
              <w:right w:val="single" w:color="000000" w:sz="4" w:space="0"/>
            </w:tcBorders>
            <w:shd w:val="clear" w:color="auto" w:fill="auto"/>
            <w:vAlign w:val="center"/>
          </w:tcPr>
          <w:p w14:paraId="5B29F3C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w:t>
            </w:r>
          </w:p>
        </w:tc>
        <w:tc>
          <w:tcPr>
            <w:tcW w:w="612" w:type="dxa"/>
            <w:tcBorders>
              <w:top w:val="nil"/>
              <w:left w:val="nil"/>
              <w:bottom w:val="single" w:color="000000" w:sz="4" w:space="0"/>
              <w:right w:val="single" w:color="000000" w:sz="4" w:space="0"/>
            </w:tcBorders>
            <w:shd w:val="clear" w:color="auto" w:fill="auto"/>
            <w:vAlign w:val="center"/>
          </w:tcPr>
          <w:p w14:paraId="48DF401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50</w:t>
            </w:r>
          </w:p>
        </w:tc>
        <w:tc>
          <w:tcPr>
            <w:tcW w:w="551" w:type="dxa"/>
            <w:tcBorders>
              <w:top w:val="nil"/>
              <w:left w:val="nil"/>
              <w:bottom w:val="single" w:color="000000" w:sz="4" w:space="0"/>
              <w:right w:val="single" w:color="000000" w:sz="4" w:space="0"/>
            </w:tcBorders>
            <w:shd w:val="clear" w:color="auto" w:fill="auto"/>
            <w:vAlign w:val="center"/>
          </w:tcPr>
          <w:p w14:paraId="45EFE1A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万元</w:t>
            </w:r>
          </w:p>
        </w:tc>
        <w:tc>
          <w:tcPr>
            <w:tcW w:w="665" w:type="dxa"/>
            <w:tcBorders>
              <w:top w:val="nil"/>
              <w:left w:val="nil"/>
              <w:bottom w:val="single" w:color="000000" w:sz="4" w:space="0"/>
              <w:right w:val="single" w:color="000000" w:sz="4" w:space="0"/>
            </w:tcBorders>
            <w:shd w:val="clear" w:color="auto" w:fill="auto"/>
            <w:vAlign w:val="center"/>
          </w:tcPr>
          <w:p w14:paraId="30A22D9D">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50</w:t>
            </w:r>
          </w:p>
        </w:tc>
        <w:tc>
          <w:tcPr>
            <w:tcW w:w="708" w:type="dxa"/>
            <w:tcBorders>
              <w:top w:val="nil"/>
              <w:left w:val="nil"/>
              <w:bottom w:val="single" w:color="000000" w:sz="4" w:space="0"/>
              <w:right w:val="single" w:color="000000" w:sz="4" w:space="0"/>
            </w:tcBorders>
            <w:shd w:val="clear" w:color="auto" w:fill="auto"/>
            <w:vAlign w:val="center"/>
          </w:tcPr>
          <w:p w14:paraId="1DAA0A6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w:t>
            </w:r>
          </w:p>
        </w:tc>
        <w:tc>
          <w:tcPr>
            <w:tcW w:w="660" w:type="dxa"/>
            <w:tcBorders>
              <w:top w:val="nil"/>
              <w:left w:val="nil"/>
              <w:bottom w:val="single" w:color="000000" w:sz="4" w:space="0"/>
              <w:right w:val="single" w:color="000000" w:sz="4" w:space="0"/>
            </w:tcBorders>
            <w:shd w:val="clear" w:color="auto" w:fill="auto"/>
            <w:vAlign w:val="center"/>
          </w:tcPr>
          <w:p w14:paraId="50E5560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20　</w:t>
            </w:r>
          </w:p>
        </w:tc>
        <w:tc>
          <w:tcPr>
            <w:tcW w:w="1403" w:type="dxa"/>
            <w:tcBorders>
              <w:top w:val="nil"/>
              <w:left w:val="nil"/>
              <w:bottom w:val="single" w:color="000000" w:sz="4" w:space="0"/>
              <w:right w:val="single" w:color="000000" w:sz="4" w:space="0"/>
            </w:tcBorders>
            <w:shd w:val="clear" w:color="auto" w:fill="auto"/>
            <w:vAlign w:val="center"/>
          </w:tcPr>
          <w:p w14:paraId="31CAAF6C">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bidi="ar"/>
              </w:rPr>
              <w:t>　</w:t>
            </w:r>
          </w:p>
        </w:tc>
      </w:tr>
      <w:tr w14:paraId="4690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9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19139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合计</w:t>
            </w:r>
          </w:p>
        </w:tc>
        <w:tc>
          <w:tcPr>
            <w:tcW w:w="708" w:type="dxa"/>
            <w:tcBorders>
              <w:top w:val="nil"/>
              <w:left w:val="nil"/>
              <w:bottom w:val="single" w:color="000000" w:sz="4" w:space="0"/>
              <w:right w:val="single" w:color="000000" w:sz="4" w:space="0"/>
            </w:tcBorders>
            <w:shd w:val="clear" w:color="auto" w:fill="auto"/>
            <w:vAlign w:val="center"/>
          </w:tcPr>
          <w:p w14:paraId="1BD6E22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100</w:t>
            </w:r>
          </w:p>
        </w:tc>
        <w:tc>
          <w:tcPr>
            <w:tcW w:w="660" w:type="dxa"/>
            <w:tcBorders>
              <w:top w:val="nil"/>
              <w:left w:val="nil"/>
              <w:bottom w:val="single" w:color="000000" w:sz="4" w:space="0"/>
              <w:right w:val="single" w:color="000000" w:sz="4" w:space="0"/>
            </w:tcBorders>
            <w:shd w:val="clear" w:color="auto" w:fill="auto"/>
            <w:vAlign w:val="center"/>
          </w:tcPr>
          <w:p w14:paraId="4396668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97</w:t>
            </w:r>
          </w:p>
        </w:tc>
        <w:tc>
          <w:tcPr>
            <w:tcW w:w="1403" w:type="dxa"/>
            <w:tcBorders>
              <w:top w:val="nil"/>
              <w:left w:val="nil"/>
              <w:bottom w:val="single" w:color="000000" w:sz="4" w:space="0"/>
              <w:right w:val="single" w:color="000000" w:sz="4" w:space="0"/>
            </w:tcBorders>
            <w:shd w:val="clear" w:color="auto" w:fill="auto"/>
            <w:vAlign w:val="center"/>
          </w:tcPr>
          <w:p w14:paraId="5D6D1992">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　</w:t>
            </w:r>
          </w:p>
        </w:tc>
      </w:tr>
      <w:tr w14:paraId="111C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14:paraId="77AF49C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评价结论</w:t>
            </w:r>
          </w:p>
        </w:tc>
        <w:tc>
          <w:tcPr>
            <w:tcW w:w="9152" w:type="dxa"/>
            <w:gridSpan w:val="11"/>
            <w:tcBorders>
              <w:top w:val="single" w:color="000000" w:sz="4" w:space="0"/>
              <w:left w:val="nil"/>
              <w:bottom w:val="single" w:color="000000" w:sz="4" w:space="0"/>
              <w:right w:val="single" w:color="000000" w:sz="4" w:space="0"/>
            </w:tcBorders>
            <w:shd w:val="clear" w:color="auto" w:fill="auto"/>
            <w:vAlign w:val="center"/>
          </w:tcPr>
          <w:p w14:paraId="6EA44786">
            <w:pPr>
              <w:keepNext w:val="0"/>
              <w:keepLines w:val="0"/>
              <w:widowControl/>
              <w:suppressLineNumbers w:val="0"/>
              <w:spacing w:before="0" w:beforeAutospacing="0" w:after="0" w:afterAutospacing="0" w:line="200" w:lineRule="exact"/>
              <w:ind w:left="0" w:right="0"/>
              <w:jc w:val="left"/>
              <w:rPr>
                <w:rFonts w:hint="eastAsia" w:ascii="微软雅黑" w:hAnsi="微软雅黑" w:eastAsia="微软雅黑" w:cs="宋体"/>
                <w:i/>
                <w:iCs/>
                <w:kern w:val="0"/>
                <w:sz w:val="15"/>
                <w:szCs w:val="15"/>
                <w:lang w:val="en-US"/>
              </w:rPr>
            </w:pPr>
            <w:r>
              <w:rPr>
                <w:rFonts w:hint="eastAsia" w:ascii="宋体" w:hAnsi="宋体" w:eastAsia="宋体" w:cs="宋体"/>
                <w:kern w:val="0"/>
                <w:sz w:val="15"/>
                <w:szCs w:val="15"/>
                <w:lang w:val="en-US" w:eastAsia="zh-CN" w:bidi="ar"/>
              </w:rPr>
              <w:t>服务推动凉山高质量跨越式发展、巩固脱贫攻坚成果、推进乡村全面振兴等中心任务，围绕发展经济、保护生态、改善民生等需求，州层面遴选支持5名凉山杰出科技工作者，示范带动各县（市）支持培养一批各类高层次人才，加快培育一支“凉山牌”高层次人才队伍。从产出、效益、满意度指标等进行了以上打分，预算执行率100%，执行情况良好，自评得分97分。</w:t>
            </w:r>
          </w:p>
        </w:tc>
      </w:tr>
      <w:tr w14:paraId="05B0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14:paraId="6E49674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存在问题</w:t>
            </w:r>
          </w:p>
        </w:tc>
        <w:tc>
          <w:tcPr>
            <w:tcW w:w="9152" w:type="dxa"/>
            <w:gridSpan w:val="11"/>
            <w:tcBorders>
              <w:top w:val="single" w:color="000000" w:sz="4" w:space="0"/>
              <w:left w:val="nil"/>
              <w:bottom w:val="single" w:color="000000" w:sz="4" w:space="0"/>
              <w:right w:val="single" w:color="000000" w:sz="4" w:space="0"/>
            </w:tcBorders>
            <w:shd w:val="clear" w:color="auto" w:fill="auto"/>
            <w:vAlign w:val="center"/>
          </w:tcPr>
          <w:p w14:paraId="4E6C4EB0">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部分科技工作者对“菁英成长计划”了解还不够，没有积极参与遴选。</w:t>
            </w:r>
          </w:p>
        </w:tc>
      </w:tr>
      <w:tr w14:paraId="0DF7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14:paraId="2480F4A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改进措施</w:t>
            </w:r>
          </w:p>
        </w:tc>
        <w:tc>
          <w:tcPr>
            <w:tcW w:w="9152" w:type="dxa"/>
            <w:gridSpan w:val="11"/>
            <w:tcBorders>
              <w:top w:val="single" w:color="000000" w:sz="4" w:space="0"/>
              <w:left w:val="nil"/>
              <w:bottom w:val="single" w:color="000000" w:sz="4" w:space="0"/>
              <w:right w:val="single" w:color="000000" w:sz="4" w:space="0"/>
            </w:tcBorders>
            <w:shd w:val="clear" w:color="auto" w:fill="auto"/>
            <w:vAlign w:val="center"/>
          </w:tcPr>
          <w:p w14:paraId="4F6B885E">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应进一步加大对“菁英成长计划”凉山杰出科技工作者的宣传力度，让更多地杰出科技工作者脱颖而出。</w:t>
            </w:r>
          </w:p>
        </w:tc>
      </w:tr>
      <w:tr w14:paraId="2F54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6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42753">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kern w:val="0"/>
                <w:sz w:val="15"/>
                <w:szCs w:val="15"/>
                <w:lang w:val="en-US"/>
              </w:rPr>
            </w:pPr>
            <w:r>
              <w:rPr>
                <w:rFonts w:hint="eastAsia" w:ascii="Courier New" w:hAnsi="Courier New" w:eastAsia="宋体" w:cs="Courier New"/>
                <w:kern w:val="0"/>
                <w:sz w:val="15"/>
                <w:szCs w:val="15"/>
                <w:lang w:val="en-US" w:eastAsia="zh-CN" w:bidi="ar"/>
              </w:rPr>
              <w:t>项目负责人：吴家英、李红</w:t>
            </w:r>
          </w:p>
        </w:tc>
        <w:tc>
          <w:tcPr>
            <w:tcW w:w="5069" w:type="dxa"/>
            <w:gridSpan w:val="7"/>
            <w:tcBorders>
              <w:top w:val="single" w:color="000000" w:sz="4" w:space="0"/>
              <w:left w:val="nil"/>
              <w:bottom w:val="single" w:color="000000" w:sz="4" w:space="0"/>
              <w:right w:val="single" w:color="000000" w:sz="4" w:space="0"/>
            </w:tcBorders>
            <w:shd w:val="clear" w:color="auto" w:fill="auto"/>
            <w:vAlign w:val="center"/>
          </w:tcPr>
          <w:p w14:paraId="312E67CD">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kern w:val="0"/>
                <w:sz w:val="15"/>
                <w:szCs w:val="15"/>
                <w:lang w:val="en-US"/>
              </w:rPr>
            </w:pPr>
            <w:r>
              <w:rPr>
                <w:rFonts w:hint="eastAsia" w:ascii="Courier New" w:hAnsi="Courier New" w:eastAsia="宋体" w:cs="Courier New"/>
                <w:kern w:val="0"/>
                <w:sz w:val="15"/>
                <w:szCs w:val="15"/>
                <w:lang w:val="en-US" w:eastAsia="zh-CN" w:bidi="ar"/>
              </w:rPr>
              <w:t>财务负责人：毛正华</w:t>
            </w:r>
          </w:p>
        </w:tc>
      </w:tr>
    </w:tbl>
    <w:tbl>
      <w:tblPr>
        <w:tblStyle w:val="18"/>
        <w:tblpPr w:leftFromText="180" w:rightFromText="180" w:vertAnchor="text" w:horzAnchor="page" w:tblpX="1711" w:tblpY="624"/>
        <w:tblOverlap w:val="never"/>
        <w:tblW w:w="9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3"/>
        <w:gridCol w:w="865"/>
        <w:gridCol w:w="854"/>
        <w:gridCol w:w="2071"/>
        <w:gridCol w:w="516"/>
        <w:gridCol w:w="555"/>
        <w:gridCol w:w="590"/>
        <w:gridCol w:w="965"/>
        <w:gridCol w:w="506"/>
        <w:gridCol w:w="492"/>
        <w:gridCol w:w="1428"/>
      </w:tblGrid>
      <w:tr w14:paraId="79AC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5" w:hRule="atLeast"/>
        </w:trPr>
        <w:tc>
          <w:tcPr>
            <w:tcW w:w="9365" w:type="dxa"/>
            <w:gridSpan w:val="11"/>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A55955C">
            <w:pPr>
              <w:keepNext w:val="0"/>
              <w:keepLines w:val="0"/>
              <w:widowControl/>
              <w:suppressLineNumbers w:val="0"/>
              <w:spacing w:before="0" w:beforeAutospacing="0" w:after="0" w:afterAutospacing="0" w:line="320" w:lineRule="exact"/>
              <w:ind w:left="0" w:right="0" w:firstLine="3162" w:firstLineChars="2100"/>
              <w:jc w:val="both"/>
              <w:rPr>
                <w:rFonts w:hint="eastAsia" w:ascii="黑体" w:hAnsi="宋体" w:eastAsia="黑体" w:cs="宋体"/>
                <w:b/>
                <w:bCs/>
                <w:color w:val="000000"/>
                <w:kern w:val="0"/>
                <w:sz w:val="15"/>
                <w:szCs w:val="15"/>
                <w:lang w:val="en-US" w:eastAsia="zh-CN" w:bidi="ar"/>
              </w:rPr>
            </w:pPr>
          </w:p>
          <w:p w14:paraId="1C0C4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黑体" w:hAnsi="宋体" w:eastAsia="黑体" w:cs="宋体"/>
                <w:b/>
                <w:bCs/>
                <w:color w:val="000000"/>
                <w:kern w:val="0"/>
                <w:sz w:val="15"/>
                <w:szCs w:val="15"/>
                <w:lang w:val="en-US" w:eastAsia="zh-CN" w:bidi="ar"/>
              </w:rPr>
            </w:pPr>
          </w:p>
          <w:p w14:paraId="797B613F">
            <w:pPr>
              <w:keepNext w:val="0"/>
              <w:keepLines w:val="0"/>
              <w:widowControl/>
              <w:suppressLineNumbers w:val="0"/>
              <w:spacing w:before="0" w:beforeAutospacing="0" w:after="0" w:afterAutospacing="0" w:line="320" w:lineRule="exact"/>
              <w:ind w:left="0" w:right="0"/>
              <w:jc w:val="both"/>
              <w:rPr>
                <w:rFonts w:hint="eastAsia" w:ascii="黑体" w:hAnsi="宋体" w:eastAsia="黑体" w:cs="宋体"/>
                <w:b/>
                <w:bCs/>
                <w:color w:val="000000"/>
                <w:kern w:val="0"/>
                <w:sz w:val="15"/>
                <w:szCs w:val="15"/>
                <w:lang w:val="en-US" w:eastAsia="zh-CN" w:bidi="ar"/>
              </w:rPr>
            </w:pPr>
          </w:p>
          <w:p w14:paraId="4423D0D0">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color w:val="000000"/>
                <w:kern w:val="0"/>
                <w:sz w:val="15"/>
                <w:szCs w:val="15"/>
                <w:lang w:val="en-US"/>
              </w:rPr>
            </w:pPr>
            <w:r>
              <w:rPr>
                <w:rFonts w:hint="eastAsia" w:ascii="黑体" w:hAnsi="宋体" w:eastAsia="黑体" w:cs="宋体"/>
                <w:b/>
                <w:bCs/>
                <w:color w:val="000000"/>
                <w:kern w:val="0"/>
                <w:sz w:val="24"/>
                <w:szCs w:val="24"/>
                <w:lang w:val="en-US" w:eastAsia="zh-CN" w:bidi="ar"/>
              </w:rPr>
              <w:t>部门预算项目支出绩效自评表（2023年度）</w:t>
            </w:r>
          </w:p>
        </w:tc>
      </w:tr>
      <w:tr w14:paraId="1147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trPr>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DD69C5F">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项目名称</w:t>
            </w:r>
          </w:p>
        </w:tc>
        <w:tc>
          <w:tcPr>
            <w:tcW w:w="7977" w:type="dxa"/>
            <w:gridSpan w:val="9"/>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3F5363D">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51340022T000000278905-凉山州全民科学素质提升专项</w:t>
            </w:r>
          </w:p>
        </w:tc>
      </w:tr>
      <w:tr w14:paraId="1CA5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5FBE623">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主管部门</w:t>
            </w:r>
          </w:p>
        </w:tc>
        <w:tc>
          <w:tcPr>
            <w:tcW w:w="4586" w:type="dxa"/>
            <w:gridSpan w:val="5"/>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8B6973B">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凉山州科学技术协会部门</w:t>
            </w:r>
          </w:p>
        </w:tc>
        <w:tc>
          <w:tcPr>
            <w:tcW w:w="965" w:type="dxa"/>
            <w:shd w:val="clear" w:color="auto" w:fill="auto"/>
            <w:tcMar>
              <w:left w:w="108" w:type="dxa"/>
              <w:right w:w="108" w:type="dxa"/>
            </w:tcMar>
            <w:vAlign w:val="center"/>
          </w:tcPr>
          <w:p w14:paraId="3F9BA37A">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实施单位</w:t>
            </w:r>
            <w:r>
              <w:rPr>
                <w:rFonts w:hint="default" w:ascii="Courier New" w:hAnsi="Courier New" w:eastAsia="宋体" w:cs="Courier New"/>
                <w:color w:val="000000"/>
                <w:kern w:val="0"/>
                <w:sz w:val="15"/>
                <w:szCs w:val="15"/>
                <w:lang w:val="en-US" w:eastAsia="zh-CN" w:bidi="ar"/>
              </w:rPr>
              <w:t xml:space="preserve"> </w:t>
            </w:r>
            <w:r>
              <w:rPr>
                <w:rFonts w:hint="eastAsia" w:ascii="Courier New" w:hAnsi="Courier New" w:eastAsia="宋体" w:cs="Courier New"/>
                <w:color w:val="000000"/>
                <w:kern w:val="0"/>
                <w:sz w:val="15"/>
                <w:szCs w:val="15"/>
                <w:lang w:val="en-US" w:eastAsia="zh-CN" w:bidi="ar"/>
              </w:rPr>
              <w:t>（盖章）</w:t>
            </w:r>
          </w:p>
        </w:tc>
        <w:tc>
          <w:tcPr>
            <w:tcW w:w="242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D4B0BB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凉山州科学技术协会</w:t>
            </w:r>
          </w:p>
        </w:tc>
      </w:tr>
      <w:tr w14:paraId="106F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523" w:type="dxa"/>
            <w:vMerge w:val="restart"/>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41D549DE">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项目基本情况</w:t>
            </w:r>
          </w:p>
        </w:tc>
        <w:tc>
          <w:tcPr>
            <w:tcW w:w="865" w:type="dxa"/>
            <w:vMerge w:val="restart"/>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6E1A9D05">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1.项目年度目标完成情况</w:t>
            </w:r>
          </w:p>
        </w:tc>
        <w:tc>
          <w:tcPr>
            <w:tcW w:w="4586" w:type="dxa"/>
            <w:gridSpan w:val="5"/>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EEF1DA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项目年度目标</w:t>
            </w:r>
          </w:p>
        </w:tc>
        <w:tc>
          <w:tcPr>
            <w:tcW w:w="3391"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FE3EA1C">
            <w:pPr>
              <w:keepNext w:val="0"/>
              <w:keepLines w:val="0"/>
              <w:widowControl/>
              <w:suppressLineNumbers w:val="0"/>
              <w:spacing w:before="0" w:beforeAutospacing="0" w:after="0" w:afterAutospacing="0" w:line="240" w:lineRule="exact"/>
              <w:ind w:left="0" w:right="0"/>
              <w:jc w:val="center"/>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年度目标完成情况</w:t>
            </w:r>
          </w:p>
        </w:tc>
      </w:tr>
      <w:tr w14:paraId="2666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6"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7E33D69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78B98F2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4586" w:type="dxa"/>
            <w:gridSpan w:val="5"/>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FD7D969">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年度开展科学普及、素质调查等相关工作；</w:t>
            </w:r>
          </w:p>
          <w:p w14:paraId="4B1CC428">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开展科普“五进”活动：进机关、进乡村、进学校、进企事业、进社区；</w:t>
            </w:r>
          </w:p>
          <w:p w14:paraId="50917300">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召开相关会议：布置开展科普、全民科学素质提升相关工作、总结调研事宜。</w:t>
            </w:r>
          </w:p>
        </w:tc>
        <w:tc>
          <w:tcPr>
            <w:tcW w:w="3391"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B2DE055">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完成开展了科学普及相关工作；</w:t>
            </w:r>
          </w:p>
          <w:p w14:paraId="73BABA8D">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开展</w:t>
            </w:r>
            <w:r>
              <w:rPr>
                <w:rFonts w:hint="eastAsia" w:ascii="宋体" w:hAnsi="宋体" w:cs="宋体"/>
                <w:color w:val="000000"/>
                <w:kern w:val="0"/>
                <w:sz w:val="15"/>
                <w:szCs w:val="15"/>
                <w:lang w:val="en-US" w:eastAsia="zh-CN" w:bidi="ar"/>
              </w:rPr>
              <w:t>了</w:t>
            </w:r>
            <w:r>
              <w:rPr>
                <w:rFonts w:hint="eastAsia" w:ascii="宋体" w:hAnsi="宋体" w:eastAsia="宋体" w:cs="宋体"/>
                <w:color w:val="000000"/>
                <w:kern w:val="0"/>
                <w:sz w:val="15"/>
                <w:szCs w:val="15"/>
                <w:lang w:val="en-US" w:eastAsia="zh-CN" w:bidi="ar"/>
              </w:rPr>
              <w:t>科普“五进”活动：进机关、进乡村、进学校、进企事业、进社区；</w:t>
            </w:r>
          </w:p>
          <w:p w14:paraId="343A6DB1">
            <w:pPr>
              <w:keepNext w:val="0"/>
              <w:keepLines w:val="0"/>
              <w:widowControl/>
              <w:suppressLineNumbers w:val="0"/>
              <w:spacing w:before="0" w:beforeAutospacing="0" w:after="0" w:afterAutospacing="0" w:line="240" w:lineRule="exact"/>
              <w:ind w:left="0" w:right="0"/>
              <w:jc w:val="left"/>
              <w:rPr>
                <w:rFonts w:hint="default" w:ascii="Courier New" w:hAnsi="Courier New" w:cs="Courier New"/>
                <w:color w:val="000000"/>
                <w:kern w:val="0"/>
                <w:sz w:val="15"/>
                <w:szCs w:val="15"/>
                <w:lang w:val="en-US"/>
              </w:rPr>
            </w:pPr>
            <w:r>
              <w:rPr>
                <w:rFonts w:hint="eastAsia" w:ascii="宋体" w:hAnsi="宋体" w:eastAsia="宋体" w:cs="宋体"/>
                <w:color w:val="000000"/>
                <w:kern w:val="0"/>
                <w:sz w:val="15"/>
                <w:szCs w:val="15"/>
                <w:lang w:val="en-US" w:eastAsia="zh-CN" w:bidi="ar"/>
              </w:rPr>
              <w:t>召开相关会议：布置开展科普、全民科学素质提升相关工作、科技小院总结调研事宜。</w:t>
            </w:r>
          </w:p>
        </w:tc>
      </w:tr>
      <w:tr w14:paraId="45D1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0267EDA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F96B866">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2.项目实施内容及过程概述</w:t>
            </w:r>
          </w:p>
        </w:tc>
        <w:tc>
          <w:tcPr>
            <w:tcW w:w="7977" w:type="dxa"/>
            <w:gridSpan w:val="9"/>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F8E2231">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　开展了全国科普日和大篷车进藏区、进校园、科学素质能力提升培训、科技小院调研、学术交流等活动，购买了科普宣传品、科普资源包等。</w:t>
            </w:r>
          </w:p>
        </w:tc>
      </w:tr>
      <w:tr w14:paraId="1A8B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523" w:type="dxa"/>
            <w:vMerge w:val="restart"/>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4DBDDAE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预算执行情况（10分）</w:t>
            </w:r>
          </w:p>
        </w:tc>
        <w:tc>
          <w:tcPr>
            <w:tcW w:w="8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5A04CAD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年度预算数（万元）</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20BD88A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年初预算</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73AE96B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调整后预算数</w:t>
            </w:r>
          </w:p>
        </w:tc>
        <w:tc>
          <w:tcPr>
            <w:tcW w:w="1661"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462C32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预算执行数</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EC1676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预算执行率</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3E5B66E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权重</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668ABD9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得分</w:t>
            </w:r>
          </w:p>
        </w:tc>
        <w:tc>
          <w:tcPr>
            <w:tcW w:w="1428" w:type="dxa"/>
            <w:tcBorders>
              <w:top w:val="nil"/>
              <w:left w:val="nil"/>
              <w:bottom w:val="single" w:color="000000" w:sz="4" w:space="0"/>
              <w:right w:val="single" w:color="000000" w:sz="4" w:space="0"/>
            </w:tcBorders>
            <w:shd w:val="clear" w:color="auto" w:fill="auto"/>
            <w:tcMar>
              <w:left w:w="108" w:type="dxa"/>
              <w:right w:w="108" w:type="dxa"/>
            </w:tcMar>
            <w:vAlign w:val="center"/>
          </w:tcPr>
          <w:p w14:paraId="39D6B01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原因</w:t>
            </w:r>
          </w:p>
        </w:tc>
      </w:tr>
      <w:tr w14:paraId="457D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24F58BD3">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776183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总额</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779D024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15.00</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1A90691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14.57</w:t>
            </w:r>
          </w:p>
        </w:tc>
        <w:tc>
          <w:tcPr>
            <w:tcW w:w="1661"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D833A9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14.57</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480046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100.00%</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25F7F1D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48C5BEB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428" w:type="dxa"/>
            <w:vMerge w:val="restart"/>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55D1E091">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i/>
                <w:iCs/>
                <w:color w:val="000000"/>
                <w:kern w:val="0"/>
                <w:sz w:val="15"/>
                <w:szCs w:val="15"/>
                <w:lang w:val="en-US"/>
              </w:rPr>
            </w:pPr>
          </w:p>
        </w:tc>
      </w:tr>
      <w:tr w14:paraId="0ED6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0302BEBD">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295E4DE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其中：财政资金</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606DE70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15.00</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1E754A7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14.57</w:t>
            </w:r>
          </w:p>
        </w:tc>
        <w:tc>
          <w:tcPr>
            <w:tcW w:w="1661"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AD5F1B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14.57</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7629FF9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100.00%</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16C7AE8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1A17540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428"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5D9EE1A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045C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612E5E7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35E4A4C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财政专户管理资金</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7B22C14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1431ED7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661"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E205AA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53BCA7D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6C91AAB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11B4958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428"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5D198D9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222A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6E4C9E1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69185A0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单位资金</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74E6A92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769E4E5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661"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A1F90C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120981A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1BA5A13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3A3E919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428"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762DFF7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61AD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134F2D0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4606C2B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其他资金</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4E1BBF64">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2D528508">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1661"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9E482A3">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01B3D9D">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0B2182C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7B0093C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428"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10FE6ED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7634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523" w:type="dxa"/>
            <w:vMerge w:val="restart"/>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47B45C6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绩效指标（90分）</w:t>
            </w:r>
          </w:p>
        </w:tc>
        <w:tc>
          <w:tcPr>
            <w:tcW w:w="8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5C11B79">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一级指标</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3F3D237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二级指标</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795EF02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三级指标</w:t>
            </w:r>
          </w:p>
        </w:tc>
        <w:tc>
          <w:tcPr>
            <w:tcW w:w="516" w:type="dxa"/>
            <w:tcBorders>
              <w:top w:val="nil"/>
              <w:left w:val="nil"/>
              <w:bottom w:val="single" w:color="000000" w:sz="4" w:space="0"/>
              <w:right w:val="single" w:color="000000" w:sz="4" w:space="0"/>
            </w:tcBorders>
            <w:shd w:val="clear" w:color="auto" w:fill="auto"/>
            <w:tcMar>
              <w:left w:w="108" w:type="dxa"/>
              <w:right w:w="108" w:type="dxa"/>
            </w:tcMar>
            <w:vAlign w:val="center"/>
          </w:tcPr>
          <w:p w14:paraId="0F198DE3">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指标性质</w:t>
            </w:r>
          </w:p>
        </w:tc>
        <w:tc>
          <w:tcPr>
            <w:tcW w:w="55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42F2A2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指标值</w:t>
            </w:r>
          </w:p>
        </w:tc>
        <w:tc>
          <w:tcPr>
            <w:tcW w:w="590" w:type="dxa"/>
            <w:tcBorders>
              <w:top w:val="nil"/>
              <w:left w:val="nil"/>
              <w:bottom w:val="single" w:color="000000" w:sz="4" w:space="0"/>
              <w:right w:val="single" w:color="000000" w:sz="4" w:space="0"/>
            </w:tcBorders>
            <w:shd w:val="clear" w:color="auto" w:fill="auto"/>
            <w:tcMar>
              <w:left w:w="108" w:type="dxa"/>
              <w:right w:w="108" w:type="dxa"/>
            </w:tcMar>
            <w:vAlign w:val="center"/>
          </w:tcPr>
          <w:p w14:paraId="019A9CC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度量单位</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21110DD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完成值</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3F345C6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权重</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51418446">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得分</w:t>
            </w:r>
          </w:p>
        </w:tc>
        <w:tc>
          <w:tcPr>
            <w:tcW w:w="1428" w:type="dxa"/>
            <w:tcBorders>
              <w:top w:val="nil"/>
              <w:left w:val="nil"/>
              <w:bottom w:val="single" w:color="000000" w:sz="4" w:space="0"/>
              <w:right w:val="single" w:color="000000" w:sz="4" w:space="0"/>
            </w:tcBorders>
            <w:shd w:val="clear" w:color="auto" w:fill="auto"/>
            <w:tcMar>
              <w:left w:w="108" w:type="dxa"/>
              <w:right w:w="108" w:type="dxa"/>
            </w:tcMar>
            <w:vAlign w:val="center"/>
          </w:tcPr>
          <w:p w14:paraId="41176A9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未完成原因分析</w:t>
            </w:r>
          </w:p>
        </w:tc>
      </w:tr>
      <w:tr w14:paraId="7AAD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47F11AE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vMerge w:val="restart"/>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5F021BF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产出指标</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3A3A9C4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数量指标</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533B3753">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年度内开展科学普及、素质调查等相关工作；开展科普“五进”活动；召开相关会议三项工作。</w:t>
            </w:r>
          </w:p>
        </w:tc>
        <w:tc>
          <w:tcPr>
            <w:tcW w:w="516" w:type="dxa"/>
            <w:tcBorders>
              <w:top w:val="nil"/>
              <w:left w:val="nil"/>
              <w:bottom w:val="single" w:color="000000" w:sz="4" w:space="0"/>
              <w:right w:val="single" w:color="000000" w:sz="4" w:space="0"/>
            </w:tcBorders>
            <w:shd w:val="clear" w:color="auto" w:fill="auto"/>
            <w:tcMar>
              <w:left w:w="108" w:type="dxa"/>
              <w:right w:w="108" w:type="dxa"/>
            </w:tcMar>
            <w:vAlign w:val="center"/>
          </w:tcPr>
          <w:p w14:paraId="063E871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55" w:type="dxa"/>
            <w:tcBorders>
              <w:top w:val="nil"/>
              <w:left w:val="nil"/>
              <w:bottom w:val="single" w:color="000000" w:sz="4" w:space="0"/>
              <w:right w:val="single" w:color="000000" w:sz="4" w:space="0"/>
            </w:tcBorders>
            <w:shd w:val="clear" w:color="auto" w:fill="auto"/>
            <w:tcMar>
              <w:left w:w="108" w:type="dxa"/>
              <w:right w:w="108" w:type="dxa"/>
            </w:tcMar>
            <w:vAlign w:val="center"/>
          </w:tcPr>
          <w:p w14:paraId="7208067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3</w:t>
            </w:r>
          </w:p>
        </w:tc>
        <w:tc>
          <w:tcPr>
            <w:tcW w:w="590" w:type="dxa"/>
            <w:tcBorders>
              <w:top w:val="nil"/>
              <w:left w:val="nil"/>
              <w:bottom w:val="single" w:color="000000" w:sz="4" w:space="0"/>
              <w:right w:val="single" w:color="000000" w:sz="4" w:space="0"/>
            </w:tcBorders>
            <w:shd w:val="clear" w:color="auto" w:fill="auto"/>
            <w:tcMar>
              <w:left w:w="108" w:type="dxa"/>
              <w:right w:w="108" w:type="dxa"/>
            </w:tcMar>
            <w:vAlign w:val="center"/>
          </w:tcPr>
          <w:p w14:paraId="03E1866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1211BDD8">
            <w:pPr>
              <w:keepNext w:val="0"/>
              <w:keepLines w:val="0"/>
              <w:widowControl/>
              <w:suppressLineNumbers w:val="0"/>
              <w:spacing w:before="0" w:beforeAutospacing="0" w:after="0" w:afterAutospacing="0" w:line="200" w:lineRule="exact"/>
              <w:ind w:left="0" w:right="0"/>
              <w:jc w:val="center"/>
              <w:rPr>
                <w:rFonts w:hint="eastAsia" w:ascii="仿宋_GB2312" w:hAnsi="仿宋_GB2312" w:eastAsia="仿宋_GB2312" w:cs="仿宋_GB2312"/>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3　</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66BCA53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5C6E754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428" w:type="dxa"/>
            <w:tcBorders>
              <w:top w:val="nil"/>
              <w:left w:val="nil"/>
              <w:bottom w:val="single" w:color="000000" w:sz="4" w:space="0"/>
              <w:right w:val="single" w:color="000000" w:sz="4" w:space="0"/>
            </w:tcBorders>
            <w:shd w:val="clear" w:color="auto" w:fill="auto"/>
            <w:tcMar>
              <w:left w:w="108" w:type="dxa"/>
              <w:right w:w="108" w:type="dxa"/>
            </w:tcMar>
            <w:vAlign w:val="center"/>
          </w:tcPr>
          <w:p w14:paraId="50783887">
            <w:pPr>
              <w:keepNext w:val="0"/>
              <w:keepLines w:val="0"/>
              <w:widowControl/>
              <w:suppressLineNumbers w:val="0"/>
              <w:spacing w:before="0" w:beforeAutospacing="0" w:after="0" w:afterAutospacing="0" w:line="200" w:lineRule="exact"/>
              <w:ind w:left="0" w:right="0"/>
              <w:jc w:val="center"/>
              <w:rPr>
                <w:rFonts w:hint="eastAsia" w:ascii="仿宋_GB2312" w:hAnsi="仿宋_GB2312" w:eastAsia="仿宋_GB2312" w:cs="仿宋_GB2312"/>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　无</w:t>
            </w:r>
          </w:p>
        </w:tc>
      </w:tr>
      <w:tr w14:paraId="7D790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68CCA97B">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71124BEB">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07F0BB6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质量指标</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4AB02577">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各项工作单位考核合格率90%以上</w:t>
            </w:r>
          </w:p>
        </w:tc>
        <w:tc>
          <w:tcPr>
            <w:tcW w:w="516" w:type="dxa"/>
            <w:tcBorders>
              <w:top w:val="nil"/>
              <w:left w:val="nil"/>
              <w:bottom w:val="single" w:color="000000" w:sz="4" w:space="0"/>
              <w:right w:val="single" w:color="000000" w:sz="4" w:space="0"/>
            </w:tcBorders>
            <w:shd w:val="clear" w:color="auto" w:fill="auto"/>
            <w:tcMar>
              <w:left w:w="108" w:type="dxa"/>
              <w:right w:w="108" w:type="dxa"/>
            </w:tcMar>
            <w:vAlign w:val="center"/>
          </w:tcPr>
          <w:p w14:paraId="1650A2E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55" w:type="dxa"/>
            <w:tcBorders>
              <w:top w:val="nil"/>
              <w:left w:val="nil"/>
              <w:bottom w:val="single" w:color="000000" w:sz="4" w:space="0"/>
              <w:right w:val="single" w:color="000000" w:sz="4" w:space="0"/>
            </w:tcBorders>
            <w:shd w:val="clear" w:color="auto" w:fill="auto"/>
            <w:tcMar>
              <w:left w:w="108" w:type="dxa"/>
              <w:right w:w="108" w:type="dxa"/>
            </w:tcMar>
            <w:vAlign w:val="center"/>
          </w:tcPr>
          <w:p w14:paraId="6F31B77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90</w:t>
            </w:r>
          </w:p>
        </w:tc>
        <w:tc>
          <w:tcPr>
            <w:tcW w:w="590" w:type="dxa"/>
            <w:tcBorders>
              <w:top w:val="nil"/>
              <w:left w:val="nil"/>
              <w:bottom w:val="single" w:color="000000" w:sz="4" w:space="0"/>
              <w:right w:val="single" w:color="000000" w:sz="4" w:space="0"/>
            </w:tcBorders>
            <w:shd w:val="clear" w:color="auto" w:fill="auto"/>
            <w:tcMar>
              <w:left w:w="108" w:type="dxa"/>
              <w:right w:w="108" w:type="dxa"/>
            </w:tcMar>
            <w:vAlign w:val="center"/>
          </w:tcPr>
          <w:p w14:paraId="3A0E0A7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612EE160">
            <w:pPr>
              <w:keepNext w:val="0"/>
              <w:keepLines w:val="0"/>
              <w:widowControl/>
              <w:suppressLineNumbers w:val="0"/>
              <w:spacing w:before="0" w:beforeAutospacing="0" w:after="0" w:afterAutospacing="0" w:line="200" w:lineRule="exact"/>
              <w:ind w:left="0" w:right="0"/>
              <w:jc w:val="center"/>
              <w:rPr>
                <w:rFonts w:hint="eastAsia" w:ascii="仿宋_GB2312" w:hAnsi="仿宋_GB2312" w:eastAsia="仿宋_GB2312" w:cs="仿宋_GB2312"/>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　90</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2E471E9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5C0C032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　</w:t>
            </w:r>
          </w:p>
        </w:tc>
        <w:tc>
          <w:tcPr>
            <w:tcW w:w="1428" w:type="dxa"/>
            <w:tcBorders>
              <w:top w:val="nil"/>
              <w:left w:val="nil"/>
              <w:bottom w:val="single" w:color="000000" w:sz="4" w:space="0"/>
              <w:right w:val="single" w:color="000000" w:sz="4" w:space="0"/>
            </w:tcBorders>
            <w:shd w:val="clear" w:color="auto" w:fill="auto"/>
            <w:tcMar>
              <w:left w:w="108" w:type="dxa"/>
              <w:right w:w="108" w:type="dxa"/>
            </w:tcMar>
            <w:vAlign w:val="center"/>
          </w:tcPr>
          <w:p w14:paraId="0084B046">
            <w:pPr>
              <w:keepNext w:val="0"/>
              <w:keepLines w:val="0"/>
              <w:widowControl/>
              <w:suppressLineNumbers w:val="0"/>
              <w:spacing w:before="0" w:beforeAutospacing="0" w:after="0" w:afterAutospacing="0" w:line="200" w:lineRule="exact"/>
              <w:ind w:left="0" w:right="0"/>
              <w:jc w:val="center"/>
              <w:rPr>
                <w:rFonts w:hint="eastAsia" w:ascii="仿宋_GB2312" w:hAnsi="仿宋_GB2312" w:eastAsia="仿宋_GB2312" w:cs="仿宋_GB2312"/>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　　无</w:t>
            </w:r>
          </w:p>
        </w:tc>
      </w:tr>
      <w:tr w14:paraId="4B63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3E310CB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154A182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7F53280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时效指标</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586CC8CD">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2022年1-12月前</w:t>
            </w:r>
          </w:p>
        </w:tc>
        <w:tc>
          <w:tcPr>
            <w:tcW w:w="516" w:type="dxa"/>
            <w:tcBorders>
              <w:top w:val="nil"/>
              <w:left w:val="nil"/>
              <w:bottom w:val="single" w:color="000000" w:sz="4" w:space="0"/>
              <w:right w:val="single" w:color="000000" w:sz="4" w:space="0"/>
            </w:tcBorders>
            <w:shd w:val="clear" w:color="auto" w:fill="auto"/>
            <w:tcMar>
              <w:left w:w="108" w:type="dxa"/>
              <w:right w:w="108" w:type="dxa"/>
            </w:tcMar>
            <w:vAlign w:val="center"/>
          </w:tcPr>
          <w:p w14:paraId="56C7A86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55" w:type="dxa"/>
            <w:tcBorders>
              <w:top w:val="nil"/>
              <w:left w:val="nil"/>
              <w:bottom w:val="single" w:color="000000" w:sz="4" w:space="0"/>
              <w:right w:val="single" w:color="000000" w:sz="4" w:space="0"/>
            </w:tcBorders>
            <w:shd w:val="clear" w:color="auto" w:fill="auto"/>
            <w:tcMar>
              <w:left w:w="108" w:type="dxa"/>
              <w:right w:w="108" w:type="dxa"/>
            </w:tcMar>
            <w:vAlign w:val="center"/>
          </w:tcPr>
          <w:p w14:paraId="20A8194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w:t>
            </w:r>
          </w:p>
        </w:tc>
        <w:tc>
          <w:tcPr>
            <w:tcW w:w="590" w:type="dxa"/>
            <w:tcBorders>
              <w:top w:val="nil"/>
              <w:left w:val="nil"/>
              <w:bottom w:val="single" w:color="000000" w:sz="4" w:space="0"/>
              <w:right w:val="single" w:color="000000" w:sz="4" w:space="0"/>
            </w:tcBorders>
            <w:shd w:val="clear" w:color="auto" w:fill="auto"/>
            <w:tcMar>
              <w:left w:w="108" w:type="dxa"/>
              <w:right w:w="108" w:type="dxa"/>
            </w:tcMar>
            <w:vAlign w:val="center"/>
          </w:tcPr>
          <w:p w14:paraId="799AA7B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40A379E">
            <w:pPr>
              <w:keepNext w:val="0"/>
              <w:keepLines w:val="0"/>
              <w:widowControl/>
              <w:suppressLineNumbers w:val="0"/>
              <w:spacing w:before="0" w:beforeAutospacing="0" w:after="0" w:afterAutospacing="0" w:line="200" w:lineRule="exact"/>
              <w:ind w:left="0" w:right="0"/>
              <w:jc w:val="center"/>
              <w:rPr>
                <w:rFonts w:hint="eastAsia" w:ascii="仿宋_GB2312" w:hAnsi="仿宋_GB2312" w:eastAsia="仿宋_GB2312" w:cs="仿宋_GB2312"/>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　</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240C8B8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5C5DF4D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428" w:type="dxa"/>
            <w:tcBorders>
              <w:top w:val="nil"/>
              <w:left w:val="nil"/>
              <w:bottom w:val="single" w:color="000000" w:sz="4" w:space="0"/>
              <w:right w:val="single" w:color="000000" w:sz="4" w:space="0"/>
            </w:tcBorders>
            <w:shd w:val="clear" w:color="auto" w:fill="auto"/>
            <w:tcMar>
              <w:left w:w="108" w:type="dxa"/>
              <w:right w:w="108" w:type="dxa"/>
            </w:tcMar>
            <w:vAlign w:val="center"/>
          </w:tcPr>
          <w:p w14:paraId="2B90A2A7">
            <w:pPr>
              <w:keepNext w:val="0"/>
              <w:keepLines w:val="0"/>
              <w:widowControl/>
              <w:suppressLineNumbers w:val="0"/>
              <w:spacing w:before="0" w:beforeAutospacing="0" w:after="0" w:afterAutospacing="0" w:line="200" w:lineRule="exact"/>
              <w:ind w:left="0" w:right="0"/>
              <w:jc w:val="center"/>
              <w:rPr>
                <w:rFonts w:hint="eastAsia" w:ascii="仿宋_GB2312" w:hAnsi="仿宋_GB2312" w:eastAsia="仿宋_GB2312" w:cs="仿宋_GB2312"/>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　　无</w:t>
            </w:r>
          </w:p>
        </w:tc>
      </w:tr>
      <w:tr w14:paraId="6356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141CDC4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vMerge w:val="restart"/>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37C3E917">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效益指标</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7D2A7BA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社会效益指标</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5C76EFC9">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能为省政府制定和实施“十四五”时期全省明确了今后五年将经济建设、科技创新、乡村振兴作为社会发展的主要目标规划，充分发挥其自身所长为科技工作者服务、为创新驱动发展服务、为提高全民科学素质服务、为党和政府科学决策服务。</w:t>
            </w:r>
          </w:p>
        </w:tc>
        <w:tc>
          <w:tcPr>
            <w:tcW w:w="516" w:type="dxa"/>
            <w:tcBorders>
              <w:top w:val="nil"/>
              <w:left w:val="nil"/>
              <w:bottom w:val="single" w:color="000000" w:sz="4" w:space="0"/>
              <w:right w:val="single" w:color="000000" w:sz="4" w:space="0"/>
            </w:tcBorders>
            <w:shd w:val="clear" w:color="auto" w:fill="auto"/>
            <w:tcMar>
              <w:left w:w="108" w:type="dxa"/>
              <w:right w:w="108" w:type="dxa"/>
            </w:tcMar>
            <w:vAlign w:val="center"/>
          </w:tcPr>
          <w:p w14:paraId="5C72CB9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55" w:type="dxa"/>
            <w:tcBorders>
              <w:top w:val="nil"/>
              <w:left w:val="nil"/>
              <w:bottom w:val="single" w:color="000000" w:sz="4" w:space="0"/>
              <w:right w:val="single" w:color="000000" w:sz="4" w:space="0"/>
            </w:tcBorders>
            <w:shd w:val="clear" w:color="auto" w:fill="auto"/>
            <w:tcMar>
              <w:left w:w="108" w:type="dxa"/>
              <w:right w:w="108" w:type="dxa"/>
            </w:tcMar>
            <w:vAlign w:val="center"/>
          </w:tcPr>
          <w:p w14:paraId="291F570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92</w:t>
            </w:r>
          </w:p>
        </w:tc>
        <w:tc>
          <w:tcPr>
            <w:tcW w:w="590" w:type="dxa"/>
            <w:tcBorders>
              <w:top w:val="nil"/>
              <w:left w:val="nil"/>
              <w:bottom w:val="single" w:color="000000" w:sz="4" w:space="0"/>
              <w:right w:val="single" w:color="000000" w:sz="4" w:space="0"/>
            </w:tcBorders>
            <w:shd w:val="clear" w:color="auto" w:fill="auto"/>
            <w:tcMar>
              <w:left w:w="108" w:type="dxa"/>
              <w:right w:w="108" w:type="dxa"/>
            </w:tcMar>
            <w:vAlign w:val="center"/>
          </w:tcPr>
          <w:p w14:paraId="690E094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24F3F375">
            <w:pPr>
              <w:keepNext w:val="0"/>
              <w:keepLines w:val="0"/>
              <w:widowControl/>
              <w:suppressLineNumbers w:val="0"/>
              <w:spacing w:before="0" w:beforeAutospacing="0" w:after="0" w:afterAutospacing="0" w:line="200" w:lineRule="exact"/>
              <w:ind w:left="0" w:right="0"/>
              <w:jc w:val="center"/>
              <w:rPr>
                <w:rFonts w:hint="eastAsia" w:ascii="仿宋_GB2312" w:hAnsi="仿宋_GB2312" w:eastAsia="仿宋_GB2312" w:cs="仿宋_GB2312"/>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　92</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054FA3E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60496F6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　</w:t>
            </w:r>
          </w:p>
        </w:tc>
        <w:tc>
          <w:tcPr>
            <w:tcW w:w="1428" w:type="dxa"/>
            <w:tcBorders>
              <w:top w:val="nil"/>
              <w:left w:val="nil"/>
              <w:bottom w:val="single" w:color="000000" w:sz="4" w:space="0"/>
              <w:right w:val="single" w:color="000000" w:sz="4" w:space="0"/>
            </w:tcBorders>
            <w:shd w:val="clear" w:color="auto" w:fill="auto"/>
            <w:tcMar>
              <w:left w:w="108" w:type="dxa"/>
              <w:right w:w="108" w:type="dxa"/>
            </w:tcMar>
            <w:vAlign w:val="center"/>
          </w:tcPr>
          <w:p w14:paraId="312C3C21">
            <w:pPr>
              <w:keepNext w:val="0"/>
              <w:keepLines w:val="0"/>
              <w:widowControl/>
              <w:suppressLineNumbers w:val="0"/>
              <w:spacing w:before="0" w:beforeAutospacing="0" w:after="0" w:afterAutospacing="0" w:line="200" w:lineRule="exact"/>
              <w:ind w:left="0" w:right="0"/>
              <w:jc w:val="center"/>
              <w:rPr>
                <w:rFonts w:hint="eastAsia" w:ascii="仿宋_GB2312" w:hAnsi="仿宋_GB2312" w:eastAsia="仿宋_GB2312" w:cs="仿宋_GB2312"/>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　无　</w:t>
            </w:r>
          </w:p>
        </w:tc>
      </w:tr>
      <w:tr w14:paraId="18CD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187B48D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204178E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01517D2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可持续影响指标</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193AC341">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影响力</w:t>
            </w:r>
          </w:p>
        </w:tc>
        <w:tc>
          <w:tcPr>
            <w:tcW w:w="516" w:type="dxa"/>
            <w:tcBorders>
              <w:top w:val="nil"/>
              <w:left w:val="nil"/>
              <w:bottom w:val="single" w:color="000000" w:sz="4" w:space="0"/>
              <w:right w:val="single" w:color="000000" w:sz="4" w:space="0"/>
            </w:tcBorders>
            <w:shd w:val="clear" w:color="auto" w:fill="auto"/>
            <w:tcMar>
              <w:left w:w="108" w:type="dxa"/>
              <w:right w:w="108" w:type="dxa"/>
            </w:tcMar>
            <w:vAlign w:val="center"/>
          </w:tcPr>
          <w:p w14:paraId="440CDC2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55" w:type="dxa"/>
            <w:tcBorders>
              <w:top w:val="nil"/>
              <w:left w:val="nil"/>
              <w:bottom w:val="single" w:color="000000" w:sz="4" w:space="0"/>
              <w:right w:val="single" w:color="000000" w:sz="4" w:space="0"/>
            </w:tcBorders>
            <w:shd w:val="clear" w:color="auto" w:fill="auto"/>
            <w:tcMar>
              <w:left w:w="108" w:type="dxa"/>
              <w:right w:w="108" w:type="dxa"/>
            </w:tcMar>
            <w:vAlign w:val="center"/>
          </w:tcPr>
          <w:p w14:paraId="4A701D6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w:t>
            </w:r>
          </w:p>
        </w:tc>
        <w:tc>
          <w:tcPr>
            <w:tcW w:w="590" w:type="dxa"/>
            <w:tcBorders>
              <w:top w:val="nil"/>
              <w:left w:val="nil"/>
              <w:bottom w:val="single" w:color="000000" w:sz="4" w:space="0"/>
              <w:right w:val="single" w:color="000000" w:sz="4" w:space="0"/>
            </w:tcBorders>
            <w:shd w:val="clear" w:color="auto" w:fill="auto"/>
            <w:tcMar>
              <w:left w:w="108" w:type="dxa"/>
              <w:right w:w="108" w:type="dxa"/>
            </w:tcMar>
            <w:vAlign w:val="center"/>
          </w:tcPr>
          <w:p w14:paraId="278EC1B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7008FE72">
            <w:pPr>
              <w:keepNext w:val="0"/>
              <w:keepLines w:val="0"/>
              <w:widowControl/>
              <w:suppressLineNumbers w:val="0"/>
              <w:spacing w:before="0" w:beforeAutospacing="0" w:after="0" w:afterAutospacing="0" w:line="200" w:lineRule="exact"/>
              <w:ind w:left="0" w:right="0"/>
              <w:jc w:val="center"/>
              <w:rPr>
                <w:rFonts w:hint="eastAsia" w:ascii="仿宋_GB2312" w:hAnsi="仿宋_GB2312" w:eastAsia="仿宋_GB2312" w:cs="仿宋_GB2312"/>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2　</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0B8197A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29E5E8F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　10</w:t>
            </w:r>
          </w:p>
        </w:tc>
        <w:tc>
          <w:tcPr>
            <w:tcW w:w="1428" w:type="dxa"/>
            <w:tcBorders>
              <w:top w:val="nil"/>
              <w:left w:val="nil"/>
              <w:bottom w:val="single" w:color="000000" w:sz="4" w:space="0"/>
              <w:right w:val="single" w:color="000000" w:sz="4" w:space="0"/>
            </w:tcBorders>
            <w:shd w:val="clear" w:color="auto" w:fill="auto"/>
            <w:tcMar>
              <w:left w:w="108" w:type="dxa"/>
              <w:right w:w="108" w:type="dxa"/>
            </w:tcMar>
            <w:vAlign w:val="center"/>
          </w:tcPr>
          <w:p w14:paraId="21B3BD60">
            <w:pPr>
              <w:keepNext w:val="0"/>
              <w:keepLines w:val="0"/>
              <w:widowControl/>
              <w:suppressLineNumbers w:val="0"/>
              <w:spacing w:before="0" w:beforeAutospacing="0" w:after="0" w:afterAutospacing="0" w:line="200" w:lineRule="exact"/>
              <w:ind w:left="0" w:right="0"/>
              <w:jc w:val="center"/>
              <w:rPr>
                <w:rFonts w:hint="eastAsia" w:ascii="仿宋_GB2312" w:hAnsi="仿宋_GB2312" w:eastAsia="仿宋_GB2312" w:cs="仿宋_GB2312"/>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　无　</w:t>
            </w:r>
          </w:p>
        </w:tc>
      </w:tr>
      <w:tr w14:paraId="7638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5C4A72E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B277F0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满意度指标</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336062F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服务对象满意度指标</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584CD8AD">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政府各部门、各阶层群众满意度可达93左右。</w:t>
            </w:r>
          </w:p>
        </w:tc>
        <w:tc>
          <w:tcPr>
            <w:tcW w:w="516" w:type="dxa"/>
            <w:tcBorders>
              <w:top w:val="nil"/>
              <w:left w:val="nil"/>
              <w:bottom w:val="single" w:color="000000" w:sz="4" w:space="0"/>
              <w:right w:val="single" w:color="000000" w:sz="4" w:space="0"/>
            </w:tcBorders>
            <w:shd w:val="clear" w:color="auto" w:fill="auto"/>
            <w:tcMar>
              <w:left w:w="108" w:type="dxa"/>
              <w:right w:w="108" w:type="dxa"/>
            </w:tcMar>
            <w:vAlign w:val="center"/>
          </w:tcPr>
          <w:p w14:paraId="6ACBFC2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5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204D32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93</w:t>
            </w:r>
          </w:p>
        </w:tc>
        <w:tc>
          <w:tcPr>
            <w:tcW w:w="590" w:type="dxa"/>
            <w:tcBorders>
              <w:top w:val="nil"/>
              <w:left w:val="nil"/>
              <w:bottom w:val="single" w:color="000000" w:sz="4" w:space="0"/>
              <w:right w:val="single" w:color="000000" w:sz="4" w:space="0"/>
            </w:tcBorders>
            <w:shd w:val="clear" w:color="auto" w:fill="auto"/>
            <w:tcMar>
              <w:left w:w="108" w:type="dxa"/>
              <w:right w:w="108" w:type="dxa"/>
            </w:tcMar>
            <w:vAlign w:val="center"/>
          </w:tcPr>
          <w:p w14:paraId="131F9AB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12B164C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87</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733990A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76D6E82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8</w:t>
            </w:r>
          </w:p>
        </w:tc>
        <w:tc>
          <w:tcPr>
            <w:tcW w:w="1428" w:type="dxa"/>
            <w:tcBorders>
              <w:top w:val="nil"/>
              <w:left w:val="nil"/>
              <w:bottom w:val="single" w:color="000000" w:sz="4" w:space="0"/>
              <w:right w:val="single" w:color="000000" w:sz="4" w:space="0"/>
            </w:tcBorders>
            <w:shd w:val="clear" w:color="auto" w:fill="auto"/>
            <w:tcMar>
              <w:left w:w="108" w:type="dxa"/>
              <w:right w:w="108" w:type="dxa"/>
            </w:tcMar>
            <w:vAlign w:val="center"/>
          </w:tcPr>
          <w:p w14:paraId="6F80CD94">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color w:val="000000"/>
                <w:kern w:val="0"/>
                <w:sz w:val="15"/>
                <w:szCs w:val="15"/>
                <w:lang w:val="en-US"/>
              </w:rPr>
            </w:pPr>
            <w:r>
              <w:rPr>
                <w:rFonts w:hint="eastAsia" w:ascii="宋体" w:hAnsi="宋体" w:eastAsia="宋体" w:cs="宋体"/>
                <w:kern w:val="0"/>
                <w:sz w:val="15"/>
                <w:szCs w:val="15"/>
                <w:lang w:val="en-US" w:eastAsia="zh-CN" w:bidi="ar"/>
              </w:rPr>
              <w:t>相关部门、群众满意度未能达到设定目标，自评扣2分。</w:t>
            </w:r>
            <w:r>
              <w:rPr>
                <w:rFonts w:hint="eastAsia" w:ascii="微软雅黑" w:hAnsi="微软雅黑" w:eastAsia="微软雅黑" w:cs="宋体"/>
                <w:i/>
                <w:iCs/>
                <w:color w:val="000000"/>
                <w:kern w:val="0"/>
                <w:sz w:val="15"/>
                <w:szCs w:val="15"/>
                <w:lang w:val="en-US" w:eastAsia="zh-CN" w:bidi="ar"/>
              </w:rPr>
              <w:t>　</w:t>
            </w:r>
          </w:p>
        </w:tc>
      </w:tr>
      <w:tr w14:paraId="37FC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5385BD0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5770240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成本指标</w:t>
            </w:r>
          </w:p>
        </w:tc>
        <w:tc>
          <w:tcPr>
            <w:tcW w:w="854" w:type="dxa"/>
            <w:tcBorders>
              <w:top w:val="nil"/>
              <w:left w:val="nil"/>
              <w:bottom w:val="single" w:color="000000" w:sz="4" w:space="0"/>
              <w:right w:val="single" w:color="000000" w:sz="4" w:space="0"/>
            </w:tcBorders>
            <w:shd w:val="clear" w:color="auto" w:fill="auto"/>
            <w:tcMar>
              <w:left w:w="108" w:type="dxa"/>
              <w:right w:w="108" w:type="dxa"/>
            </w:tcMar>
            <w:vAlign w:val="center"/>
          </w:tcPr>
          <w:p w14:paraId="328402B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经济成本指标</w:t>
            </w:r>
          </w:p>
        </w:tc>
        <w:tc>
          <w:tcPr>
            <w:tcW w:w="2071" w:type="dxa"/>
            <w:tcBorders>
              <w:top w:val="nil"/>
              <w:left w:val="nil"/>
              <w:bottom w:val="single" w:color="000000" w:sz="4" w:space="0"/>
              <w:right w:val="single" w:color="000000" w:sz="4" w:space="0"/>
            </w:tcBorders>
            <w:shd w:val="clear" w:color="auto" w:fill="auto"/>
            <w:tcMar>
              <w:left w:w="108" w:type="dxa"/>
              <w:right w:w="108" w:type="dxa"/>
            </w:tcMar>
            <w:vAlign w:val="center"/>
          </w:tcPr>
          <w:p w14:paraId="17972490">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全民科学素质提升相关工作成本</w:t>
            </w:r>
          </w:p>
        </w:tc>
        <w:tc>
          <w:tcPr>
            <w:tcW w:w="516" w:type="dxa"/>
            <w:tcBorders>
              <w:top w:val="nil"/>
              <w:left w:val="nil"/>
              <w:bottom w:val="single" w:color="000000" w:sz="4" w:space="0"/>
              <w:right w:val="single" w:color="000000" w:sz="4" w:space="0"/>
            </w:tcBorders>
            <w:shd w:val="clear" w:color="auto" w:fill="auto"/>
            <w:tcMar>
              <w:left w:w="108" w:type="dxa"/>
              <w:right w:w="108" w:type="dxa"/>
            </w:tcMar>
            <w:vAlign w:val="center"/>
          </w:tcPr>
          <w:p w14:paraId="5E66FBA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555" w:type="dxa"/>
            <w:tcBorders>
              <w:top w:val="nil"/>
              <w:left w:val="nil"/>
              <w:bottom w:val="single" w:color="000000" w:sz="4" w:space="0"/>
              <w:right w:val="single" w:color="000000" w:sz="4" w:space="0"/>
            </w:tcBorders>
            <w:shd w:val="clear" w:color="auto" w:fill="auto"/>
            <w:tcMar>
              <w:left w:w="108" w:type="dxa"/>
              <w:right w:w="108" w:type="dxa"/>
            </w:tcMar>
            <w:vAlign w:val="center"/>
          </w:tcPr>
          <w:p w14:paraId="14A850C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15</w:t>
            </w:r>
          </w:p>
        </w:tc>
        <w:tc>
          <w:tcPr>
            <w:tcW w:w="590" w:type="dxa"/>
            <w:tcBorders>
              <w:top w:val="nil"/>
              <w:left w:val="nil"/>
              <w:bottom w:val="single" w:color="000000" w:sz="4" w:space="0"/>
              <w:right w:val="single" w:color="000000" w:sz="4" w:space="0"/>
            </w:tcBorders>
            <w:shd w:val="clear" w:color="auto" w:fill="auto"/>
            <w:tcMar>
              <w:left w:w="108" w:type="dxa"/>
              <w:right w:w="108" w:type="dxa"/>
            </w:tcMar>
            <w:vAlign w:val="center"/>
          </w:tcPr>
          <w:p w14:paraId="13DC794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万元</w:t>
            </w:r>
          </w:p>
        </w:tc>
        <w:tc>
          <w:tcPr>
            <w:tcW w:w="965" w:type="dxa"/>
            <w:tcBorders>
              <w:top w:val="nil"/>
              <w:left w:val="nil"/>
              <w:bottom w:val="single" w:color="000000" w:sz="4" w:space="0"/>
              <w:right w:val="single" w:color="000000" w:sz="4" w:space="0"/>
            </w:tcBorders>
            <w:shd w:val="clear" w:color="auto" w:fill="auto"/>
            <w:tcMar>
              <w:left w:w="108" w:type="dxa"/>
              <w:right w:w="108" w:type="dxa"/>
            </w:tcMar>
            <w:vAlign w:val="center"/>
          </w:tcPr>
          <w:p w14:paraId="083DA5E8">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color w:val="000000"/>
                <w:kern w:val="0"/>
                <w:sz w:val="15"/>
                <w:szCs w:val="15"/>
                <w:lang w:val="en-US"/>
              </w:rPr>
            </w:pPr>
            <w:r>
              <w:rPr>
                <w:rFonts w:hint="eastAsia" w:ascii="仿宋_GB2312" w:hAnsi="仿宋_GB2312" w:eastAsia="仿宋_GB2312" w:cs="仿宋_GB2312"/>
                <w:color w:val="000000"/>
                <w:kern w:val="0"/>
                <w:sz w:val="15"/>
                <w:szCs w:val="15"/>
                <w:lang w:val="en-US" w:eastAsia="zh-CN" w:bidi="ar"/>
              </w:rPr>
              <w:t>15　</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366FBF0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2B7FD41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　</w:t>
            </w:r>
          </w:p>
        </w:tc>
        <w:tc>
          <w:tcPr>
            <w:tcW w:w="1428" w:type="dxa"/>
            <w:tcBorders>
              <w:top w:val="nil"/>
              <w:left w:val="nil"/>
              <w:bottom w:val="single" w:color="000000" w:sz="4" w:space="0"/>
              <w:right w:val="single" w:color="000000" w:sz="4" w:space="0"/>
            </w:tcBorders>
            <w:shd w:val="clear" w:color="auto" w:fill="auto"/>
            <w:tcMar>
              <w:left w:w="108" w:type="dxa"/>
              <w:right w:w="108" w:type="dxa"/>
            </w:tcMar>
            <w:vAlign w:val="center"/>
          </w:tcPr>
          <w:p w14:paraId="208C67C1">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lang w:val="en-US" w:eastAsia="zh-CN" w:bidi="ar"/>
              </w:rPr>
              <w:t>　</w:t>
            </w:r>
            <w:r>
              <w:rPr>
                <w:rFonts w:hint="eastAsia" w:ascii="仿宋_GB2312" w:hAnsi="仿宋_GB2312" w:eastAsia="仿宋_GB2312" w:cs="仿宋_GB2312"/>
                <w:color w:val="000000"/>
                <w:kern w:val="0"/>
                <w:sz w:val="15"/>
                <w:szCs w:val="15"/>
                <w:lang w:val="en-US" w:eastAsia="zh-CN" w:bidi="ar"/>
              </w:rPr>
              <w:t>无</w:t>
            </w:r>
          </w:p>
        </w:tc>
      </w:tr>
      <w:tr w14:paraId="0A21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 w:hRule="atLeast"/>
        </w:trPr>
        <w:tc>
          <w:tcPr>
            <w:tcW w:w="6939"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9B542A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合计</w:t>
            </w:r>
          </w:p>
        </w:tc>
        <w:tc>
          <w:tcPr>
            <w:tcW w:w="506" w:type="dxa"/>
            <w:tcBorders>
              <w:top w:val="nil"/>
              <w:left w:val="nil"/>
              <w:bottom w:val="single" w:color="000000" w:sz="4" w:space="0"/>
              <w:right w:val="single" w:color="000000" w:sz="4" w:space="0"/>
            </w:tcBorders>
            <w:shd w:val="clear" w:color="auto" w:fill="auto"/>
            <w:tcMar>
              <w:left w:w="108" w:type="dxa"/>
              <w:right w:w="108" w:type="dxa"/>
            </w:tcMar>
            <w:vAlign w:val="center"/>
          </w:tcPr>
          <w:p w14:paraId="61FE266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w:t>
            </w:r>
          </w:p>
        </w:tc>
        <w:tc>
          <w:tcPr>
            <w:tcW w:w="492" w:type="dxa"/>
            <w:tcBorders>
              <w:top w:val="nil"/>
              <w:left w:val="nil"/>
              <w:bottom w:val="single" w:color="000000" w:sz="4" w:space="0"/>
              <w:right w:val="single" w:color="000000" w:sz="4" w:space="0"/>
            </w:tcBorders>
            <w:shd w:val="clear" w:color="auto" w:fill="auto"/>
            <w:tcMar>
              <w:left w:w="108" w:type="dxa"/>
              <w:right w:w="108" w:type="dxa"/>
            </w:tcMar>
            <w:vAlign w:val="center"/>
          </w:tcPr>
          <w:p w14:paraId="50CA0949">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98　</w:t>
            </w:r>
          </w:p>
        </w:tc>
        <w:tc>
          <w:tcPr>
            <w:tcW w:w="1428" w:type="dxa"/>
            <w:tcBorders>
              <w:top w:val="nil"/>
              <w:left w:val="nil"/>
              <w:bottom w:val="single" w:color="000000" w:sz="4" w:space="0"/>
              <w:right w:val="single" w:color="000000" w:sz="4" w:space="0"/>
            </w:tcBorders>
            <w:shd w:val="clear" w:color="auto" w:fill="auto"/>
            <w:tcMar>
              <w:left w:w="108" w:type="dxa"/>
              <w:right w:w="108" w:type="dxa"/>
            </w:tcMar>
            <w:vAlign w:val="center"/>
          </w:tcPr>
          <w:p w14:paraId="290B5C9A">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　</w:t>
            </w:r>
          </w:p>
        </w:tc>
      </w:tr>
      <w:tr w14:paraId="27B4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23" w:type="dxa"/>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02A4643A">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评价结论</w:t>
            </w:r>
          </w:p>
        </w:tc>
        <w:tc>
          <w:tcPr>
            <w:tcW w:w="8842" w:type="dxa"/>
            <w:gridSpan w:val="10"/>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5D27D73">
            <w:pPr>
              <w:keepNext w:val="0"/>
              <w:keepLines w:val="0"/>
              <w:widowControl/>
              <w:suppressLineNumbers w:val="0"/>
              <w:spacing w:before="0" w:beforeAutospacing="0" w:after="0" w:afterAutospacing="0" w:line="200" w:lineRule="exact"/>
              <w:ind w:left="0" w:right="0"/>
              <w:jc w:val="left"/>
              <w:rPr>
                <w:rFonts w:hint="eastAsia" w:ascii="微软雅黑" w:hAnsi="微软雅黑" w:eastAsia="微软雅黑" w:cs="宋体"/>
                <w:i/>
                <w:iCs/>
                <w:color w:val="000000"/>
                <w:kern w:val="0"/>
                <w:sz w:val="15"/>
                <w:szCs w:val="15"/>
                <w:lang w:val="en-US"/>
              </w:rPr>
            </w:pPr>
            <w:r>
              <w:rPr>
                <w:rFonts w:hint="eastAsia" w:ascii="宋体" w:hAnsi="宋体" w:eastAsia="宋体" w:cs="宋体"/>
                <w:color w:val="000000"/>
                <w:kern w:val="0"/>
                <w:sz w:val="15"/>
                <w:szCs w:val="15"/>
                <w:lang w:val="en-US" w:eastAsia="zh-CN" w:bidi="ar"/>
              </w:rPr>
              <w:t>开展了全国科普日和大篷车进藏区、进校园、科学素质能力提升培训、科技小院调研、学术交流等活动，购买了科普宣传品、科普资源包等。从产出、效益、满意度指标等进行了以上打分，预算执行率100%，执行情况良好，自评得分98分。</w:t>
            </w:r>
          </w:p>
        </w:tc>
      </w:tr>
      <w:tr w14:paraId="6E5C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523" w:type="dxa"/>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1A0AC7FB">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存在问题</w:t>
            </w:r>
          </w:p>
        </w:tc>
        <w:tc>
          <w:tcPr>
            <w:tcW w:w="8842" w:type="dxa"/>
            <w:gridSpan w:val="10"/>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B836FF4">
            <w:pPr>
              <w:keepNext w:val="0"/>
              <w:keepLines w:val="0"/>
              <w:widowControl/>
              <w:suppressLineNumbers w:val="0"/>
              <w:spacing w:before="0" w:beforeAutospacing="0" w:after="0" w:afterAutospacing="0" w:line="200" w:lineRule="exact"/>
              <w:ind w:left="0" w:right="0"/>
              <w:jc w:val="left"/>
              <w:rPr>
                <w:rFonts w:hint="eastAsia" w:ascii="微软雅黑" w:hAnsi="微软雅黑" w:eastAsia="微软雅黑" w:cs="宋体"/>
                <w:i/>
                <w:iCs/>
                <w:color w:val="000000"/>
                <w:kern w:val="0"/>
                <w:sz w:val="15"/>
                <w:szCs w:val="15"/>
                <w:lang w:val="en-US"/>
              </w:rPr>
            </w:pPr>
            <w:r>
              <w:rPr>
                <w:rFonts w:hint="eastAsia" w:ascii="宋体" w:hAnsi="宋体" w:eastAsia="宋体" w:cs="宋体"/>
                <w:kern w:val="0"/>
                <w:sz w:val="15"/>
                <w:szCs w:val="15"/>
                <w:lang w:val="en-US" w:eastAsia="zh-CN" w:bidi="ar"/>
              </w:rPr>
              <w:t>相关部门、群众满意度未能达到设定目标。</w:t>
            </w:r>
          </w:p>
        </w:tc>
      </w:tr>
      <w:tr w14:paraId="3029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523" w:type="dxa"/>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2F2060E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改进措施</w:t>
            </w:r>
          </w:p>
        </w:tc>
        <w:tc>
          <w:tcPr>
            <w:tcW w:w="8842" w:type="dxa"/>
            <w:gridSpan w:val="10"/>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2BB898B">
            <w:pPr>
              <w:keepNext w:val="0"/>
              <w:keepLines w:val="0"/>
              <w:widowControl/>
              <w:suppressLineNumbers w:val="0"/>
              <w:spacing w:before="0" w:beforeAutospacing="0" w:after="0" w:afterAutospacing="0" w:line="200" w:lineRule="exact"/>
              <w:ind w:left="0" w:right="0"/>
              <w:jc w:val="left"/>
              <w:rPr>
                <w:rFonts w:hint="eastAsia" w:ascii="微软雅黑" w:hAnsi="微软雅黑" w:eastAsia="微软雅黑" w:cs="宋体"/>
                <w:i/>
                <w:iCs/>
                <w:color w:val="000000"/>
                <w:kern w:val="0"/>
                <w:sz w:val="15"/>
                <w:szCs w:val="15"/>
                <w:lang w:val="en-US"/>
              </w:rPr>
            </w:pPr>
            <w:r>
              <w:rPr>
                <w:rFonts w:hint="eastAsia" w:ascii="宋体" w:hAnsi="宋体" w:eastAsia="宋体" w:cs="宋体"/>
                <w:color w:val="000000"/>
                <w:kern w:val="0"/>
                <w:sz w:val="15"/>
                <w:szCs w:val="15"/>
                <w:lang w:val="en-US" w:eastAsia="zh-CN" w:bidi="ar"/>
              </w:rPr>
              <w:t>提升项目服务地区、人群服务范围，提升群众满意度。</w:t>
            </w:r>
          </w:p>
        </w:tc>
      </w:tr>
      <w:tr w14:paraId="0C7A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829"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E38BBDD">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项目负责人：赵菲</w:t>
            </w:r>
          </w:p>
        </w:tc>
        <w:tc>
          <w:tcPr>
            <w:tcW w:w="4536" w:type="dxa"/>
            <w:gridSpan w:val="6"/>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56C4926">
            <w:pPr>
              <w:keepNext w:val="0"/>
              <w:keepLines w:val="0"/>
              <w:widowControl/>
              <w:suppressLineNumbers w:val="0"/>
              <w:spacing w:before="0" w:beforeAutospacing="0" w:after="0" w:afterAutospacing="0" w:line="200" w:lineRule="exact"/>
              <w:ind w:left="0" w:right="0"/>
              <w:jc w:val="left"/>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lang w:val="en-US" w:eastAsia="zh-CN" w:bidi="ar"/>
              </w:rPr>
              <w:t>财务负责人：毛正华</w:t>
            </w:r>
          </w:p>
        </w:tc>
      </w:tr>
    </w:tbl>
    <w:tbl>
      <w:tblPr>
        <w:tblStyle w:val="18"/>
        <w:tblW w:w="10006" w:type="dxa"/>
        <w:tblInd w:w="-8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9"/>
        <w:gridCol w:w="357"/>
        <w:gridCol w:w="252"/>
        <w:gridCol w:w="602"/>
        <w:gridCol w:w="773"/>
        <w:gridCol w:w="666"/>
        <w:gridCol w:w="131"/>
        <w:gridCol w:w="1104"/>
        <w:gridCol w:w="283"/>
        <w:gridCol w:w="634"/>
        <w:gridCol w:w="277"/>
        <w:gridCol w:w="127"/>
        <w:gridCol w:w="95"/>
        <w:gridCol w:w="286"/>
        <w:gridCol w:w="58"/>
        <w:gridCol w:w="410"/>
        <w:gridCol w:w="138"/>
        <w:gridCol w:w="132"/>
        <w:gridCol w:w="403"/>
        <w:gridCol w:w="141"/>
        <w:gridCol w:w="544"/>
        <w:gridCol w:w="4"/>
        <w:gridCol w:w="370"/>
        <w:gridCol w:w="1570"/>
      </w:tblGrid>
      <w:tr w14:paraId="68EA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649" w:type="dxa"/>
          <w:trHeight w:val="500" w:hRule="atLeast"/>
        </w:trPr>
        <w:tc>
          <w:tcPr>
            <w:tcW w:w="935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2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黑体" w:hAnsi="宋体" w:eastAsia="黑体" w:cs="黑体"/>
                <w:b/>
                <w:bCs w:val="0"/>
                <w:color w:val="000000"/>
                <w:kern w:val="0"/>
                <w:sz w:val="24"/>
                <w:szCs w:val="24"/>
                <w:lang w:bidi="ar"/>
              </w:rPr>
            </w:pPr>
            <w:bookmarkStart w:id="111" w:name="OLE_LINK42" w:colFirst="0" w:colLast="1"/>
          </w:p>
          <w:p w14:paraId="71554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rPr>
            </w:pPr>
            <w:r>
              <w:rPr>
                <w:rFonts w:hint="eastAsia" w:ascii="黑体" w:hAnsi="宋体" w:eastAsia="黑体" w:cs="黑体"/>
                <w:b/>
                <w:bCs w:val="0"/>
                <w:color w:val="000000"/>
                <w:kern w:val="0"/>
                <w:sz w:val="24"/>
                <w:szCs w:val="24"/>
                <w:lang w:bidi="ar"/>
              </w:rPr>
              <w:t>部门预算项目支出绩效自评表（</w:t>
            </w:r>
            <w:r>
              <w:rPr>
                <w:rFonts w:hint="eastAsia" w:ascii="黑体" w:hAnsi="宋体" w:eastAsia="黑体" w:cs="黑体"/>
                <w:b/>
                <w:bCs w:val="0"/>
                <w:color w:val="000000"/>
                <w:kern w:val="0"/>
                <w:sz w:val="24"/>
                <w:szCs w:val="24"/>
                <w:lang w:val="en-US" w:bidi="ar"/>
              </w:rPr>
              <w:t>2023</w:t>
            </w:r>
            <w:r>
              <w:rPr>
                <w:rFonts w:hint="eastAsia" w:ascii="黑体" w:hAnsi="宋体" w:eastAsia="黑体" w:cs="黑体"/>
                <w:b/>
                <w:bCs w:val="0"/>
                <w:color w:val="000000"/>
                <w:kern w:val="0"/>
                <w:sz w:val="24"/>
                <w:szCs w:val="24"/>
                <w:lang w:bidi="ar"/>
              </w:rPr>
              <w:t>年度）</w:t>
            </w:r>
          </w:p>
        </w:tc>
      </w:tr>
      <w:bookmarkEnd w:id="111"/>
      <w:tr w14:paraId="1742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91" w:hRule="atLeast"/>
        </w:trPr>
        <w:tc>
          <w:tcPr>
            <w:tcW w:w="19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D94F">
            <w:pPr>
              <w:keepNext w:val="0"/>
              <w:keepLines w:val="0"/>
              <w:widowControl/>
              <w:suppressLineNumbers w:val="0"/>
              <w:spacing w:before="0" w:beforeAutospacing="0" w:after="0" w:afterAutospacing="0" w:line="180" w:lineRule="exact"/>
              <w:ind w:left="0" w:leftChars="0" w:right="0" w:rightChars="0"/>
              <w:jc w:val="left"/>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项目名称</w:t>
            </w:r>
          </w:p>
        </w:tc>
        <w:tc>
          <w:tcPr>
            <w:tcW w:w="737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2497">
            <w:pPr>
              <w:keepNext w:val="0"/>
              <w:keepLines w:val="0"/>
              <w:widowControl/>
              <w:suppressLineNumbers w:val="0"/>
              <w:spacing w:before="0" w:beforeAutospacing="0" w:after="0" w:afterAutospacing="0" w:line="180" w:lineRule="exact"/>
              <w:ind w:left="0" w:leftChars="0" w:right="0" w:rightChars="0"/>
              <w:jc w:val="left"/>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val="en-US" w:bidi="ar"/>
              </w:rPr>
              <w:t>51340022T000000278902-</w:t>
            </w:r>
            <w:r>
              <w:rPr>
                <w:rFonts w:hint="eastAsia" w:ascii="宋体" w:hAnsi="宋体" w:eastAsia="宋体" w:cs="宋体"/>
                <w:color w:val="000000"/>
                <w:kern w:val="0"/>
                <w:sz w:val="15"/>
                <w:szCs w:val="15"/>
                <w:lang w:bidi="ar"/>
              </w:rPr>
              <w:t>学术交流活动业务经费</w:t>
            </w:r>
          </w:p>
        </w:tc>
      </w:tr>
      <w:tr w14:paraId="45CB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565" w:hRule="atLeast"/>
        </w:trPr>
        <w:tc>
          <w:tcPr>
            <w:tcW w:w="19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82033">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主管部门</w:t>
            </w:r>
          </w:p>
        </w:tc>
        <w:tc>
          <w:tcPr>
            <w:tcW w:w="40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5E9D">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凉山州科学技术协会部门</w:t>
            </w:r>
          </w:p>
        </w:tc>
        <w:tc>
          <w:tcPr>
            <w:tcW w:w="673" w:type="dxa"/>
            <w:gridSpan w:val="3"/>
            <w:shd w:val="clear" w:color="auto" w:fill="auto"/>
            <w:tcMar>
              <w:top w:w="15" w:type="dxa"/>
              <w:left w:w="15" w:type="dxa"/>
              <w:right w:w="15" w:type="dxa"/>
            </w:tcMar>
            <w:vAlign w:val="center"/>
          </w:tcPr>
          <w:p w14:paraId="1AC712CA">
            <w:pPr>
              <w:keepNext w:val="0"/>
              <w:keepLines w:val="0"/>
              <w:widowControl/>
              <w:suppressLineNumbers w:val="0"/>
              <w:spacing w:before="0" w:beforeAutospacing="0" w:after="0" w:afterAutospacing="0" w:line="180" w:lineRule="exact"/>
              <w:ind w:left="0" w:right="0"/>
              <w:jc w:val="left"/>
              <w:textAlignment w:val="center"/>
              <w:rPr>
                <w:rFonts w:hint="eastAsia" w:ascii="黑体" w:hAnsi="宋体" w:eastAsia="黑体" w:cs="黑体"/>
                <w:color w:val="000000"/>
                <w:sz w:val="15"/>
                <w:szCs w:val="15"/>
                <w:lang w:val="en-US"/>
              </w:rPr>
            </w:pPr>
            <w:r>
              <w:rPr>
                <w:rFonts w:hint="eastAsia" w:ascii="黑体" w:hAnsi="宋体" w:eastAsia="黑体" w:cs="黑体"/>
                <w:color w:val="000000"/>
                <w:kern w:val="0"/>
                <w:sz w:val="15"/>
                <w:szCs w:val="15"/>
                <w:lang w:bidi="ar"/>
              </w:rPr>
              <w:t>实施单位 （盖章）</w:t>
            </w:r>
          </w:p>
        </w:tc>
        <w:tc>
          <w:tcPr>
            <w:tcW w:w="26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CF8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凉山州科学技术协会</w:t>
            </w:r>
          </w:p>
        </w:tc>
      </w:tr>
      <w:tr w14:paraId="64CA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19" w:hRule="atLeast"/>
        </w:trPr>
        <w:tc>
          <w:tcPr>
            <w:tcW w:w="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62FC">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项目基本情况</w:t>
            </w:r>
          </w:p>
        </w:tc>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D8D9">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1.</w:t>
            </w:r>
            <w:r>
              <w:rPr>
                <w:rFonts w:hint="eastAsia" w:ascii="宋体" w:hAnsi="宋体" w:eastAsia="宋体" w:cs="宋体"/>
                <w:color w:val="000000"/>
                <w:kern w:val="0"/>
                <w:sz w:val="15"/>
                <w:szCs w:val="15"/>
                <w:lang w:bidi="ar"/>
              </w:rPr>
              <w:t>项目年度目标完成情况</w:t>
            </w:r>
          </w:p>
        </w:tc>
        <w:tc>
          <w:tcPr>
            <w:tcW w:w="40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2882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项目年度目标</w:t>
            </w:r>
          </w:p>
        </w:tc>
        <w:tc>
          <w:tcPr>
            <w:tcW w:w="330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2AEF">
            <w:pPr>
              <w:keepNext w:val="0"/>
              <w:keepLines w:val="0"/>
              <w:widowControl/>
              <w:suppressLineNumbers w:val="0"/>
              <w:spacing w:before="0" w:beforeAutospacing="0" w:after="0" w:afterAutospacing="0" w:line="180" w:lineRule="exact"/>
              <w:ind w:left="0" w:right="0"/>
              <w:jc w:val="center"/>
              <w:textAlignment w:val="center"/>
              <w:rPr>
                <w:rFonts w:hint="eastAsia" w:ascii="黑体" w:hAnsi="宋体" w:eastAsia="黑体" w:cs="黑体"/>
                <w:color w:val="000000"/>
                <w:sz w:val="15"/>
                <w:szCs w:val="15"/>
                <w:lang w:val="en-US"/>
              </w:rPr>
            </w:pPr>
            <w:r>
              <w:rPr>
                <w:rFonts w:hint="eastAsia" w:ascii="黑体" w:hAnsi="宋体" w:eastAsia="黑体" w:cs="黑体"/>
                <w:color w:val="000000"/>
                <w:kern w:val="0"/>
                <w:sz w:val="15"/>
                <w:szCs w:val="15"/>
                <w:lang w:bidi="ar"/>
              </w:rPr>
              <w:t>年度目标完成情况</w:t>
            </w:r>
          </w:p>
        </w:tc>
      </w:tr>
      <w:tr w14:paraId="57FC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1104"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9A5D">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85A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40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888A">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bidi="ar"/>
              </w:rPr>
              <w:t>开展凉山州第十一届自然科学优秀学术论文评选活动。意在大力推动和实施创新驱动发展战略，营造</w:t>
            </w:r>
            <w:r>
              <w:rPr>
                <w:rFonts w:hint="eastAsia" w:ascii="宋体" w:hAnsi="宋体" w:eastAsia="宋体" w:cs="宋体"/>
                <w:kern w:val="0"/>
                <w:sz w:val="15"/>
                <w:szCs w:val="15"/>
                <w:lang w:val="en-US" w:bidi="ar"/>
              </w:rPr>
              <w:t>“</w:t>
            </w:r>
            <w:r>
              <w:rPr>
                <w:rFonts w:hint="eastAsia" w:ascii="宋体" w:hAnsi="宋体" w:eastAsia="宋体" w:cs="宋体"/>
                <w:kern w:val="0"/>
                <w:sz w:val="15"/>
                <w:szCs w:val="15"/>
                <w:lang w:bidi="ar"/>
              </w:rPr>
              <w:t>尊重劳动、尊重知识、尊重人才</w:t>
            </w:r>
            <w:r>
              <w:rPr>
                <w:rFonts w:hint="eastAsia" w:ascii="宋体" w:hAnsi="宋体" w:eastAsia="宋体" w:cs="宋体"/>
                <w:kern w:val="0"/>
                <w:sz w:val="15"/>
                <w:szCs w:val="15"/>
                <w:lang w:val="en-US" w:bidi="ar"/>
              </w:rPr>
              <w:t>”</w:t>
            </w:r>
            <w:r>
              <w:rPr>
                <w:rFonts w:hint="eastAsia" w:ascii="宋体" w:hAnsi="宋体" w:eastAsia="宋体" w:cs="宋体"/>
                <w:kern w:val="0"/>
                <w:sz w:val="15"/>
                <w:szCs w:val="15"/>
                <w:lang w:bidi="ar"/>
              </w:rPr>
              <w:t>的良好社会氛围，鼓励全州广大科技工作者开展科学研究，探求真理， 促进科学技术的繁荣和发展，为推动全州的科技创新和科技进步做贡献。</w:t>
            </w:r>
          </w:p>
        </w:tc>
        <w:tc>
          <w:tcPr>
            <w:tcW w:w="330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E0E9E">
            <w:pPr>
              <w:keepNext w:val="0"/>
              <w:keepLines w:val="0"/>
              <w:widowControl/>
              <w:suppressLineNumbers w:val="0"/>
              <w:spacing w:before="0" w:beforeAutospacing="0" w:after="0" w:afterAutospacing="0" w:line="180" w:lineRule="exact"/>
              <w:ind w:left="0" w:right="0"/>
              <w:jc w:val="left"/>
              <w:textAlignment w:val="center"/>
              <w:rPr>
                <w:rFonts w:hint="eastAsia" w:ascii="黑体" w:hAnsi="宋体" w:eastAsia="黑体" w:cs="黑体"/>
                <w:sz w:val="15"/>
                <w:szCs w:val="15"/>
                <w:lang w:val="en-US"/>
              </w:rPr>
            </w:pPr>
            <w:r>
              <w:rPr>
                <w:rFonts w:hint="eastAsia" w:ascii="宋体" w:hAnsi="宋体" w:eastAsia="宋体" w:cs="宋体"/>
                <w:kern w:val="0"/>
                <w:sz w:val="15"/>
                <w:szCs w:val="15"/>
                <w:lang w:bidi="ar"/>
              </w:rPr>
              <w:t>完成了凉山州第十一届自然科学优秀学术论文评选活动。经过自行申报、初审、小组评审、专家复审及审议等程序，从收到论文共</w:t>
            </w:r>
            <w:r>
              <w:rPr>
                <w:rFonts w:hint="eastAsia" w:ascii="宋体" w:hAnsi="宋体" w:eastAsia="宋体" w:cs="宋体"/>
                <w:kern w:val="0"/>
                <w:sz w:val="15"/>
                <w:szCs w:val="15"/>
                <w:lang w:val="en-US" w:bidi="ar"/>
              </w:rPr>
              <w:t>182</w:t>
            </w:r>
            <w:r>
              <w:rPr>
                <w:rFonts w:hint="eastAsia" w:ascii="宋体" w:hAnsi="宋体" w:eastAsia="宋体" w:cs="宋体"/>
                <w:kern w:val="0"/>
                <w:sz w:val="15"/>
                <w:szCs w:val="15"/>
                <w:lang w:bidi="ar"/>
              </w:rPr>
              <w:t>篇中评出一、二、三等奖</w:t>
            </w:r>
            <w:r>
              <w:rPr>
                <w:rFonts w:hint="eastAsia" w:ascii="宋体" w:hAnsi="宋体" w:eastAsia="宋体" w:cs="宋体"/>
                <w:kern w:val="0"/>
                <w:sz w:val="15"/>
                <w:szCs w:val="15"/>
                <w:lang w:val="en-US" w:bidi="ar"/>
              </w:rPr>
              <w:t>58</w:t>
            </w:r>
            <w:r>
              <w:rPr>
                <w:rFonts w:hint="eastAsia" w:ascii="宋体" w:hAnsi="宋体" w:eastAsia="宋体" w:cs="宋体"/>
                <w:kern w:val="0"/>
                <w:sz w:val="15"/>
                <w:szCs w:val="15"/>
                <w:lang w:bidi="ar"/>
              </w:rPr>
              <w:t>篇。</w:t>
            </w:r>
          </w:p>
        </w:tc>
      </w:tr>
      <w:tr w14:paraId="5D8B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716"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181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5511">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2.</w:t>
            </w:r>
            <w:r>
              <w:rPr>
                <w:rFonts w:hint="eastAsia" w:ascii="宋体" w:hAnsi="宋体" w:eastAsia="宋体" w:cs="宋体"/>
                <w:color w:val="000000"/>
                <w:kern w:val="0"/>
                <w:sz w:val="15"/>
                <w:szCs w:val="15"/>
                <w:lang w:bidi="ar"/>
              </w:rPr>
              <w:t>项目实施内容及过程概述</w:t>
            </w:r>
          </w:p>
        </w:tc>
        <w:tc>
          <w:tcPr>
            <w:tcW w:w="737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5EE5">
            <w:pPr>
              <w:keepNext w:val="0"/>
              <w:keepLines w:val="0"/>
              <w:widowControl w:val="0"/>
              <w:suppressLineNumbers w:val="0"/>
              <w:spacing w:before="0" w:beforeAutospacing="0" w:after="0" w:afterAutospacing="0" w:line="180" w:lineRule="exact"/>
              <w:ind w:left="0" w:right="0"/>
              <w:jc w:val="both"/>
              <w:rPr>
                <w:rFonts w:hint="eastAsia" w:ascii="宋体" w:hAnsi="宋体" w:eastAsia="宋体" w:cs="宋体"/>
                <w:color w:val="000000"/>
                <w:sz w:val="15"/>
                <w:szCs w:val="15"/>
                <w:lang w:val="en-US"/>
              </w:rPr>
            </w:pPr>
            <w:r>
              <w:rPr>
                <w:rFonts w:hint="eastAsia" w:ascii="宋体" w:hAnsi="宋体" w:eastAsia="宋体" w:cs="宋体"/>
                <w:color w:val="000000"/>
                <w:sz w:val="15"/>
                <w:szCs w:val="15"/>
              </w:rPr>
              <w:t>评选活动收到论文共</w:t>
            </w:r>
            <w:r>
              <w:rPr>
                <w:rFonts w:hint="eastAsia" w:ascii="宋体" w:hAnsi="宋体" w:eastAsia="宋体" w:cs="宋体"/>
                <w:color w:val="000000"/>
                <w:sz w:val="15"/>
                <w:szCs w:val="15"/>
                <w:lang w:val="en-US"/>
              </w:rPr>
              <w:t>182</w:t>
            </w:r>
            <w:r>
              <w:rPr>
                <w:rFonts w:hint="eastAsia" w:ascii="宋体" w:hAnsi="宋体" w:eastAsia="宋体" w:cs="宋体"/>
                <w:color w:val="000000"/>
                <w:sz w:val="15"/>
                <w:szCs w:val="15"/>
              </w:rPr>
              <w:t>篇，经初审</w:t>
            </w:r>
            <w:r>
              <w:rPr>
                <w:rFonts w:hint="eastAsia" w:ascii="宋体" w:hAnsi="宋体" w:eastAsia="宋体" w:cs="宋体"/>
                <w:color w:val="000000"/>
                <w:sz w:val="15"/>
                <w:szCs w:val="15"/>
                <w:lang w:val="en-US"/>
              </w:rPr>
              <w:t>15</w:t>
            </w:r>
            <w:r>
              <w:rPr>
                <w:rFonts w:hint="eastAsia" w:ascii="宋体" w:hAnsi="宋体" w:eastAsia="宋体" w:cs="宋体"/>
                <w:color w:val="000000"/>
                <w:sz w:val="15"/>
                <w:szCs w:val="15"/>
              </w:rPr>
              <w:t>篇论文不符合评选条件，共计</w:t>
            </w:r>
            <w:r>
              <w:rPr>
                <w:rFonts w:hint="eastAsia" w:ascii="宋体" w:hAnsi="宋体" w:eastAsia="宋体" w:cs="宋体"/>
                <w:color w:val="000000"/>
                <w:sz w:val="15"/>
                <w:szCs w:val="15"/>
                <w:lang w:val="en-US"/>
              </w:rPr>
              <w:t>167</w:t>
            </w:r>
            <w:r>
              <w:rPr>
                <w:rFonts w:hint="eastAsia" w:ascii="宋体" w:hAnsi="宋体" w:eastAsia="宋体" w:cs="宋体"/>
                <w:color w:val="000000"/>
                <w:sz w:val="15"/>
                <w:szCs w:val="15"/>
              </w:rPr>
              <w:t>篇论文参加评审会。根据论文数量与类型，邀请熟悉评审工作、具备专业资质的医学组、农业组、教育组、综合组</w:t>
            </w:r>
            <w:r>
              <w:rPr>
                <w:rFonts w:hint="eastAsia" w:ascii="宋体" w:hAnsi="宋体" w:eastAsia="宋体" w:cs="宋体"/>
                <w:color w:val="000000"/>
                <w:sz w:val="15"/>
                <w:szCs w:val="15"/>
                <w:lang w:val="en-US"/>
              </w:rPr>
              <w:t>17</w:t>
            </w:r>
            <w:r>
              <w:rPr>
                <w:rFonts w:hint="eastAsia" w:ascii="宋体" w:hAnsi="宋体" w:eastAsia="宋体" w:cs="宋体"/>
                <w:color w:val="000000"/>
                <w:sz w:val="15"/>
                <w:szCs w:val="15"/>
              </w:rPr>
              <w:t>位专家教授开展评审工作。评选出一、二、三等奖</w:t>
            </w:r>
            <w:r>
              <w:rPr>
                <w:rFonts w:hint="eastAsia" w:ascii="宋体" w:hAnsi="宋体" w:eastAsia="宋体" w:cs="宋体"/>
                <w:color w:val="000000"/>
                <w:sz w:val="15"/>
                <w:szCs w:val="15"/>
                <w:lang w:val="en-US"/>
              </w:rPr>
              <w:t>58</w:t>
            </w:r>
            <w:r>
              <w:rPr>
                <w:rFonts w:hint="eastAsia" w:ascii="宋体" w:hAnsi="宋体" w:eastAsia="宋体" w:cs="宋体"/>
                <w:color w:val="000000"/>
                <w:sz w:val="15"/>
                <w:szCs w:val="15"/>
              </w:rPr>
              <w:t>篇。</w:t>
            </w:r>
          </w:p>
        </w:tc>
      </w:tr>
      <w:tr w14:paraId="1270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525" w:hRule="atLeast"/>
        </w:trPr>
        <w:tc>
          <w:tcPr>
            <w:tcW w:w="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F4D7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预算执行情况（</w:t>
            </w:r>
            <w:r>
              <w:rPr>
                <w:rFonts w:hint="eastAsia" w:ascii="宋体" w:hAnsi="宋体" w:eastAsia="宋体" w:cs="宋体"/>
                <w:color w:val="000000"/>
                <w:kern w:val="0"/>
                <w:sz w:val="15"/>
                <w:szCs w:val="15"/>
                <w:lang w:val="en-US" w:bidi="ar"/>
              </w:rPr>
              <w:t>10</w:t>
            </w:r>
            <w:r>
              <w:rPr>
                <w:rFonts w:hint="eastAsia" w:ascii="宋体" w:hAnsi="宋体" w:eastAsia="宋体" w:cs="宋体"/>
                <w:color w:val="000000"/>
                <w:kern w:val="0"/>
                <w:sz w:val="15"/>
                <w:szCs w:val="15"/>
                <w:lang w:bidi="ar"/>
              </w:rPr>
              <w:t>分）</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5350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年度预算数（万元）</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78E4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年初预算</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DF5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调整后预算数</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A84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预算执行数</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7379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预算执行率</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CB5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权重</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F2F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得分</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0CBF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原因</w:t>
            </w:r>
          </w:p>
        </w:tc>
      </w:tr>
      <w:tr w14:paraId="11D2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19"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1A7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84E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总额</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29C9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12.00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E0A3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12.00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4E85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12.00</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F08F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100.00%</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D444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3BB1F">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sz w:val="15"/>
                <w:szCs w:val="15"/>
                <w:lang w:val="en-US"/>
              </w:rPr>
              <w:t>10</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8098">
            <w:pPr>
              <w:keepNext w:val="0"/>
              <w:keepLines w:val="0"/>
              <w:widowControl/>
              <w:suppressLineNumbers w:val="0"/>
              <w:spacing w:before="0" w:beforeAutospacing="0" w:after="0" w:afterAutospacing="0" w:line="180" w:lineRule="exact"/>
              <w:ind w:left="0" w:right="0"/>
              <w:jc w:val="center"/>
              <w:textAlignment w:val="center"/>
              <w:rPr>
                <w:rFonts w:hint="eastAsia" w:ascii="黑体" w:hAnsi="宋体" w:eastAsia="黑体" w:cs="黑体"/>
                <w:i/>
                <w:iCs w:val="0"/>
                <w:color w:val="000000"/>
                <w:sz w:val="15"/>
                <w:szCs w:val="15"/>
                <w:lang w:val="en-US"/>
              </w:rPr>
            </w:pPr>
            <w:r>
              <w:rPr>
                <w:rFonts w:hint="eastAsia" w:ascii="黑体" w:hAnsi="宋体" w:eastAsia="黑体" w:cs="黑体"/>
                <w:i/>
                <w:iCs w:val="0"/>
                <w:color w:val="000000"/>
                <w:sz w:val="15"/>
                <w:szCs w:val="15"/>
              </w:rPr>
              <w:t>无</w:t>
            </w:r>
          </w:p>
        </w:tc>
      </w:tr>
      <w:tr w14:paraId="3065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19"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CA1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FEC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其中：财政资金</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48B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12.00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255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12.00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623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12.00</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FB47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100.00%</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EB1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1D24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w:t>
            </w: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C85CD">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5A93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425"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9E1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BD5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财政专户管理资金</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341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0.00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EA9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2A71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0.00</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B247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0.00%</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E5A3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729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w:t>
            </w: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D51B">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42A9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19"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2D1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4F44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单位资金</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CD75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0.00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709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DC9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0.00</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F264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0.00%</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F621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DE4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w:t>
            </w: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7DB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1673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41"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2BC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D1C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其他资金</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B2238">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21B9">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33DA6">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CCB4">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079D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602C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bidi="ar"/>
              </w:rPr>
              <w:t>/</w:t>
            </w: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4127B">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2A1E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592" w:hRule="atLeast"/>
        </w:trPr>
        <w:tc>
          <w:tcPr>
            <w:tcW w:w="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FD33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绩效指标（</w:t>
            </w:r>
            <w:r>
              <w:rPr>
                <w:rFonts w:hint="eastAsia" w:ascii="宋体" w:hAnsi="宋体" w:eastAsia="宋体" w:cs="宋体"/>
                <w:color w:val="000000"/>
                <w:kern w:val="0"/>
                <w:sz w:val="15"/>
                <w:szCs w:val="15"/>
                <w:lang w:val="en-US" w:bidi="ar"/>
              </w:rPr>
              <w:t>90</w:t>
            </w:r>
            <w:r>
              <w:rPr>
                <w:rFonts w:hint="eastAsia" w:ascii="宋体" w:hAnsi="宋体" w:eastAsia="宋体" w:cs="宋体"/>
                <w:color w:val="000000"/>
                <w:kern w:val="0"/>
                <w:sz w:val="15"/>
                <w:szCs w:val="15"/>
                <w:lang w:bidi="ar"/>
              </w:rPr>
              <w:t>分）</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9AB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一级指标</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6858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二级指标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8C38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三级指标</w:t>
            </w: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08B3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指标性质</w:t>
            </w:r>
          </w:p>
        </w:tc>
        <w:tc>
          <w:tcPr>
            <w:tcW w:w="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7E07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指标值</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472A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度量单位</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53C2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完成值</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348C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权重</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09C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得分</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170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未完成原因分析</w:t>
            </w:r>
          </w:p>
        </w:tc>
      </w:tr>
      <w:tr w14:paraId="6825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592"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FCDC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95D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产出指标</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FEE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数量指标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D54AB">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参照往年申报情况，预计评选出一、二、三等奖</w:t>
            </w:r>
            <w:r>
              <w:rPr>
                <w:rFonts w:hint="eastAsia" w:ascii="宋体" w:hAnsi="宋体" w:eastAsia="宋体" w:cs="宋体"/>
                <w:kern w:val="0"/>
                <w:sz w:val="15"/>
                <w:szCs w:val="15"/>
                <w:lang w:val="en-US" w:bidi="ar"/>
              </w:rPr>
              <w:t>55</w:t>
            </w:r>
            <w:r>
              <w:rPr>
                <w:rFonts w:hint="eastAsia" w:ascii="宋体" w:hAnsi="宋体" w:eastAsia="宋体" w:cs="宋体"/>
                <w:kern w:val="0"/>
                <w:sz w:val="15"/>
                <w:szCs w:val="15"/>
                <w:lang w:bidi="ar"/>
              </w:rPr>
              <w:t>篇。</w:t>
            </w: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DC38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w:t>
            </w:r>
          </w:p>
        </w:tc>
        <w:tc>
          <w:tcPr>
            <w:tcW w:w="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A2F3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55</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883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篇</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B15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58</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E88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20</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DDF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CB69E">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sz w:val="15"/>
                <w:szCs w:val="15"/>
              </w:rPr>
              <w:t>无</w:t>
            </w:r>
          </w:p>
        </w:tc>
      </w:tr>
      <w:tr w14:paraId="7AFC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798"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CF66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4420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CD5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质量指标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1A03">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论文评选一、二等奖坚持标准，好中择优，三等奖适当兼顾学科，兼顾基层。各层面达标率预计可达</w:t>
            </w:r>
            <w:r>
              <w:rPr>
                <w:rFonts w:hint="eastAsia" w:ascii="宋体" w:hAnsi="宋体" w:eastAsia="宋体" w:cs="宋体"/>
                <w:kern w:val="0"/>
                <w:sz w:val="15"/>
                <w:szCs w:val="15"/>
                <w:lang w:val="en-US" w:bidi="ar"/>
              </w:rPr>
              <w:t>90%</w:t>
            </w:r>
            <w:r>
              <w:rPr>
                <w:rFonts w:hint="eastAsia" w:ascii="宋体" w:hAnsi="宋体" w:eastAsia="宋体" w:cs="宋体"/>
                <w:kern w:val="0"/>
                <w:sz w:val="15"/>
                <w:szCs w:val="15"/>
                <w:lang w:bidi="ar"/>
              </w:rPr>
              <w:t>。</w:t>
            </w: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C66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w:t>
            </w:r>
          </w:p>
        </w:tc>
        <w:tc>
          <w:tcPr>
            <w:tcW w:w="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6D0F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90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E4D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39A1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92%</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F58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DA9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D0B2C">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sz w:val="15"/>
                <w:szCs w:val="15"/>
              </w:rPr>
              <w:t>无</w:t>
            </w:r>
          </w:p>
        </w:tc>
      </w:tr>
      <w:tr w14:paraId="0D64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19"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B6AA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530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903E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时效指标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C936">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2023</w:t>
            </w:r>
            <w:r>
              <w:rPr>
                <w:rFonts w:hint="eastAsia" w:ascii="宋体" w:hAnsi="宋体" w:eastAsia="宋体" w:cs="宋体"/>
                <w:kern w:val="0"/>
                <w:sz w:val="15"/>
                <w:szCs w:val="15"/>
                <w:lang w:bidi="ar"/>
              </w:rPr>
              <w:t>年</w:t>
            </w:r>
            <w:r>
              <w:rPr>
                <w:rFonts w:hint="eastAsia" w:ascii="宋体" w:hAnsi="宋体" w:eastAsia="宋体" w:cs="宋体"/>
                <w:kern w:val="0"/>
                <w:sz w:val="15"/>
                <w:szCs w:val="15"/>
                <w:lang w:val="en-US" w:bidi="ar"/>
              </w:rPr>
              <w:t>1-12</w:t>
            </w:r>
            <w:r>
              <w:rPr>
                <w:rFonts w:hint="eastAsia" w:ascii="宋体" w:hAnsi="宋体" w:eastAsia="宋体" w:cs="宋体"/>
                <w:kern w:val="0"/>
                <w:sz w:val="15"/>
                <w:szCs w:val="15"/>
                <w:lang w:bidi="ar"/>
              </w:rPr>
              <w:t>月完成</w:t>
            </w: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853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w:t>
            </w:r>
          </w:p>
        </w:tc>
        <w:tc>
          <w:tcPr>
            <w:tcW w:w="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5B9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C0E1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年</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F3E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818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411C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14258">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sz w:val="15"/>
                <w:szCs w:val="15"/>
              </w:rPr>
              <w:t>无</w:t>
            </w:r>
          </w:p>
        </w:tc>
      </w:tr>
      <w:tr w14:paraId="0938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1049"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6DDD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354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效益指标</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A7D4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社会效益指标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D1707">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营造了“尊重劳动、尊重知识、尊重人才”的良好社会氛围，鼓励全州广大科技工作者开展科学研究，探求真理， 促进科学技术的繁荣和发展，推动全州的科技创新和科技进步。</w:t>
            </w: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9C2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w:t>
            </w:r>
          </w:p>
        </w:tc>
        <w:tc>
          <w:tcPr>
            <w:tcW w:w="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5E2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5</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91D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项</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A42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5</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2134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16F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69B68">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sz w:val="15"/>
                <w:szCs w:val="15"/>
              </w:rPr>
              <w:t>无</w:t>
            </w:r>
          </w:p>
        </w:tc>
      </w:tr>
      <w:tr w14:paraId="51CA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85"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395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44FD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7D5C6">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可持续影响指标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6776C">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可持续影响时间</w:t>
            </w: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66D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w:t>
            </w:r>
          </w:p>
        </w:tc>
        <w:tc>
          <w:tcPr>
            <w:tcW w:w="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B3C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2</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7A97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年</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931C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2</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721F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8C58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2DA4">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sz w:val="15"/>
                <w:szCs w:val="15"/>
              </w:rPr>
              <w:t>无</w:t>
            </w:r>
          </w:p>
        </w:tc>
      </w:tr>
      <w:tr w14:paraId="488E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65"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E14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7DAA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满意度指标</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524E">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服务对象满意度指标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BA42">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科技工作者满意度</w:t>
            </w: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4052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w:t>
            </w:r>
          </w:p>
        </w:tc>
        <w:tc>
          <w:tcPr>
            <w:tcW w:w="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7D12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95</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A545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B98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90%</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FB9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1FF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3B484">
            <w:pPr>
              <w:keepNext w:val="0"/>
              <w:keepLines w:val="0"/>
              <w:widowControl w:val="0"/>
              <w:suppressLineNumbers w:val="0"/>
              <w:spacing w:before="0" w:beforeAutospacing="0" w:after="0" w:afterAutospacing="0" w:line="180" w:lineRule="exact"/>
              <w:ind w:left="0" w:right="0"/>
              <w:jc w:val="left"/>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sz w:val="15"/>
                <w:szCs w:val="15"/>
                <w:lang w:val="zh-CN"/>
              </w:rPr>
              <w:t>降低了极个别科技工作者的满意度。自评扣分</w:t>
            </w:r>
            <w:r>
              <w:rPr>
                <w:rFonts w:hint="eastAsia" w:ascii="黑体" w:hAnsi="宋体" w:eastAsia="黑体" w:cs="黑体"/>
                <w:i/>
                <w:iCs w:val="0"/>
                <w:color w:val="000000"/>
                <w:sz w:val="15"/>
                <w:szCs w:val="15"/>
                <w:lang w:val="en-US"/>
              </w:rPr>
              <w:t>2</w:t>
            </w:r>
            <w:r>
              <w:rPr>
                <w:rFonts w:hint="eastAsia" w:ascii="黑体" w:hAnsi="宋体" w:eastAsia="黑体" w:cs="黑体"/>
                <w:i/>
                <w:iCs w:val="0"/>
                <w:color w:val="000000"/>
                <w:sz w:val="15"/>
                <w:szCs w:val="15"/>
              </w:rPr>
              <w:t>分。</w:t>
            </w:r>
          </w:p>
        </w:tc>
      </w:tr>
      <w:tr w14:paraId="6625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85" w:hRule="atLeast"/>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5C6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64EC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成本指标</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D56A1">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经济成本指标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782A">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论文评选活动费用</w:t>
            </w: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E07E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w:t>
            </w:r>
          </w:p>
        </w:tc>
        <w:tc>
          <w:tcPr>
            <w:tcW w:w="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EBD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12</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832C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万元</w:t>
            </w:r>
          </w:p>
        </w:tc>
        <w:tc>
          <w:tcPr>
            <w:tcW w:w="6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2F00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12</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9547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20</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18D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76CE9">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sz w:val="15"/>
                <w:szCs w:val="15"/>
              </w:rPr>
              <w:t>无</w:t>
            </w:r>
          </w:p>
        </w:tc>
      </w:tr>
      <w:tr w14:paraId="1723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19" w:hRule="atLeast"/>
        </w:trPr>
        <w:tc>
          <w:tcPr>
            <w:tcW w:w="672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6AA9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合计</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638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100</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654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98</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224B5">
            <w:pPr>
              <w:keepNext w:val="0"/>
              <w:keepLines w:val="0"/>
              <w:widowControl w:val="0"/>
              <w:suppressLineNumbers w:val="0"/>
              <w:spacing w:before="0" w:beforeAutospacing="0" w:after="0" w:afterAutospacing="0" w:line="180" w:lineRule="exact"/>
              <w:ind w:left="0" w:right="0"/>
              <w:jc w:val="left"/>
              <w:rPr>
                <w:rFonts w:hint="eastAsia" w:ascii="宋体" w:hAnsi="宋体" w:eastAsia="宋体" w:cs="宋体"/>
                <w:color w:val="000000"/>
                <w:sz w:val="15"/>
                <w:szCs w:val="15"/>
                <w:lang w:val="en-US"/>
              </w:rPr>
            </w:pPr>
          </w:p>
        </w:tc>
      </w:tr>
      <w:tr w14:paraId="3058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714" w:hRule="atLeast"/>
        </w:trPr>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7806D">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评价结论</w:t>
            </w:r>
          </w:p>
        </w:tc>
        <w:tc>
          <w:tcPr>
            <w:tcW w:w="874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3F6D5">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bidi="ar"/>
              </w:rPr>
              <w:t>2023</w:t>
            </w:r>
            <w:r>
              <w:rPr>
                <w:rFonts w:hint="eastAsia" w:ascii="宋体" w:hAnsi="宋体" w:eastAsia="宋体" w:cs="宋体"/>
                <w:kern w:val="0"/>
                <w:sz w:val="15"/>
                <w:szCs w:val="15"/>
                <w:lang w:bidi="ar"/>
              </w:rPr>
              <w:t>年完成了凉山州第十一届自然科学优秀学术论文评选活动。经过自行申报、初审、小组评审、专家复审及审议等程序，从收到论文共</w:t>
            </w:r>
            <w:r>
              <w:rPr>
                <w:rFonts w:hint="eastAsia" w:ascii="宋体" w:hAnsi="宋体" w:eastAsia="宋体" w:cs="宋体"/>
                <w:kern w:val="0"/>
                <w:sz w:val="15"/>
                <w:szCs w:val="15"/>
                <w:lang w:val="en-US" w:bidi="ar"/>
              </w:rPr>
              <w:t>182</w:t>
            </w:r>
            <w:r>
              <w:rPr>
                <w:rFonts w:hint="eastAsia" w:ascii="宋体" w:hAnsi="宋体" w:eastAsia="宋体" w:cs="宋体"/>
                <w:kern w:val="0"/>
                <w:sz w:val="15"/>
                <w:szCs w:val="15"/>
                <w:lang w:bidi="ar"/>
              </w:rPr>
              <w:t>篇终评出一、二、三等奖</w:t>
            </w:r>
            <w:r>
              <w:rPr>
                <w:rFonts w:hint="eastAsia" w:ascii="宋体" w:hAnsi="宋体" w:eastAsia="宋体" w:cs="宋体"/>
                <w:kern w:val="0"/>
                <w:sz w:val="15"/>
                <w:szCs w:val="15"/>
                <w:lang w:val="en-US" w:bidi="ar"/>
              </w:rPr>
              <w:t>58</w:t>
            </w:r>
            <w:r>
              <w:rPr>
                <w:rFonts w:hint="eastAsia" w:ascii="宋体" w:hAnsi="宋体" w:eastAsia="宋体" w:cs="宋体"/>
                <w:kern w:val="0"/>
                <w:sz w:val="15"/>
                <w:szCs w:val="15"/>
                <w:lang w:bidi="ar"/>
              </w:rPr>
              <w:t>项。从产出、效益、满意度指标等进行了以上打分，预算执行率</w:t>
            </w:r>
            <w:r>
              <w:rPr>
                <w:rFonts w:hint="eastAsia" w:ascii="宋体" w:hAnsi="宋体" w:eastAsia="宋体" w:cs="宋体"/>
                <w:kern w:val="0"/>
                <w:sz w:val="15"/>
                <w:szCs w:val="15"/>
                <w:lang w:val="en-US" w:bidi="ar"/>
              </w:rPr>
              <w:t>100%</w:t>
            </w:r>
            <w:r>
              <w:rPr>
                <w:rFonts w:hint="eastAsia" w:ascii="宋体" w:hAnsi="宋体" w:eastAsia="宋体" w:cs="宋体"/>
                <w:kern w:val="0"/>
                <w:sz w:val="15"/>
                <w:szCs w:val="15"/>
                <w:lang w:bidi="ar"/>
              </w:rPr>
              <w:t>，执行情况良好，自评得分</w:t>
            </w:r>
            <w:r>
              <w:rPr>
                <w:rFonts w:hint="eastAsia" w:ascii="宋体" w:hAnsi="宋体" w:eastAsia="宋体" w:cs="宋体"/>
                <w:kern w:val="0"/>
                <w:sz w:val="15"/>
                <w:szCs w:val="15"/>
                <w:lang w:val="en-US" w:bidi="ar"/>
              </w:rPr>
              <w:t>98</w:t>
            </w:r>
            <w:r>
              <w:rPr>
                <w:rFonts w:hint="eastAsia" w:ascii="宋体" w:hAnsi="宋体" w:eastAsia="宋体" w:cs="宋体"/>
                <w:kern w:val="0"/>
                <w:sz w:val="15"/>
                <w:szCs w:val="15"/>
                <w:lang w:bidi="ar"/>
              </w:rPr>
              <w:t>分。</w:t>
            </w:r>
          </w:p>
        </w:tc>
      </w:tr>
      <w:tr w14:paraId="430F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522" w:hRule="atLeast"/>
        </w:trPr>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AD3D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存在问题</w:t>
            </w:r>
          </w:p>
        </w:tc>
        <w:tc>
          <w:tcPr>
            <w:tcW w:w="874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1600D">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按</w:t>
            </w:r>
            <w:r>
              <w:rPr>
                <w:rFonts w:hint="eastAsia" w:ascii="宋体" w:hAnsi="宋体" w:eastAsia="宋体" w:cs="宋体"/>
                <w:kern w:val="0"/>
                <w:sz w:val="15"/>
                <w:szCs w:val="15"/>
                <w:lang w:val="zh-CN" w:bidi="ar"/>
              </w:rPr>
              <w:t>按照惯例，凉山州自然科学优秀学术论文评选结果由州委办和州政府办发文进行通报，本届评选活动改由州委组织部、州人社局、州科技局和州科协发文进行通报。降低了极个别科技工作者的满意度。</w:t>
            </w:r>
          </w:p>
        </w:tc>
      </w:tr>
      <w:tr w14:paraId="4F44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593" w:hRule="atLeast"/>
        </w:trPr>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22A2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bidi="ar"/>
              </w:rPr>
              <w:t>改进措施</w:t>
            </w:r>
          </w:p>
        </w:tc>
        <w:tc>
          <w:tcPr>
            <w:tcW w:w="874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BCF7">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bidi="ar"/>
              </w:rPr>
              <w:t>州科协学会部积极向省科协和其他兄弟市州查找发文依据，争取</w:t>
            </w:r>
            <w:r>
              <w:rPr>
                <w:rFonts w:hint="eastAsia" w:ascii="宋体" w:hAnsi="宋体" w:eastAsia="宋体" w:cs="宋体"/>
                <w:kern w:val="0"/>
                <w:sz w:val="15"/>
                <w:szCs w:val="15"/>
                <w:lang w:val="zh-CN" w:bidi="ar"/>
              </w:rPr>
              <w:t>自然科学优秀学术论文评选结果由州委办和州政府办发文进行通报，增强科技工作者的满意度。</w:t>
            </w:r>
          </w:p>
        </w:tc>
      </w:tr>
      <w:tr w14:paraId="32AA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49" w:type="dxa"/>
          <w:trHeight w:val="338" w:hRule="atLeast"/>
        </w:trPr>
        <w:tc>
          <w:tcPr>
            <w:tcW w:w="520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4A9D">
            <w:pPr>
              <w:keepNext w:val="0"/>
              <w:keepLines w:val="0"/>
              <w:widowControl/>
              <w:suppressLineNumbers w:val="0"/>
              <w:spacing w:before="0" w:beforeAutospacing="0" w:after="0" w:afterAutospacing="0" w:line="200" w:lineRule="exact"/>
              <w:ind w:left="0" w:right="0"/>
              <w:jc w:val="left"/>
              <w:rPr>
                <w:rFonts w:hint="eastAsia" w:ascii="黑体" w:hAnsi="宋体" w:eastAsia="黑体" w:cs="黑体"/>
                <w:color w:val="000000"/>
                <w:sz w:val="15"/>
                <w:szCs w:val="15"/>
                <w:lang w:val="en-US"/>
              </w:rPr>
            </w:pPr>
            <w:r>
              <w:rPr>
                <w:rFonts w:hint="eastAsia" w:ascii="Courier New" w:hAnsi="Courier New" w:eastAsia="宋体" w:cs="Courier New"/>
                <w:color w:val="000000"/>
                <w:kern w:val="0"/>
                <w:sz w:val="15"/>
                <w:szCs w:val="15"/>
              </w:rPr>
              <w:t>项目负责人：吴家英、李红</w:t>
            </w:r>
          </w:p>
        </w:tc>
        <w:tc>
          <w:tcPr>
            <w:tcW w:w="415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1D612">
            <w:pPr>
              <w:keepNext w:val="0"/>
              <w:keepLines w:val="0"/>
              <w:widowControl/>
              <w:suppressLineNumbers w:val="0"/>
              <w:spacing w:before="0" w:beforeAutospacing="0" w:after="0" w:afterAutospacing="0" w:line="200" w:lineRule="exact"/>
              <w:ind w:left="0" w:right="0"/>
              <w:jc w:val="left"/>
              <w:rPr>
                <w:rFonts w:hint="eastAsia" w:ascii="黑体" w:hAnsi="宋体" w:eastAsia="黑体" w:cs="黑体"/>
                <w:color w:val="000000"/>
                <w:sz w:val="15"/>
                <w:szCs w:val="15"/>
                <w:lang w:val="en-US"/>
              </w:rPr>
            </w:pPr>
            <w:r>
              <w:rPr>
                <w:rFonts w:hint="eastAsia" w:ascii="Courier New" w:hAnsi="Courier New" w:eastAsia="宋体" w:cs="Courier New"/>
                <w:color w:val="000000"/>
                <w:kern w:val="0"/>
                <w:sz w:val="15"/>
                <w:szCs w:val="15"/>
              </w:rPr>
              <w:t>财务负责人：毛正华</w:t>
            </w:r>
          </w:p>
        </w:tc>
      </w:tr>
      <w:tr w14:paraId="28B2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10006"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80BF">
            <w:pPr>
              <w:keepNext w:val="0"/>
              <w:keepLines w:val="0"/>
              <w:widowControl/>
              <w:suppressLineNumbers w:val="0"/>
              <w:spacing w:before="0" w:beforeAutospacing="0" w:after="0" w:afterAutospacing="0" w:line="320" w:lineRule="exact"/>
              <w:ind w:left="0" w:right="0" w:firstLine="2409" w:firstLineChars="1000"/>
              <w:jc w:val="both"/>
              <w:textAlignment w:val="center"/>
              <w:rPr>
                <w:rFonts w:hint="eastAsia" w:ascii="黑体" w:hAnsi="宋体" w:eastAsia="黑体" w:cs="黑体"/>
                <w:b/>
                <w:bCs w:val="0"/>
                <w:color w:val="000000"/>
                <w:sz w:val="15"/>
                <w:szCs w:val="15"/>
                <w:lang w:val="en-US"/>
              </w:rPr>
            </w:pPr>
            <w:r>
              <w:rPr>
                <w:rFonts w:hint="eastAsia" w:ascii="黑体" w:hAnsi="宋体" w:eastAsia="黑体" w:cs="黑体"/>
                <w:b/>
                <w:bCs w:val="0"/>
                <w:color w:val="000000"/>
                <w:kern w:val="0"/>
                <w:sz w:val="24"/>
                <w:szCs w:val="24"/>
                <w:lang w:val="en-US" w:eastAsia="zh-CN" w:bidi="ar"/>
              </w:rPr>
              <w:t>部门预算项目支出绩效自评表（2023年度）</w:t>
            </w:r>
          </w:p>
        </w:tc>
      </w:tr>
      <w:tr w14:paraId="38FA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D122">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项目名称</w:t>
            </w:r>
          </w:p>
        </w:tc>
        <w:tc>
          <w:tcPr>
            <w:tcW w:w="81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64B8">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51340022T000000278903-老科技工作者科普活动保障经费</w:t>
            </w:r>
          </w:p>
        </w:tc>
      </w:tr>
      <w:tr w14:paraId="2328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EFC21">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主管部门</w:t>
            </w:r>
          </w:p>
        </w:tc>
        <w:tc>
          <w:tcPr>
            <w:tcW w:w="409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BAF1C">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凉山州科学技术协会部门</w:t>
            </w:r>
          </w:p>
        </w:tc>
        <w:tc>
          <w:tcPr>
            <w:tcW w:w="892" w:type="dxa"/>
            <w:gridSpan w:val="4"/>
            <w:shd w:val="clear" w:color="auto" w:fill="auto"/>
            <w:tcMar>
              <w:top w:w="15" w:type="dxa"/>
              <w:left w:w="15" w:type="dxa"/>
              <w:right w:w="15" w:type="dxa"/>
            </w:tcMar>
            <w:vAlign w:val="center"/>
          </w:tcPr>
          <w:p w14:paraId="75AD4BF6">
            <w:pPr>
              <w:keepNext w:val="0"/>
              <w:keepLines w:val="0"/>
              <w:widowControl/>
              <w:suppressLineNumbers w:val="0"/>
              <w:spacing w:before="0" w:beforeAutospacing="0" w:after="0" w:afterAutospacing="0" w:line="180" w:lineRule="exact"/>
              <w:ind w:left="0" w:right="0"/>
              <w:jc w:val="left"/>
              <w:textAlignment w:val="center"/>
              <w:rPr>
                <w:rFonts w:hint="eastAsia" w:ascii="黑体" w:hAnsi="宋体" w:eastAsia="黑体" w:cs="黑体"/>
                <w:color w:val="000000"/>
                <w:sz w:val="15"/>
                <w:szCs w:val="15"/>
                <w:lang w:val="en-US"/>
              </w:rPr>
            </w:pPr>
            <w:r>
              <w:rPr>
                <w:rFonts w:hint="eastAsia" w:ascii="黑体" w:hAnsi="宋体" w:eastAsia="黑体" w:cs="黑体"/>
                <w:color w:val="000000"/>
                <w:kern w:val="0"/>
                <w:sz w:val="15"/>
                <w:szCs w:val="15"/>
                <w:lang w:val="en-US" w:eastAsia="zh-CN" w:bidi="ar"/>
              </w:rPr>
              <w:t>实施单位 （盖章）</w:t>
            </w:r>
          </w:p>
        </w:tc>
        <w:tc>
          <w:tcPr>
            <w:tcW w:w="316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73EE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凉山州科学技术协会</w:t>
            </w:r>
          </w:p>
        </w:tc>
      </w:tr>
      <w:tr w14:paraId="54AF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 w:hRule="atLeast"/>
        </w:trPr>
        <w:tc>
          <w:tcPr>
            <w:tcW w:w="1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31E7C">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项目基本情况</w:t>
            </w:r>
          </w:p>
        </w:tc>
        <w:tc>
          <w:tcPr>
            <w:tcW w:w="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2DC8">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1.项目年度目标完成情况</w:t>
            </w:r>
          </w:p>
        </w:tc>
        <w:tc>
          <w:tcPr>
            <w:tcW w:w="409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FFFE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项目年度目标</w:t>
            </w:r>
          </w:p>
        </w:tc>
        <w:tc>
          <w:tcPr>
            <w:tcW w:w="405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BA3D">
            <w:pPr>
              <w:keepNext w:val="0"/>
              <w:keepLines w:val="0"/>
              <w:widowControl/>
              <w:suppressLineNumbers w:val="0"/>
              <w:spacing w:before="0" w:beforeAutospacing="0" w:after="0" w:afterAutospacing="0" w:line="180" w:lineRule="exact"/>
              <w:ind w:left="0" w:right="0"/>
              <w:jc w:val="center"/>
              <w:textAlignment w:val="center"/>
              <w:rPr>
                <w:rFonts w:hint="eastAsia" w:ascii="黑体" w:hAnsi="宋体" w:eastAsia="黑体" w:cs="黑体"/>
                <w:color w:val="000000"/>
                <w:sz w:val="15"/>
                <w:szCs w:val="15"/>
                <w:lang w:val="en-US"/>
              </w:rPr>
            </w:pPr>
            <w:r>
              <w:rPr>
                <w:rFonts w:hint="eastAsia" w:ascii="黑体" w:hAnsi="宋体" w:eastAsia="黑体" w:cs="黑体"/>
                <w:color w:val="000000"/>
                <w:kern w:val="0"/>
                <w:sz w:val="15"/>
                <w:szCs w:val="15"/>
                <w:lang w:val="en-US" w:eastAsia="zh-CN" w:bidi="ar"/>
              </w:rPr>
              <w:t>年度目标完成情况</w:t>
            </w:r>
          </w:p>
        </w:tc>
      </w:tr>
      <w:tr w14:paraId="559D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7"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C998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BB6F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409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9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该项目围绕习近平总书记对中国老科协重要批示“老有所为，积极作为”进行农村科普和城市科普活动，青少年科技教育活动，提升全民科学素质，对离退休老专家开展敬老月各项活动，进行党总支和党支部建设的各项活动，结合乡村振兴工作开展世界首创彩色花油菜示范种植，联手省老科协实施ESS（美国科技教育协会）资助贫困生，开展各类培训，科普宣传，科技咨询,健康义诊,在中学举办科技讲座，争取在越西、喜德、会东、会理、德昌、冕宁、普格等县调研建立老科协组织等工作。</w:t>
            </w:r>
          </w:p>
        </w:tc>
        <w:tc>
          <w:tcPr>
            <w:tcW w:w="405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F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黑体"/>
                <w:color w:val="000000"/>
                <w:sz w:val="15"/>
                <w:szCs w:val="15"/>
                <w:lang w:val="en-US"/>
              </w:rPr>
            </w:pPr>
            <w:r>
              <w:rPr>
                <w:rFonts w:hint="eastAsia" w:ascii="宋体" w:hAnsi="宋体" w:eastAsia="宋体" w:cs="黑体"/>
                <w:color w:val="000000"/>
                <w:kern w:val="0"/>
                <w:sz w:val="15"/>
                <w:szCs w:val="15"/>
                <w:lang w:val="en-US" w:eastAsia="zh-CN" w:bidi="ar"/>
              </w:rPr>
              <w:t>年度完成了</w:t>
            </w:r>
            <w:r>
              <w:rPr>
                <w:rFonts w:hint="eastAsia" w:ascii="宋体" w:hAnsi="宋体" w:eastAsia="宋体" w:cs="宋体"/>
                <w:color w:val="000000"/>
                <w:kern w:val="0"/>
                <w:sz w:val="15"/>
                <w:szCs w:val="15"/>
                <w:lang w:val="en-US" w:eastAsia="zh-CN" w:bidi="ar"/>
              </w:rPr>
              <w:t>青少年科技教育活动，提升全民科学素质，对离退休老专家开展敬老月各项活动，进行党总支和党支部建设的各项活动，结合乡村振兴工作开展世界首创彩色花油菜示范种植，联手省老科协实施ESS（美国科技教育协会）资助贫困生，开展各类培训，科普宣传，科技咨询,健康义诊,在中学举办科技讲座，争取在越西、喜德、会东、会理、德昌、冕宁、普格等县调研建立老科协组织等工作。</w:t>
            </w:r>
          </w:p>
        </w:tc>
      </w:tr>
      <w:tr w14:paraId="6044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6"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A66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681C1">
            <w:pPr>
              <w:keepNext w:val="0"/>
              <w:keepLines w:val="0"/>
              <w:widowControl/>
              <w:suppressLineNumbers w:val="0"/>
              <w:spacing w:before="0" w:beforeAutospacing="0" w:after="0" w:afterAutospacing="0" w:line="180" w:lineRule="exact"/>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2.项目实施内容及过程概述</w:t>
            </w:r>
          </w:p>
        </w:tc>
        <w:tc>
          <w:tcPr>
            <w:tcW w:w="81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D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度开展了农村科普和城市科普活动，青少年科技教育活动，提升全民科学素质，对离退休老专家开展敬老月各项活动，进行党总支和党支部建设的各项活动，结合乡村振兴工作开展世界首创彩色花油菜示范种植20-30 亩；联手省老科协实施ESS（美国科技教育协会）资助贫困高中生35人，发放助学金7万元；向培训人员讲解猪、牛、 羊的优品选择、杂交利用方式、圈舍改扩建、饲料营养搭配和疫病预防等相关技术要点；完成了越西、会东建立老科协组织事宜，积极参与积极完成省老科协布置的调研座谈并看望老科技工作者；参与邛海湿地“科普教育基地”揭牌仪式；调研越西县现代农业园“冷链储藏”、“苹果加工”、“油菜籽加工”、“无土栽培技术”、“花卉智慧大棚”等亮点项目，参加第三届“金沙江论坛”会议，森林防灭火等等工作。</w:t>
            </w:r>
          </w:p>
          <w:p w14:paraId="6FD9353B">
            <w:pPr>
              <w:keepNext w:val="0"/>
              <w:keepLines w:val="0"/>
              <w:widowControl w:val="0"/>
              <w:suppressLineNumbers w:val="0"/>
              <w:spacing w:before="0" w:beforeAutospacing="0" w:after="0" w:afterAutospacing="0" w:line="180" w:lineRule="exact"/>
              <w:ind w:left="0" w:right="0"/>
              <w:jc w:val="both"/>
              <w:rPr>
                <w:rFonts w:hint="eastAsia" w:ascii="宋体" w:hAnsi="宋体" w:eastAsia="宋体" w:cs="宋体"/>
                <w:color w:val="000000"/>
                <w:kern w:val="0"/>
                <w:sz w:val="15"/>
                <w:szCs w:val="15"/>
                <w:lang w:val="en-US"/>
              </w:rPr>
            </w:pPr>
          </w:p>
        </w:tc>
      </w:tr>
      <w:tr w14:paraId="72FE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1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1E8A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预算执行情况（10分）</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4669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年度预算数（万元）</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000A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年初预算</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4759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调整后预算数</w:t>
            </w:r>
          </w:p>
        </w:tc>
        <w:tc>
          <w:tcPr>
            <w:tcW w:w="17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0979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预算执行数</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026F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预算执行率</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802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权重</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81D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得分</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2C25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原因</w:t>
            </w:r>
          </w:p>
        </w:tc>
      </w:tr>
      <w:tr w14:paraId="3514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4DF3">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7B6F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总额</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CE38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12.00</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4D94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12.00</w:t>
            </w:r>
          </w:p>
        </w:tc>
        <w:tc>
          <w:tcPr>
            <w:tcW w:w="17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EC9A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12.00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33B4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0392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0A74D">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9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29B5">
            <w:pPr>
              <w:keepNext w:val="0"/>
              <w:keepLines w:val="0"/>
              <w:widowControl/>
              <w:suppressLineNumbers w:val="0"/>
              <w:spacing w:before="0" w:beforeAutospacing="0" w:after="0" w:afterAutospacing="0" w:line="180" w:lineRule="exact"/>
              <w:ind w:left="0" w:right="0"/>
              <w:jc w:val="center"/>
              <w:textAlignment w:val="center"/>
              <w:rPr>
                <w:rFonts w:hint="eastAsia" w:ascii="黑体" w:hAnsi="宋体" w:eastAsia="黑体" w:cs="黑体"/>
                <w:i/>
                <w:iCs w:val="0"/>
                <w:color w:val="000000"/>
                <w:sz w:val="15"/>
                <w:szCs w:val="15"/>
                <w:lang w:val="en-US"/>
              </w:rPr>
            </w:pPr>
            <w:r>
              <w:rPr>
                <w:rFonts w:hint="eastAsia" w:ascii="黑体" w:hAnsi="宋体" w:eastAsia="黑体" w:cs="黑体"/>
                <w:i/>
                <w:iCs w:val="0"/>
                <w:color w:val="000000"/>
                <w:kern w:val="0"/>
                <w:sz w:val="15"/>
                <w:szCs w:val="15"/>
                <w:lang w:val="en-US" w:eastAsia="zh-CN" w:bidi="ar"/>
              </w:rPr>
              <w:t>无</w:t>
            </w:r>
          </w:p>
        </w:tc>
      </w:tr>
      <w:tr w14:paraId="1DEF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E75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6B7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其中：财政资金</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2862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12.00</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072C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12.00</w:t>
            </w:r>
          </w:p>
        </w:tc>
        <w:tc>
          <w:tcPr>
            <w:tcW w:w="17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A9A4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12.00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2A3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B0E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6A9D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19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1C55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31D0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B538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B9B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财政专户管理资金</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1AC6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23F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17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1C9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9B4B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E47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8F93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19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7DA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3EED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2DC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2CA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单位资金</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C9E9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95D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17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84EA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B6C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6446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B562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19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FDA7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13F2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6020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35E9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其他资金</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5C95">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E509">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17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6238B">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CA16">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DE94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C3B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19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61B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00A6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trPr>
        <w:tc>
          <w:tcPr>
            <w:tcW w:w="1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A301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绩效指标（90分）</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872B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一级指标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5C6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二级指标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D101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三级指标</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0413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指标性质</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7BFA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指标值</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E68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度量单位</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09B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完成值</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6075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权重</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3FA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得分</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CC7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未完成原因分析</w:t>
            </w:r>
          </w:p>
        </w:tc>
      </w:tr>
      <w:tr w14:paraId="541F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0E2D3">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E90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产出指标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53EF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A730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补助一项/年工作经费</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189B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D413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C46C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项</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2301">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微软雅黑" w:hAnsi="微软雅黑" w:eastAsia="微软雅黑" w:cs="微软雅黑"/>
                <w:i/>
                <w:iCs w:val="0"/>
                <w:color w:val="000000"/>
                <w:kern w:val="2"/>
                <w:sz w:val="15"/>
                <w:szCs w:val="15"/>
                <w:lang w:val="en-US" w:eastAsia="zh-CN" w:bidi="ar"/>
              </w:rPr>
              <w:t>1</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1B8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FEDD">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FA8F">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kern w:val="0"/>
                <w:sz w:val="15"/>
                <w:szCs w:val="15"/>
                <w:lang w:val="en-US" w:eastAsia="zh-CN" w:bidi="ar"/>
              </w:rPr>
              <w:t>无</w:t>
            </w:r>
          </w:p>
        </w:tc>
      </w:tr>
      <w:tr w14:paraId="638C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BDB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D7F1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D685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3E34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工作完成合格率</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80B7">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DAC9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96</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481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BC57F">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微软雅黑" w:hAnsi="微软雅黑" w:eastAsia="微软雅黑" w:cs="微软雅黑"/>
                <w:i/>
                <w:iCs w:val="0"/>
                <w:color w:val="000000"/>
                <w:kern w:val="2"/>
                <w:sz w:val="15"/>
                <w:szCs w:val="15"/>
                <w:lang w:val="en-US" w:eastAsia="zh-CN" w:bidi="ar"/>
              </w:rPr>
              <w:t>98</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A6A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F3A8">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20</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60E0B">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kern w:val="0"/>
                <w:sz w:val="15"/>
                <w:szCs w:val="15"/>
                <w:lang w:val="en-US" w:eastAsia="zh-CN" w:bidi="ar"/>
              </w:rPr>
              <w:t>无</w:t>
            </w:r>
          </w:p>
        </w:tc>
      </w:tr>
      <w:tr w14:paraId="7AF2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C5E33">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AF4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F9B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时效指标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A898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2023年1-12月前</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1B77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102C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E616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年</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42BA3">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796F">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B2C33">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CD24">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kern w:val="0"/>
                <w:sz w:val="15"/>
                <w:szCs w:val="15"/>
                <w:lang w:val="en-US" w:eastAsia="zh-CN" w:bidi="ar"/>
              </w:rPr>
              <w:t>无</w:t>
            </w:r>
          </w:p>
        </w:tc>
      </w:tr>
      <w:tr w14:paraId="39437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001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E65B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效益指标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1953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社会效益指标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281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发挥老科技工作者长期积累的科技知识所长，继续为科普宣传、党建工作、乡村振兴等服务。</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F5A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8177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3</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23B8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群次</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3634">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微软雅黑" w:hAnsi="微软雅黑" w:eastAsia="微软雅黑" w:cs="微软雅黑"/>
                <w:i/>
                <w:iCs w:val="0"/>
                <w:color w:val="000000"/>
                <w:kern w:val="2"/>
                <w:sz w:val="15"/>
                <w:szCs w:val="15"/>
                <w:lang w:val="en-US" w:eastAsia="zh-CN" w:bidi="ar"/>
              </w:rPr>
              <w:t>5</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D4C1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FB058">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B799">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kern w:val="0"/>
                <w:sz w:val="15"/>
                <w:szCs w:val="15"/>
                <w:lang w:val="en-US" w:eastAsia="zh-CN" w:bidi="ar"/>
              </w:rPr>
              <w:t>无</w:t>
            </w:r>
          </w:p>
        </w:tc>
      </w:tr>
      <w:tr w14:paraId="44E6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603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7F2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9070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可持续影响指标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35C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影响力</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7EF05">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589B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11C64">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年</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E6EBE">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微软雅黑" w:hAnsi="微软雅黑" w:eastAsia="微软雅黑" w:cs="微软雅黑"/>
                <w:i/>
                <w:iCs w:val="0"/>
                <w:color w:val="000000"/>
                <w:kern w:val="2"/>
                <w:sz w:val="15"/>
                <w:szCs w:val="15"/>
                <w:lang w:val="en-US" w:eastAsia="zh-CN" w:bidi="ar"/>
              </w:rPr>
              <w:t>2</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92A9">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C9352">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3ED3">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kern w:val="0"/>
                <w:sz w:val="15"/>
                <w:szCs w:val="15"/>
                <w:lang w:val="en-US" w:eastAsia="zh-CN" w:bidi="ar"/>
              </w:rPr>
              <w:t>无</w:t>
            </w:r>
          </w:p>
        </w:tc>
      </w:tr>
      <w:tr w14:paraId="4D4E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D5C1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35E0">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满意度指标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5182">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服务对象满意度指标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C751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各社会群体及州科协领导满意度可达95%左右。</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47C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719CE">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95</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32B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52EB6">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微软雅黑" w:hAnsi="微软雅黑" w:eastAsia="微软雅黑" w:cs="微软雅黑"/>
                <w:i/>
                <w:iCs w:val="0"/>
                <w:color w:val="000000"/>
                <w:kern w:val="2"/>
                <w:sz w:val="15"/>
                <w:szCs w:val="15"/>
                <w:lang w:val="en-US" w:eastAsia="zh-CN" w:bidi="ar"/>
              </w:rPr>
              <w:t>95</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761C">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BB123">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8</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F2DB9">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微软雅黑" w:hAnsi="微软雅黑" w:eastAsia="微软雅黑" w:cs="微软雅黑"/>
                <w:i/>
                <w:iCs/>
                <w:color w:val="000000"/>
                <w:kern w:val="0"/>
                <w:sz w:val="15"/>
                <w:szCs w:val="15"/>
                <w:lang w:val="en-US" w:eastAsia="zh-CN" w:bidi="ar"/>
              </w:rPr>
              <w:t>经费投入有限、部分工作深入开展受限。扣分2分。</w:t>
            </w:r>
          </w:p>
        </w:tc>
      </w:tr>
      <w:tr w14:paraId="4723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1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480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42958">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CE9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经济成本指标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501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年度工作经费</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C80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5C3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12</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020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万元</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17D89">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微软雅黑" w:hAnsi="微软雅黑" w:eastAsia="微软雅黑" w:cs="微软雅黑"/>
                <w:i/>
                <w:iCs w:val="0"/>
                <w:color w:val="000000"/>
                <w:kern w:val="2"/>
                <w:sz w:val="15"/>
                <w:szCs w:val="15"/>
                <w:lang w:val="en-US" w:eastAsia="zh-CN" w:bidi="ar"/>
              </w:rPr>
              <w:t>12</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604A">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39C3">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65B57">
            <w:pPr>
              <w:keepNext w:val="0"/>
              <w:keepLines w:val="0"/>
              <w:widowControl w:val="0"/>
              <w:suppressLineNumbers w:val="0"/>
              <w:spacing w:before="0" w:beforeAutospacing="0" w:after="0" w:afterAutospacing="0" w:line="180" w:lineRule="exact"/>
              <w:ind w:left="0" w:right="0"/>
              <w:jc w:val="center"/>
              <w:rPr>
                <w:rFonts w:hint="eastAsia" w:ascii="微软雅黑" w:hAnsi="微软雅黑" w:eastAsia="微软雅黑" w:cs="微软雅黑"/>
                <w:i/>
                <w:iCs w:val="0"/>
                <w:color w:val="000000"/>
                <w:sz w:val="15"/>
                <w:szCs w:val="15"/>
                <w:lang w:val="en-US"/>
              </w:rPr>
            </w:pPr>
            <w:r>
              <w:rPr>
                <w:rFonts w:hint="eastAsia" w:ascii="黑体" w:hAnsi="宋体" w:eastAsia="黑体" w:cs="黑体"/>
                <w:i/>
                <w:iCs w:val="0"/>
                <w:color w:val="000000"/>
                <w:kern w:val="0"/>
                <w:sz w:val="15"/>
                <w:szCs w:val="15"/>
                <w:lang w:val="en-US" w:eastAsia="zh-CN" w:bidi="ar"/>
              </w:rPr>
              <w:t>无</w:t>
            </w:r>
          </w:p>
        </w:tc>
      </w:tr>
      <w:tr w14:paraId="2614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trPr>
        <w:tc>
          <w:tcPr>
            <w:tcW w:w="6974"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B156">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合计</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54B83">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7429">
            <w:pPr>
              <w:keepNext w:val="0"/>
              <w:keepLines w:val="0"/>
              <w:widowControl w:val="0"/>
              <w:suppressLineNumbers w:val="0"/>
              <w:spacing w:before="0" w:beforeAutospacing="0" w:after="0" w:afterAutospacing="0" w:line="18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98</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3CF4">
            <w:pPr>
              <w:keepNext w:val="0"/>
              <w:keepLines w:val="0"/>
              <w:widowControl w:val="0"/>
              <w:suppressLineNumbers w:val="0"/>
              <w:spacing w:before="0" w:beforeAutospacing="0" w:after="0" w:afterAutospacing="0" w:line="180" w:lineRule="exact"/>
              <w:ind w:left="0" w:right="0"/>
              <w:jc w:val="both"/>
              <w:rPr>
                <w:rFonts w:hint="eastAsia" w:ascii="宋体" w:hAnsi="宋体" w:eastAsia="宋体" w:cs="宋体"/>
                <w:color w:val="000000"/>
                <w:sz w:val="15"/>
                <w:szCs w:val="15"/>
                <w:lang w:val="en-US"/>
              </w:rPr>
            </w:pPr>
          </w:p>
        </w:tc>
      </w:tr>
      <w:tr w14:paraId="4243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trPr>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AF31">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评价结论</w:t>
            </w:r>
          </w:p>
        </w:tc>
        <w:tc>
          <w:tcPr>
            <w:tcW w:w="9000"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2BB68">
            <w:pPr>
              <w:keepNext w:val="0"/>
              <w:keepLines w:val="0"/>
              <w:widowControl/>
              <w:suppressLineNumbers w:val="0"/>
              <w:spacing w:before="0" w:beforeAutospacing="0" w:after="0" w:afterAutospacing="0" w:line="180" w:lineRule="exact"/>
              <w:ind w:left="0" w:right="0"/>
              <w:jc w:val="left"/>
              <w:textAlignment w:val="center"/>
              <w:rPr>
                <w:rFonts w:hint="eastAsia" w:ascii="微软雅黑" w:hAnsi="微软雅黑" w:eastAsia="微软雅黑" w:cs="微软雅黑"/>
                <w:i/>
                <w:iCs w:val="0"/>
                <w:color w:val="000000"/>
                <w:sz w:val="15"/>
                <w:szCs w:val="15"/>
                <w:lang w:val="en-US"/>
              </w:rPr>
            </w:pPr>
            <w:r>
              <w:rPr>
                <w:rFonts w:hint="eastAsia" w:ascii="微软雅黑" w:hAnsi="微软雅黑" w:eastAsia="微软雅黑" w:cs="微软雅黑"/>
                <w:i/>
                <w:iCs/>
                <w:color w:val="000000"/>
                <w:kern w:val="0"/>
                <w:sz w:val="15"/>
                <w:szCs w:val="15"/>
                <w:lang w:val="en-US" w:eastAsia="zh-CN" w:bidi="ar"/>
              </w:rPr>
              <w:t>年度开展了农村科普和城市科普活动，结合乡村振兴工作开展世界首创彩色花油菜示范种植，联手省老科协实施ESS（美国科技教育协会）资助贫困生，先后举办了种养殖培</w:t>
            </w:r>
            <w:r>
              <w:rPr>
                <w:rFonts w:hint="eastAsia" w:ascii="微软雅黑" w:hAnsi="微软雅黑" w:eastAsia="微软雅黑" w:cs="微软雅黑"/>
                <w:i/>
                <w:iCs/>
                <w:kern w:val="0"/>
                <w:sz w:val="15"/>
                <w:szCs w:val="15"/>
                <w:lang w:val="en-US" w:eastAsia="zh-CN" w:bidi="ar"/>
              </w:rPr>
              <w:t>训班3期，</w:t>
            </w:r>
            <w:r>
              <w:rPr>
                <w:rFonts w:hint="eastAsia" w:ascii="微软雅黑" w:hAnsi="微软雅黑" w:eastAsia="微软雅黑" w:cs="微软雅黑"/>
                <w:i/>
                <w:iCs/>
                <w:color w:val="000000"/>
                <w:kern w:val="0"/>
                <w:sz w:val="15"/>
                <w:szCs w:val="15"/>
                <w:lang w:val="en-US" w:eastAsia="zh-CN" w:bidi="ar"/>
              </w:rPr>
              <w:t>完成了调研县建立老科协组织事宜，积极参与省、州老科协布置的调研项目任务、州委州政府森林防灭火等工作。从产出、效益、满意度指标等进行了以上打分，预算执行率100%，执行情况良好，自评得分98分。</w:t>
            </w:r>
          </w:p>
        </w:tc>
      </w:tr>
      <w:tr w14:paraId="385E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CDFD">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存在问题</w:t>
            </w:r>
          </w:p>
        </w:tc>
        <w:tc>
          <w:tcPr>
            <w:tcW w:w="9000"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F7BD2">
            <w:pPr>
              <w:keepNext w:val="0"/>
              <w:keepLines w:val="0"/>
              <w:widowControl/>
              <w:suppressLineNumbers w:val="0"/>
              <w:spacing w:before="0" w:beforeAutospacing="0" w:after="0" w:afterAutospacing="0" w:line="180" w:lineRule="exact"/>
              <w:ind w:left="0" w:right="0"/>
              <w:jc w:val="left"/>
              <w:textAlignment w:val="center"/>
              <w:rPr>
                <w:rFonts w:hint="eastAsia" w:ascii="微软雅黑" w:hAnsi="微软雅黑" w:eastAsia="微软雅黑" w:cs="微软雅黑"/>
                <w:i/>
                <w:iCs w:val="0"/>
                <w:color w:val="000000"/>
                <w:sz w:val="15"/>
                <w:szCs w:val="15"/>
                <w:lang w:val="en-US"/>
              </w:rPr>
            </w:pPr>
            <w:r>
              <w:rPr>
                <w:rFonts w:hint="eastAsia" w:ascii="微软雅黑" w:hAnsi="微软雅黑" w:eastAsia="微软雅黑" w:cs="微软雅黑"/>
                <w:i/>
                <w:iCs/>
                <w:color w:val="000000"/>
                <w:kern w:val="0"/>
                <w:sz w:val="15"/>
                <w:szCs w:val="15"/>
                <w:lang w:val="en-US" w:eastAsia="zh-CN" w:bidi="ar"/>
              </w:rPr>
              <w:t>经费投入有限、部分工作深入开展受限。</w:t>
            </w:r>
          </w:p>
        </w:tc>
      </w:tr>
      <w:tr w14:paraId="384E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5EAB">
            <w:pPr>
              <w:keepNext w:val="0"/>
              <w:keepLines w:val="0"/>
              <w:widowControl/>
              <w:suppressLineNumbers w:val="0"/>
              <w:spacing w:before="0" w:beforeAutospacing="0" w:after="0" w:afterAutospacing="0" w:line="180" w:lineRule="exact"/>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改进措施</w:t>
            </w:r>
          </w:p>
        </w:tc>
        <w:tc>
          <w:tcPr>
            <w:tcW w:w="9000"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2EDAC">
            <w:pPr>
              <w:keepNext w:val="0"/>
              <w:keepLines w:val="0"/>
              <w:widowControl/>
              <w:suppressLineNumbers w:val="0"/>
              <w:spacing w:before="0" w:beforeAutospacing="0" w:after="0" w:afterAutospacing="0" w:line="180" w:lineRule="exact"/>
              <w:ind w:left="0" w:right="0"/>
              <w:jc w:val="left"/>
              <w:textAlignment w:val="center"/>
              <w:rPr>
                <w:rFonts w:hint="eastAsia" w:ascii="微软雅黑" w:hAnsi="微软雅黑" w:eastAsia="微软雅黑" w:cs="微软雅黑"/>
                <w:i/>
                <w:iCs w:val="0"/>
                <w:color w:val="000000"/>
                <w:sz w:val="15"/>
                <w:szCs w:val="15"/>
                <w:lang w:val="en-US"/>
              </w:rPr>
            </w:pPr>
            <w:r>
              <w:rPr>
                <w:rFonts w:hint="eastAsia" w:ascii="微软雅黑" w:hAnsi="微软雅黑" w:eastAsia="微软雅黑" w:cs="微软雅黑"/>
                <w:i/>
                <w:iCs/>
                <w:color w:val="000000"/>
                <w:kern w:val="0"/>
                <w:sz w:val="15"/>
                <w:szCs w:val="15"/>
                <w:lang w:val="en-US" w:eastAsia="zh-CN" w:bidi="ar"/>
              </w:rPr>
              <w:t>协调各级主管部门、争取增加科普资金，进一步深入开展工作。</w:t>
            </w:r>
          </w:p>
        </w:tc>
      </w:tr>
      <w:tr w14:paraId="1817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481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5CD2">
            <w:pPr>
              <w:keepNext w:val="0"/>
              <w:keepLines w:val="0"/>
              <w:widowControl/>
              <w:suppressLineNumbers w:val="0"/>
              <w:spacing w:before="0" w:beforeAutospacing="0" w:after="0" w:afterAutospacing="0" w:line="180" w:lineRule="exact"/>
              <w:ind w:left="0" w:right="0"/>
              <w:jc w:val="left"/>
              <w:textAlignment w:val="center"/>
              <w:rPr>
                <w:rFonts w:hint="eastAsia" w:ascii="黑体" w:hAnsi="宋体" w:eastAsia="黑体" w:cs="黑体"/>
                <w:color w:val="000000"/>
                <w:sz w:val="15"/>
                <w:szCs w:val="15"/>
                <w:lang w:val="en-US"/>
              </w:rPr>
            </w:pPr>
            <w:r>
              <w:rPr>
                <w:rFonts w:hint="eastAsia" w:ascii="黑体" w:hAnsi="宋体" w:eastAsia="黑体" w:cs="黑体"/>
                <w:color w:val="000000"/>
                <w:kern w:val="0"/>
                <w:sz w:val="15"/>
                <w:szCs w:val="15"/>
                <w:lang w:val="en-US" w:eastAsia="zh-CN" w:bidi="ar"/>
              </w:rPr>
              <w:t>项目负责人：黄发元</w:t>
            </w:r>
          </w:p>
        </w:tc>
        <w:tc>
          <w:tcPr>
            <w:tcW w:w="5189"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AB2B1">
            <w:pPr>
              <w:keepNext w:val="0"/>
              <w:keepLines w:val="0"/>
              <w:widowControl/>
              <w:suppressLineNumbers w:val="0"/>
              <w:spacing w:before="0" w:beforeAutospacing="0" w:after="0" w:afterAutospacing="0" w:line="180" w:lineRule="exact"/>
              <w:ind w:left="0" w:right="0"/>
              <w:jc w:val="left"/>
              <w:textAlignment w:val="center"/>
              <w:rPr>
                <w:rFonts w:hint="eastAsia" w:ascii="黑体" w:hAnsi="宋体" w:eastAsia="黑体" w:cs="黑体"/>
                <w:color w:val="000000"/>
                <w:sz w:val="15"/>
                <w:szCs w:val="15"/>
                <w:lang w:val="en-US"/>
              </w:rPr>
            </w:pPr>
            <w:r>
              <w:rPr>
                <w:rFonts w:hint="eastAsia" w:ascii="黑体" w:hAnsi="宋体" w:eastAsia="黑体" w:cs="黑体"/>
                <w:color w:val="000000"/>
                <w:kern w:val="0"/>
                <w:sz w:val="15"/>
                <w:szCs w:val="15"/>
                <w:lang w:val="en-US" w:eastAsia="zh-CN" w:bidi="ar"/>
              </w:rPr>
              <w:t>财务负责人：毛正华</w:t>
            </w:r>
          </w:p>
        </w:tc>
      </w:tr>
    </w:tbl>
    <w:tbl>
      <w:tblPr>
        <w:tblStyle w:val="18"/>
        <w:tblpPr w:leftFromText="180" w:rightFromText="180" w:vertAnchor="text" w:horzAnchor="page" w:tblpX="1126" w:tblpY="65"/>
        <w:tblOverlap w:val="never"/>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965"/>
        <w:gridCol w:w="987"/>
        <w:gridCol w:w="1477"/>
        <w:gridCol w:w="237"/>
        <w:gridCol w:w="600"/>
        <w:gridCol w:w="598"/>
        <w:gridCol w:w="425"/>
        <w:gridCol w:w="823"/>
        <w:gridCol w:w="456"/>
        <w:gridCol w:w="422"/>
        <w:gridCol w:w="1936"/>
      </w:tblGrid>
      <w:tr w14:paraId="72A4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69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63EA7F">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15"/>
                <w:szCs w:val="15"/>
                <w:lang w:val="en-US"/>
              </w:rPr>
            </w:pPr>
            <w:r>
              <w:rPr>
                <w:rFonts w:hint="eastAsia" w:ascii="黑体" w:hAnsi="宋体" w:eastAsia="黑体" w:cs="宋体"/>
                <w:b/>
                <w:bCs/>
                <w:kern w:val="0"/>
                <w:sz w:val="24"/>
                <w:szCs w:val="24"/>
                <w:lang w:val="en-US" w:eastAsia="zh-CN" w:bidi="ar"/>
              </w:rPr>
              <w:t>部门预算项目支出绩效自评表（2023年度）</w:t>
            </w:r>
          </w:p>
        </w:tc>
      </w:tr>
      <w:tr w14:paraId="0ECC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1884D">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项目名称</w:t>
            </w:r>
          </w:p>
        </w:tc>
        <w:tc>
          <w:tcPr>
            <w:tcW w:w="7959" w:type="dxa"/>
            <w:gridSpan w:val="10"/>
            <w:tcBorders>
              <w:top w:val="single" w:color="000000" w:sz="4" w:space="0"/>
              <w:left w:val="nil"/>
              <w:bottom w:val="single" w:color="000000" w:sz="4" w:space="0"/>
              <w:right w:val="single" w:color="000000" w:sz="4" w:space="0"/>
            </w:tcBorders>
            <w:shd w:val="clear" w:color="auto" w:fill="auto"/>
            <w:vAlign w:val="center"/>
          </w:tcPr>
          <w:p w14:paraId="45F8AB85">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51340022T000005849018-省级科普专项资金</w:t>
            </w:r>
          </w:p>
        </w:tc>
      </w:tr>
      <w:tr w14:paraId="2792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91B8A">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主管部门</w:t>
            </w:r>
          </w:p>
        </w:tc>
        <w:tc>
          <w:tcPr>
            <w:tcW w:w="3898" w:type="dxa"/>
            <w:gridSpan w:val="5"/>
            <w:tcBorders>
              <w:top w:val="single" w:color="000000" w:sz="4" w:space="0"/>
              <w:left w:val="nil"/>
              <w:bottom w:val="single" w:color="000000" w:sz="4" w:space="0"/>
              <w:right w:val="single" w:color="000000" w:sz="4" w:space="0"/>
            </w:tcBorders>
            <w:shd w:val="clear" w:color="auto" w:fill="auto"/>
            <w:vAlign w:val="center"/>
          </w:tcPr>
          <w:p w14:paraId="6EE795A8">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凉山州科学技术协会部门</w:t>
            </w:r>
          </w:p>
        </w:tc>
        <w:tc>
          <w:tcPr>
            <w:tcW w:w="1704" w:type="dxa"/>
            <w:gridSpan w:val="3"/>
            <w:shd w:val="clear" w:color="auto" w:fill="auto"/>
            <w:vAlign w:val="center"/>
          </w:tcPr>
          <w:p w14:paraId="5019FFB9">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实施单位 （盖章）</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FE0C">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凉山州科学技术协会</w:t>
            </w:r>
          </w:p>
        </w:tc>
      </w:tr>
      <w:tr w14:paraId="4D57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4" w:type="dxa"/>
            <w:vMerge w:val="restart"/>
            <w:tcBorders>
              <w:top w:val="nil"/>
              <w:left w:val="single" w:color="000000" w:sz="4" w:space="0"/>
              <w:bottom w:val="single" w:color="000000" w:sz="4" w:space="0"/>
              <w:right w:val="single" w:color="000000" w:sz="4" w:space="0"/>
            </w:tcBorders>
            <w:shd w:val="clear" w:color="auto" w:fill="auto"/>
            <w:vAlign w:val="center"/>
          </w:tcPr>
          <w:p w14:paraId="264C0CC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项目基本情况</w:t>
            </w:r>
          </w:p>
        </w:tc>
        <w:tc>
          <w:tcPr>
            <w:tcW w:w="965" w:type="dxa"/>
            <w:vMerge w:val="restart"/>
            <w:tcBorders>
              <w:top w:val="nil"/>
              <w:left w:val="single" w:color="000000" w:sz="4" w:space="0"/>
              <w:bottom w:val="single" w:color="000000" w:sz="4" w:space="0"/>
              <w:right w:val="single" w:color="000000" w:sz="4" w:space="0"/>
            </w:tcBorders>
            <w:shd w:val="clear" w:color="auto" w:fill="auto"/>
            <w:vAlign w:val="center"/>
          </w:tcPr>
          <w:p w14:paraId="2286389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1.项目年度目标完成情况</w:t>
            </w:r>
          </w:p>
        </w:tc>
        <w:tc>
          <w:tcPr>
            <w:tcW w:w="3898" w:type="dxa"/>
            <w:gridSpan w:val="5"/>
            <w:tcBorders>
              <w:top w:val="single" w:color="000000" w:sz="4" w:space="0"/>
              <w:left w:val="nil"/>
              <w:bottom w:val="single" w:color="000000" w:sz="4" w:space="0"/>
              <w:right w:val="single" w:color="000000" w:sz="4" w:space="0"/>
            </w:tcBorders>
            <w:shd w:val="clear" w:color="auto" w:fill="auto"/>
            <w:vAlign w:val="center"/>
          </w:tcPr>
          <w:p w14:paraId="33E60139">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项目年度目标</w:t>
            </w:r>
          </w:p>
        </w:tc>
        <w:tc>
          <w:tcPr>
            <w:tcW w:w="4061" w:type="dxa"/>
            <w:gridSpan w:val="5"/>
            <w:tcBorders>
              <w:top w:val="single" w:color="000000" w:sz="4" w:space="0"/>
              <w:left w:val="nil"/>
              <w:bottom w:val="single" w:color="000000" w:sz="4" w:space="0"/>
              <w:right w:val="single" w:color="000000" w:sz="4" w:space="0"/>
            </w:tcBorders>
            <w:shd w:val="clear" w:color="auto" w:fill="auto"/>
            <w:vAlign w:val="center"/>
          </w:tcPr>
          <w:p w14:paraId="5CC6521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年度目标完成情况</w:t>
            </w:r>
          </w:p>
        </w:tc>
      </w:tr>
      <w:tr w14:paraId="0448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09AC236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vMerge w:val="continue"/>
            <w:tcBorders>
              <w:top w:val="nil"/>
              <w:left w:val="single" w:color="000000" w:sz="4" w:space="0"/>
              <w:bottom w:val="single" w:color="000000" w:sz="4" w:space="0"/>
              <w:right w:val="single" w:color="000000" w:sz="4" w:space="0"/>
            </w:tcBorders>
            <w:shd w:val="clear" w:color="auto" w:fill="auto"/>
            <w:vAlign w:val="center"/>
          </w:tcPr>
          <w:p w14:paraId="24B7AAB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3898" w:type="dxa"/>
            <w:gridSpan w:val="5"/>
            <w:tcBorders>
              <w:top w:val="single" w:color="000000" w:sz="4" w:space="0"/>
              <w:left w:val="nil"/>
              <w:bottom w:val="single" w:color="000000" w:sz="4" w:space="0"/>
              <w:right w:val="single" w:color="000000" w:sz="4" w:space="0"/>
            </w:tcBorders>
            <w:shd w:val="clear" w:color="auto" w:fill="auto"/>
            <w:vAlign w:val="center"/>
          </w:tcPr>
          <w:p w14:paraId="63B63BE4">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计划开展天府科技云首届乡土人才大赛；继续办好《科学发展期刊》建设；维护天府科技云运维平台；向院士专家工作站、社区、农技协补助各项目经费。</w:t>
            </w:r>
          </w:p>
        </w:tc>
        <w:tc>
          <w:tcPr>
            <w:tcW w:w="4061" w:type="dxa"/>
            <w:gridSpan w:val="5"/>
            <w:tcBorders>
              <w:top w:val="single" w:color="000000" w:sz="4" w:space="0"/>
              <w:left w:val="nil"/>
              <w:bottom w:val="single" w:color="000000" w:sz="4" w:space="0"/>
              <w:right w:val="single" w:color="000000" w:sz="4" w:space="0"/>
            </w:tcBorders>
            <w:shd w:val="clear" w:color="auto" w:fill="auto"/>
            <w:vAlign w:val="center"/>
          </w:tcPr>
          <w:p w14:paraId="270DE85E">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完成了天府科技云首届乡土人才大赛；继续办好《科学发展期刊》建设；维护天府科技云运维平台；向院士专家工作站、社区、农技协补助各项目经费。</w:t>
            </w:r>
          </w:p>
        </w:tc>
      </w:tr>
      <w:tr w14:paraId="6A79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2328080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tcBorders>
              <w:top w:val="nil"/>
              <w:left w:val="nil"/>
              <w:bottom w:val="single" w:color="000000" w:sz="4" w:space="0"/>
              <w:right w:val="single" w:color="000000" w:sz="4" w:space="0"/>
            </w:tcBorders>
            <w:shd w:val="clear" w:color="auto" w:fill="auto"/>
            <w:vAlign w:val="center"/>
          </w:tcPr>
          <w:p w14:paraId="6DF9DA20">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2.项目实施内容及过程概述</w:t>
            </w:r>
          </w:p>
        </w:tc>
        <w:tc>
          <w:tcPr>
            <w:tcW w:w="7959" w:type="dxa"/>
            <w:gridSpan w:val="10"/>
            <w:tcBorders>
              <w:top w:val="single" w:color="000000" w:sz="4" w:space="0"/>
              <w:left w:val="nil"/>
              <w:bottom w:val="single" w:color="000000" w:sz="4" w:space="0"/>
              <w:right w:val="single" w:color="000000" w:sz="4" w:space="0"/>
            </w:tcBorders>
            <w:shd w:val="clear" w:color="auto" w:fill="auto"/>
            <w:vAlign w:val="center"/>
          </w:tcPr>
          <w:p w14:paraId="6E33913D">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协调组织举办了17县市相关部门200人次左右参与的天府科技云首届乡土人才大赛；面向17县市相关部</w:t>
            </w:r>
            <w:r>
              <w:rPr>
                <w:rFonts w:hint="eastAsia" w:ascii="宋体" w:hAnsi="宋体" w:eastAsia="宋体" w:cs="宋体"/>
                <w:kern w:val="0"/>
                <w:sz w:val="15"/>
                <w:szCs w:val="15"/>
                <w:lang w:val="en-US" w:eastAsia="zh-CN" w:bidi="ar"/>
              </w:rPr>
              <w:t>门发刊4期《科学</w:t>
            </w:r>
            <w:r>
              <w:rPr>
                <w:rFonts w:hint="eastAsia" w:ascii="宋体" w:hAnsi="宋体" w:eastAsia="宋体" w:cs="宋体"/>
                <w:color w:val="000000"/>
                <w:kern w:val="0"/>
                <w:sz w:val="15"/>
                <w:szCs w:val="15"/>
                <w:lang w:val="en-US" w:eastAsia="zh-CN" w:bidi="ar"/>
              </w:rPr>
              <w:t>发展期刊》；引入专业机构维护天府科技云运维平台；向院士专家工作站、社区、农技协拨付了各项目补助经费。</w:t>
            </w:r>
          </w:p>
        </w:tc>
      </w:tr>
      <w:tr w14:paraId="5E5D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4" w:type="dxa"/>
            <w:vMerge w:val="restart"/>
            <w:tcBorders>
              <w:top w:val="nil"/>
              <w:left w:val="single" w:color="000000" w:sz="4" w:space="0"/>
              <w:bottom w:val="single" w:color="000000" w:sz="4" w:space="0"/>
              <w:right w:val="single" w:color="000000" w:sz="4" w:space="0"/>
            </w:tcBorders>
            <w:shd w:val="clear" w:color="auto" w:fill="auto"/>
            <w:vAlign w:val="center"/>
          </w:tcPr>
          <w:p w14:paraId="02BED44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预算执行情况（10分）</w:t>
            </w:r>
          </w:p>
        </w:tc>
        <w:tc>
          <w:tcPr>
            <w:tcW w:w="965" w:type="dxa"/>
            <w:tcBorders>
              <w:top w:val="nil"/>
              <w:left w:val="nil"/>
              <w:bottom w:val="single" w:color="000000" w:sz="4" w:space="0"/>
              <w:right w:val="single" w:color="000000" w:sz="4" w:space="0"/>
            </w:tcBorders>
            <w:shd w:val="clear" w:color="auto" w:fill="auto"/>
            <w:vAlign w:val="center"/>
          </w:tcPr>
          <w:p w14:paraId="0AF810D8">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年度预算数（万元）</w:t>
            </w:r>
          </w:p>
        </w:tc>
        <w:tc>
          <w:tcPr>
            <w:tcW w:w="987" w:type="dxa"/>
            <w:tcBorders>
              <w:top w:val="nil"/>
              <w:left w:val="nil"/>
              <w:bottom w:val="single" w:color="000000" w:sz="4" w:space="0"/>
              <w:right w:val="single" w:color="000000" w:sz="4" w:space="0"/>
            </w:tcBorders>
            <w:shd w:val="clear" w:color="auto" w:fill="auto"/>
            <w:vAlign w:val="center"/>
          </w:tcPr>
          <w:p w14:paraId="2C79A01F">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年初预算</w:t>
            </w:r>
          </w:p>
        </w:tc>
        <w:tc>
          <w:tcPr>
            <w:tcW w:w="1713" w:type="dxa"/>
            <w:gridSpan w:val="2"/>
            <w:tcBorders>
              <w:top w:val="nil"/>
              <w:left w:val="nil"/>
              <w:bottom w:val="single" w:color="000000" w:sz="4" w:space="0"/>
              <w:right w:val="single" w:color="000000" w:sz="4" w:space="0"/>
            </w:tcBorders>
            <w:shd w:val="clear" w:color="auto" w:fill="auto"/>
            <w:vAlign w:val="center"/>
          </w:tcPr>
          <w:p w14:paraId="3A7439F9">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调整后预算数</w:t>
            </w:r>
          </w:p>
        </w:tc>
        <w:tc>
          <w:tcPr>
            <w:tcW w:w="1623" w:type="dxa"/>
            <w:gridSpan w:val="3"/>
            <w:tcBorders>
              <w:top w:val="single" w:color="000000" w:sz="4" w:space="0"/>
              <w:left w:val="nil"/>
              <w:bottom w:val="single" w:color="000000" w:sz="4" w:space="0"/>
              <w:right w:val="single" w:color="000000" w:sz="4" w:space="0"/>
            </w:tcBorders>
            <w:shd w:val="clear" w:color="auto" w:fill="auto"/>
            <w:vAlign w:val="center"/>
          </w:tcPr>
          <w:p w14:paraId="26565D7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预算执行数</w:t>
            </w:r>
          </w:p>
        </w:tc>
        <w:tc>
          <w:tcPr>
            <w:tcW w:w="823" w:type="dxa"/>
            <w:tcBorders>
              <w:top w:val="nil"/>
              <w:left w:val="nil"/>
              <w:bottom w:val="single" w:color="000000" w:sz="4" w:space="0"/>
              <w:right w:val="single" w:color="000000" w:sz="4" w:space="0"/>
            </w:tcBorders>
            <w:shd w:val="clear" w:color="auto" w:fill="auto"/>
            <w:vAlign w:val="center"/>
          </w:tcPr>
          <w:p w14:paraId="54A8F33A">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预算执行率</w:t>
            </w:r>
          </w:p>
        </w:tc>
        <w:tc>
          <w:tcPr>
            <w:tcW w:w="456" w:type="dxa"/>
            <w:tcBorders>
              <w:top w:val="nil"/>
              <w:left w:val="nil"/>
              <w:bottom w:val="single" w:color="000000" w:sz="4" w:space="0"/>
              <w:right w:val="single" w:color="000000" w:sz="4" w:space="0"/>
            </w:tcBorders>
            <w:shd w:val="clear" w:color="auto" w:fill="auto"/>
            <w:vAlign w:val="center"/>
          </w:tcPr>
          <w:p w14:paraId="27A8A8D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权重</w:t>
            </w:r>
          </w:p>
        </w:tc>
        <w:tc>
          <w:tcPr>
            <w:tcW w:w="422" w:type="dxa"/>
            <w:tcBorders>
              <w:top w:val="nil"/>
              <w:left w:val="nil"/>
              <w:bottom w:val="single" w:color="000000" w:sz="4" w:space="0"/>
              <w:right w:val="single" w:color="000000" w:sz="4" w:space="0"/>
            </w:tcBorders>
            <w:shd w:val="clear" w:color="auto" w:fill="auto"/>
            <w:vAlign w:val="center"/>
          </w:tcPr>
          <w:p w14:paraId="756102E6">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得分</w:t>
            </w:r>
          </w:p>
        </w:tc>
        <w:tc>
          <w:tcPr>
            <w:tcW w:w="1935" w:type="dxa"/>
            <w:tcBorders>
              <w:top w:val="nil"/>
              <w:left w:val="nil"/>
              <w:bottom w:val="single" w:color="000000" w:sz="4" w:space="0"/>
              <w:right w:val="single" w:color="000000" w:sz="4" w:space="0"/>
            </w:tcBorders>
            <w:shd w:val="clear" w:color="auto" w:fill="auto"/>
            <w:vAlign w:val="center"/>
          </w:tcPr>
          <w:p w14:paraId="3F152734">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原因</w:t>
            </w:r>
          </w:p>
        </w:tc>
      </w:tr>
      <w:tr w14:paraId="56A82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46B7AB0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tcBorders>
              <w:top w:val="nil"/>
              <w:left w:val="nil"/>
              <w:bottom w:val="single" w:color="000000" w:sz="4" w:space="0"/>
              <w:right w:val="single" w:color="000000" w:sz="4" w:space="0"/>
            </w:tcBorders>
            <w:shd w:val="clear" w:color="auto" w:fill="auto"/>
            <w:vAlign w:val="center"/>
          </w:tcPr>
          <w:p w14:paraId="414A47B7">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总额</w:t>
            </w:r>
          </w:p>
        </w:tc>
        <w:tc>
          <w:tcPr>
            <w:tcW w:w="987" w:type="dxa"/>
            <w:tcBorders>
              <w:top w:val="nil"/>
              <w:left w:val="nil"/>
              <w:bottom w:val="single" w:color="000000" w:sz="4" w:space="0"/>
              <w:right w:val="single" w:color="000000" w:sz="4" w:space="0"/>
            </w:tcBorders>
            <w:shd w:val="clear" w:color="auto" w:fill="auto"/>
            <w:vAlign w:val="center"/>
          </w:tcPr>
          <w:p w14:paraId="3DB62B6E">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713" w:type="dxa"/>
            <w:gridSpan w:val="2"/>
            <w:tcBorders>
              <w:top w:val="nil"/>
              <w:left w:val="nil"/>
              <w:bottom w:val="single" w:color="000000" w:sz="4" w:space="0"/>
              <w:right w:val="single" w:color="000000" w:sz="4" w:space="0"/>
            </w:tcBorders>
            <w:shd w:val="clear" w:color="auto" w:fill="auto"/>
            <w:vAlign w:val="center"/>
          </w:tcPr>
          <w:p w14:paraId="628556B8">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82.90</w:t>
            </w:r>
          </w:p>
        </w:tc>
        <w:tc>
          <w:tcPr>
            <w:tcW w:w="1623" w:type="dxa"/>
            <w:gridSpan w:val="3"/>
            <w:tcBorders>
              <w:top w:val="single" w:color="000000" w:sz="4" w:space="0"/>
              <w:left w:val="nil"/>
              <w:bottom w:val="single" w:color="000000" w:sz="4" w:space="0"/>
              <w:right w:val="single" w:color="000000" w:sz="4" w:space="0"/>
            </w:tcBorders>
            <w:shd w:val="clear" w:color="auto" w:fill="auto"/>
            <w:vAlign w:val="center"/>
          </w:tcPr>
          <w:p w14:paraId="6BC14332">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82.90</w:t>
            </w:r>
          </w:p>
        </w:tc>
        <w:tc>
          <w:tcPr>
            <w:tcW w:w="823" w:type="dxa"/>
            <w:tcBorders>
              <w:top w:val="nil"/>
              <w:left w:val="nil"/>
              <w:bottom w:val="single" w:color="000000" w:sz="4" w:space="0"/>
              <w:right w:val="single" w:color="000000" w:sz="4" w:space="0"/>
            </w:tcBorders>
            <w:shd w:val="clear" w:color="auto" w:fill="auto"/>
            <w:vAlign w:val="center"/>
          </w:tcPr>
          <w:p w14:paraId="0A3FA5A9">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100.00%</w:t>
            </w:r>
          </w:p>
        </w:tc>
        <w:tc>
          <w:tcPr>
            <w:tcW w:w="456" w:type="dxa"/>
            <w:tcBorders>
              <w:top w:val="nil"/>
              <w:left w:val="nil"/>
              <w:bottom w:val="single" w:color="000000" w:sz="4" w:space="0"/>
              <w:right w:val="single" w:color="000000" w:sz="4" w:space="0"/>
            </w:tcBorders>
            <w:shd w:val="clear" w:color="auto" w:fill="auto"/>
            <w:vAlign w:val="center"/>
          </w:tcPr>
          <w:p w14:paraId="5620FBC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422" w:type="dxa"/>
            <w:tcBorders>
              <w:top w:val="nil"/>
              <w:left w:val="nil"/>
              <w:bottom w:val="single" w:color="000000" w:sz="4" w:space="0"/>
              <w:right w:val="single" w:color="000000" w:sz="4" w:space="0"/>
            </w:tcBorders>
            <w:shd w:val="clear" w:color="auto" w:fill="auto"/>
            <w:vAlign w:val="center"/>
          </w:tcPr>
          <w:p w14:paraId="23017534">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1935" w:type="dxa"/>
            <w:vMerge w:val="restart"/>
            <w:tcBorders>
              <w:top w:val="nil"/>
              <w:left w:val="single" w:color="000000" w:sz="4" w:space="0"/>
              <w:bottom w:val="single" w:color="000000" w:sz="4" w:space="0"/>
              <w:right w:val="single" w:color="000000" w:sz="4" w:space="0"/>
            </w:tcBorders>
            <w:shd w:val="clear" w:color="auto" w:fill="auto"/>
            <w:vAlign w:val="center"/>
          </w:tcPr>
          <w:p w14:paraId="1798839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kern w:val="0"/>
                <w:sz w:val="15"/>
                <w:szCs w:val="15"/>
                <w:lang w:val="en-US"/>
              </w:rPr>
            </w:pPr>
            <w:r>
              <w:rPr>
                <w:rFonts w:hint="eastAsia" w:ascii="宋体" w:hAnsi="宋体" w:eastAsia="宋体" w:cs="宋体"/>
                <w:i/>
                <w:iCs/>
                <w:color w:val="000000"/>
                <w:kern w:val="0"/>
                <w:sz w:val="15"/>
                <w:szCs w:val="15"/>
                <w:lang w:val="en-US" w:eastAsia="zh-CN" w:bidi="ar"/>
              </w:rPr>
              <w:t>无</w:t>
            </w:r>
          </w:p>
        </w:tc>
      </w:tr>
      <w:tr w14:paraId="61C6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7989E4D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tcBorders>
              <w:top w:val="nil"/>
              <w:left w:val="nil"/>
              <w:bottom w:val="single" w:color="000000" w:sz="4" w:space="0"/>
              <w:right w:val="single" w:color="000000" w:sz="4" w:space="0"/>
            </w:tcBorders>
            <w:shd w:val="clear" w:color="auto" w:fill="auto"/>
            <w:vAlign w:val="center"/>
          </w:tcPr>
          <w:p w14:paraId="3BAD7382">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其中：财政资金</w:t>
            </w:r>
          </w:p>
        </w:tc>
        <w:tc>
          <w:tcPr>
            <w:tcW w:w="987" w:type="dxa"/>
            <w:tcBorders>
              <w:top w:val="nil"/>
              <w:left w:val="nil"/>
              <w:bottom w:val="single" w:color="000000" w:sz="4" w:space="0"/>
              <w:right w:val="single" w:color="000000" w:sz="4" w:space="0"/>
            </w:tcBorders>
            <w:shd w:val="clear" w:color="auto" w:fill="auto"/>
            <w:vAlign w:val="center"/>
          </w:tcPr>
          <w:p w14:paraId="393D92C2">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713" w:type="dxa"/>
            <w:gridSpan w:val="2"/>
            <w:tcBorders>
              <w:top w:val="nil"/>
              <w:left w:val="nil"/>
              <w:bottom w:val="single" w:color="000000" w:sz="4" w:space="0"/>
              <w:right w:val="single" w:color="000000" w:sz="4" w:space="0"/>
            </w:tcBorders>
            <w:shd w:val="clear" w:color="auto" w:fill="auto"/>
            <w:vAlign w:val="center"/>
          </w:tcPr>
          <w:p w14:paraId="3E151B25">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82.90</w:t>
            </w:r>
          </w:p>
        </w:tc>
        <w:tc>
          <w:tcPr>
            <w:tcW w:w="1623" w:type="dxa"/>
            <w:gridSpan w:val="3"/>
            <w:tcBorders>
              <w:top w:val="single" w:color="000000" w:sz="4" w:space="0"/>
              <w:left w:val="nil"/>
              <w:bottom w:val="single" w:color="000000" w:sz="4" w:space="0"/>
              <w:right w:val="single" w:color="000000" w:sz="4" w:space="0"/>
            </w:tcBorders>
            <w:shd w:val="clear" w:color="auto" w:fill="auto"/>
            <w:vAlign w:val="center"/>
          </w:tcPr>
          <w:p w14:paraId="0D464F20">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82.90</w:t>
            </w:r>
          </w:p>
        </w:tc>
        <w:tc>
          <w:tcPr>
            <w:tcW w:w="823" w:type="dxa"/>
            <w:tcBorders>
              <w:top w:val="nil"/>
              <w:left w:val="nil"/>
              <w:bottom w:val="single" w:color="000000" w:sz="4" w:space="0"/>
              <w:right w:val="single" w:color="000000" w:sz="4" w:space="0"/>
            </w:tcBorders>
            <w:shd w:val="clear" w:color="auto" w:fill="auto"/>
            <w:vAlign w:val="center"/>
          </w:tcPr>
          <w:p w14:paraId="38017312">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100.00%</w:t>
            </w:r>
          </w:p>
        </w:tc>
        <w:tc>
          <w:tcPr>
            <w:tcW w:w="456" w:type="dxa"/>
            <w:tcBorders>
              <w:top w:val="nil"/>
              <w:left w:val="nil"/>
              <w:bottom w:val="single" w:color="000000" w:sz="4" w:space="0"/>
              <w:right w:val="single" w:color="000000" w:sz="4" w:space="0"/>
            </w:tcBorders>
            <w:shd w:val="clear" w:color="auto" w:fill="auto"/>
            <w:vAlign w:val="center"/>
          </w:tcPr>
          <w:p w14:paraId="6EDC31EC">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2" w:type="dxa"/>
            <w:tcBorders>
              <w:top w:val="nil"/>
              <w:left w:val="nil"/>
              <w:bottom w:val="single" w:color="000000" w:sz="4" w:space="0"/>
              <w:right w:val="single" w:color="000000" w:sz="4" w:space="0"/>
            </w:tcBorders>
            <w:shd w:val="clear" w:color="auto" w:fill="auto"/>
            <w:vAlign w:val="center"/>
          </w:tcPr>
          <w:p w14:paraId="303B40C6">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935" w:type="dxa"/>
            <w:vMerge w:val="continue"/>
            <w:tcBorders>
              <w:top w:val="nil"/>
              <w:left w:val="single" w:color="000000" w:sz="4" w:space="0"/>
              <w:bottom w:val="single" w:color="000000" w:sz="4" w:space="0"/>
              <w:right w:val="single" w:color="000000" w:sz="4" w:space="0"/>
            </w:tcBorders>
            <w:shd w:val="clear" w:color="auto" w:fill="auto"/>
            <w:vAlign w:val="center"/>
          </w:tcPr>
          <w:p w14:paraId="4AEB744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3EC0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0F5C421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tcBorders>
              <w:top w:val="nil"/>
              <w:left w:val="nil"/>
              <w:bottom w:val="single" w:color="000000" w:sz="4" w:space="0"/>
              <w:right w:val="single" w:color="000000" w:sz="4" w:space="0"/>
            </w:tcBorders>
            <w:shd w:val="clear" w:color="auto" w:fill="auto"/>
            <w:vAlign w:val="center"/>
          </w:tcPr>
          <w:p w14:paraId="73CF8D22">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财政专户管理资金</w:t>
            </w:r>
          </w:p>
        </w:tc>
        <w:tc>
          <w:tcPr>
            <w:tcW w:w="987" w:type="dxa"/>
            <w:tcBorders>
              <w:top w:val="nil"/>
              <w:left w:val="nil"/>
              <w:bottom w:val="single" w:color="000000" w:sz="4" w:space="0"/>
              <w:right w:val="single" w:color="000000" w:sz="4" w:space="0"/>
            </w:tcBorders>
            <w:shd w:val="clear" w:color="auto" w:fill="auto"/>
            <w:vAlign w:val="center"/>
          </w:tcPr>
          <w:p w14:paraId="7E774AF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713" w:type="dxa"/>
            <w:gridSpan w:val="2"/>
            <w:tcBorders>
              <w:top w:val="nil"/>
              <w:left w:val="nil"/>
              <w:bottom w:val="single" w:color="000000" w:sz="4" w:space="0"/>
              <w:right w:val="single" w:color="000000" w:sz="4" w:space="0"/>
            </w:tcBorders>
            <w:shd w:val="clear" w:color="auto" w:fill="auto"/>
            <w:vAlign w:val="center"/>
          </w:tcPr>
          <w:p w14:paraId="3232AAA7">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623" w:type="dxa"/>
            <w:gridSpan w:val="3"/>
            <w:tcBorders>
              <w:top w:val="single" w:color="000000" w:sz="4" w:space="0"/>
              <w:left w:val="nil"/>
              <w:bottom w:val="single" w:color="000000" w:sz="4" w:space="0"/>
              <w:right w:val="single" w:color="000000" w:sz="4" w:space="0"/>
            </w:tcBorders>
            <w:shd w:val="clear" w:color="auto" w:fill="auto"/>
            <w:vAlign w:val="center"/>
          </w:tcPr>
          <w:p w14:paraId="156BDFA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14:paraId="53CF87B7">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456" w:type="dxa"/>
            <w:tcBorders>
              <w:top w:val="nil"/>
              <w:left w:val="nil"/>
              <w:bottom w:val="single" w:color="000000" w:sz="4" w:space="0"/>
              <w:right w:val="single" w:color="000000" w:sz="4" w:space="0"/>
            </w:tcBorders>
            <w:shd w:val="clear" w:color="auto" w:fill="auto"/>
            <w:vAlign w:val="center"/>
          </w:tcPr>
          <w:p w14:paraId="26726E36">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2" w:type="dxa"/>
            <w:tcBorders>
              <w:top w:val="nil"/>
              <w:left w:val="nil"/>
              <w:bottom w:val="single" w:color="000000" w:sz="4" w:space="0"/>
              <w:right w:val="single" w:color="000000" w:sz="4" w:space="0"/>
            </w:tcBorders>
            <w:shd w:val="clear" w:color="auto" w:fill="auto"/>
            <w:vAlign w:val="center"/>
          </w:tcPr>
          <w:p w14:paraId="3A031A3E">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935" w:type="dxa"/>
            <w:vMerge w:val="continue"/>
            <w:tcBorders>
              <w:top w:val="nil"/>
              <w:left w:val="single" w:color="000000" w:sz="4" w:space="0"/>
              <w:bottom w:val="single" w:color="000000" w:sz="4" w:space="0"/>
              <w:right w:val="single" w:color="000000" w:sz="4" w:space="0"/>
            </w:tcBorders>
            <w:shd w:val="clear" w:color="auto" w:fill="auto"/>
            <w:vAlign w:val="center"/>
          </w:tcPr>
          <w:p w14:paraId="72AD94B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3BE6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5DFFEF3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tcBorders>
              <w:top w:val="nil"/>
              <w:left w:val="nil"/>
              <w:bottom w:val="single" w:color="000000" w:sz="4" w:space="0"/>
              <w:right w:val="single" w:color="000000" w:sz="4" w:space="0"/>
            </w:tcBorders>
            <w:shd w:val="clear" w:color="auto" w:fill="auto"/>
            <w:vAlign w:val="center"/>
          </w:tcPr>
          <w:p w14:paraId="6611D24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单位资金</w:t>
            </w:r>
          </w:p>
        </w:tc>
        <w:tc>
          <w:tcPr>
            <w:tcW w:w="987" w:type="dxa"/>
            <w:tcBorders>
              <w:top w:val="nil"/>
              <w:left w:val="nil"/>
              <w:bottom w:val="single" w:color="000000" w:sz="4" w:space="0"/>
              <w:right w:val="single" w:color="000000" w:sz="4" w:space="0"/>
            </w:tcBorders>
            <w:shd w:val="clear" w:color="auto" w:fill="auto"/>
            <w:vAlign w:val="center"/>
          </w:tcPr>
          <w:p w14:paraId="2A941D96">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713" w:type="dxa"/>
            <w:gridSpan w:val="2"/>
            <w:tcBorders>
              <w:top w:val="nil"/>
              <w:left w:val="nil"/>
              <w:bottom w:val="single" w:color="000000" w:sz="4" w:space="0"/>
              <w:right w:val="single" w:color="000000" w:sz="4" w:space="0"/>
            </w:tcBorders>
            <w:shd w:val="clear" w:color="auto" w:fill="auto"/>
            <w:vAlign w:val="center"/>
          </w:tcPr>
          <w:p w14:paraId="4B7AE9EB">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1623" w:type="dxa"/>
            <w:gridSpan w:val="3"/>
            <w:tcBorders>
              <w:top w:val="single" w:color="000000" w:sz="4" w:space="0"/>
              <w:left w:val="nil"/>
              <w:bottom w:val="single" w:color="000000" w:sz="4" w:space="0"/>
              <w:right w:val="single" w:color="000000" w:sz="4" w:space="0"/>
            </w:tcBorders>
            <w:shd w:val="clear" w:color="auto" w:fill="auto"/>
            <w:vAlign w:val="center"/>
          </w:tcPr>
          <w:p w14:paraId="2682A17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14:paraId="56082F4B">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0.00%</w:t>
            </w:r>
          </w:p>
        </w:tc>
        <w:tc>
          <w:tcPr>
            <w:tcW w:w="456" w:type="dxa"/>
            <w:tcBorders>
              <w:top w:val="nil"/>
              <w:left w:val="nil"/>
              <w:bottom w:val="single" w:color="000000" w:sz="4" w:space="0"/>
              <w:right w:val="single" w:color="000000" w:sz="4" w:space="0"/>
            </w:tcBorders>
            <w:shd w:val="clear" w:color="auto" w:fill="auto"/>
            <w:vAlign w:val="center"/>
          </w:tcPr>
          <w:p w14:paraId="48D25E4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2" w:type="dxa"/>
            <w:tcBorders>
              <w:top w:val="nil"/>
              <w:left w:val="nil"/>
              <w:bottom w:val="single" w:color="000000" w:sz="4" w:space="0"/>
              <w:right w:val="single" w:color="000000" w:sz="4" w:space="0"/>
            </w:tcBorders>
            <w:shd w:val="clear" w:color="auto" w:fill="auto"/>
            <w:vAlign w:val="center"/>
          </w:tcPr>
          <w:p w14:paraId="68EEAC3A">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935" w:type="dxa"/>
            <w:vMerge w:val="continue"/>
            <w:tcBorders>
              <w:top w:val="nil"/>
              <w:left w:val="single" w:color="000000" w:sz="4" w:space="0"/>
              <w:bottom w:val="single" w:color="000000" w:sz="4" w:space="0"/>
              <w:right w:val="single" w:color="000000" w:sz="4" w:space="0"/>
            </w:tcBorders>
            <w:shd w:val="clear" w:color="auto" w:fill="auto"/>
            <w:vAlign w:val="center"/>
          </w:tcPr>
          <w:p w14:paraId="58BEE5B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362D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4EC2B9A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tcBorders>
              <w:top w:val="nil"/>
              <w:left w:val="nil"/>
              <w:bottom w:val="single" w:color="000000" w:sz="4" w:space="0"/>
              <w:right w:val="single" w:color="000000" w:sz="4" w:space="0"/>
            </w:tcBorders>
            <w:shd w:val="clear" w:color="auto" w:fill="auto"/>
            <w:vAlign w:val="center"/>
          </w:tcPr>
          <w:p w14:paraId="52FBD31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其他资金</w:t>
            </w:r>
          </w:p>
        </w:tc>
        <w:tc>
          <w:tcPr>
            <w:tcW w:w="987" w:type="dxa"/>
            <w:tcBorders>
              <w:top w:val="nil"/>
              <w:left w:val="nil"/>
              <w:bottom w:val="single" w:color="000000" w:sz="4" w:space="0"/>
              <w:right w:val="single" w:color="000000" w:sz="4" w:space="0"/>
            </w:tcBorders>
            <w:shd w:val="clear" w:color="auto" w:fill="auto"/>
            <w:vAlign w:val="center"/>
          </w:tcPr>
          <w:p w14:paraId="1E75F2B6">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kern w:val="0"/>
                <w:sz w:val="15"/>
                <w:szCs w:val="15"/>
                <w:lang w:val="en-US"/>
              </w:rPr>
            </w:pPr>
          </w:p>
        </w:tc>
        <w:tc>
          <w:tcPr>
            <w:tcW w:w="1713" w:type="dxa"/>
            <w:gridSpan w:val="2"/>
            <w:tcBorders>
              <w:top w:val="nil"/>
              <w:left w:val="nil"/>
              <w:bottom w:val="single" w:color="000000" w:sz="4" w:space="0"/>
              <w:right w:val="single" w:color="000000" w:sz="4" w:space="0"/>
            </w:tcBorders>
            <w:shd w:val="clear" w:color="auto" w:fill="auto"/>
            <w:vAlign w:val="center"/>
          </w:tcPr>
          <w:p w14:paraId="33CB0E7B">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kern w:val="0"/>
                <w:sz w:val="15"/>
                <w:szCs w:val="15"/>
                <w:lang w:val="en-US"/>
              </w:rPr>
            </w:pPr>
          </w:p>
        </w:tc>
        <w:tc>
          <w:tcPr>
            <w:tcW w:w="1623" w:type="dxa"/>
            <w:gridSpan w:val="3"/>
            <w:tcBorders>
              <w:top w:val="single" w:color="000000" w:sz="4" w:space="0"/>
              <w:left w:val="nil"/>
              <w:bottom w:val="single" w:color="000000" w:sz="4" w:space="0"/>
              <w:right w:val="single" w:color="000000" w:sz="4" w:space="0"/>
            </w:tcBorders>
            <w:shd w:val="clear" w:color="auto" w:fill="auto"/>
            <w:vAlign w:val="center"/>
          </w:tcPr>
          <w:p w14:paraId="22734B77">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kern w:val="0"/>
                <w:sz w:val="15"/>
                <w:szCs w:val="15"/>
                <w:lang w:val="en-US"/>
              </w:rPr>
            </w:pPr>
          </w:p>
        </w:tc>
        <w:tc>
          <w:tcPr>
            <w:tcW w:w="823" w:type="dxa"/>
            <w:tcBorders>
              <w:top w:val="nil"/>
              <w:left w:val="nil"/>
              <w:bottom w:val="single" w:color="000000" w:sz="4" w:space="0"/>
              <w:right w:val="single" w:color="000000" w:sz="4" w:space="0"/>
            </w:tcBorders>
            <w:shd w:val="clear" w:color="auto" w:fill="auto"/>
            <w:vAlign w:val="center"/>
          </w:tcPr>
          <w:p w14:paraId="2317C372">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kern w:val="0"/>
                <w:sz w:val="15"/>
                <w:szCs w:val="15"/>
                <w:lang w:val="en-US"/>
              </w:rPr>
            </w:pPr>
          </w:p>
        </w:tc>
        <w:tc>
          <w:tcPr>
            <w:tcW w:w="456" w:type="dxa"/>
            <w:tcBorders>
              <w:top w:val="nil"/>
              <w:left w:val="nil"/>
              <w:bottom w:val="single" w:color="000000" w:sz="4" w:space="0"/>
              <w:right w:val="single" w:color="000000" w:sz="4" w:space="0"/>
            </w:tcBorders>
            <w:shd w:val="clear" w:color="auto" w:fill="auto"/>
            <w:vAlign w:val="center"/>
          </w:tcPr>
          <w:p w14:paraId="21DECB5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422" w:type="dxa"/>
            <w:tcBorders>
              <w:top w:val="nil"/>
              <w:left w:val="nil"/>
              <w:bottom w:val="single" w:color="000000" w:sz="4" w:space="0"/>
              <w:right w:val="single" w:color="000000" w:sz="4" w:space="0"/>
            </w:tcBorders>
            <w:shd w:val="clear" w:color="auto" w:fill="auto"/>
            <w:vAlign w:val="center"/>
          </w:tcPr>
          <w:p w14:paraId="68B32A4C">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w:t>
            </w:r>
          </w:p>
        </w:tc>
        <w:tc>
          <w:tcPr>
            <w:tcW w:w="1935" w:type="dxa"/>
            <w:vMerge w:val="continue"/>
            <w:tcBorders>
              <w:top w:val="nil"/>
              <w:left w:val="single" w:color="000000" w:sz="4" w:space="0"/>
              <w:bottom w:val="single" w:color="000000" w:sz="4" w:space="0"/>
              <w:right w:val="single" w:color="000000" w:sz="4" w:space="0"/>
            </w:tcBorders>
            <w:shd w:val="clear" w:color="auto" w:fill="auto"/>
            <w:vAlign w:val="center"/>
          </w:tcPr>
          <w:p w14:paraId="6F6E5A95">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7579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4" w:type="dxa"/>
            <w:vMerge w:val="restart"/>
            <w:tcBorders>
              <w:top w:val="nil"/>
              <w:left w:val="single" w:color="000000" w:sz="4" w:space="0"/>
              <w:bottom w:val="single" w:color="000000" w:sz="4" w:space="0"/>
              <w:right w:val="single" w:color="000000" w:sz="4" w:space="0"/>
            </w:tcBorders>
            <w:shd w:val="clear" w:color="auto" w:fill="auto"/>
            <w:vAlign w:val="center"/>
          </w:tcPr>
          <w:p w14:paraId="38ACE249">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绩效指标（90分）</w:t>
            </w:r>
          </w:p>
        </w:tc>
        <w:tc>
          <w:tcPr>
            <w:tcW w:w="965" w:type="dxa"/>
            <w:tcBorders>
              <w:top w:val="nil"/>
              <w:left w:val="nil"/>
              <w:bottom w:val="single" w:color="000000" w:sz="4" w:space="0"/>
              <w:right w:val="single" w:color="000000" w:sz="4" w:space="0"/>
            </w:tcBorders>
            <w:shd w:val="clear" w:color="auto" w:fill="auto"/>
            <w:vAlign w:val="center"/>
          </w:tcPr>
          <w:p w14:paraId="62F367B0">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一级指标</w:t>
            </w:r>
          </w:p>
        </w:tc>
        <w:tc>
          <w:tcPr>
            <w:tcW w:w="987" w:type="dxa"/>
            <w:tcBorders>
              <w:top w:val="nil"/>
              <w:left w:val="nil"/>
              <w:bottom w:val="single" w:color="000000" w:sz="4" w:space="0"/>
              <w:right w:val="single" w:color="000000" w:sz="4" w:space="0"/>
            </w:tcBorders>
            <w:shd w:val="clear" w:color="auto" w:fill="auto"/>
            <w:vAlign w:val="center"/>
          </w:tcPr>
          <w:p w14:paraId="2F7B4042">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二级指标</w:t>
            </w:r>
          </w:p>
        </w:tc>
        <w:tc>
          <w:tcPr>
            <w:tcW w:w="1713" w:type="dxa"/>
            <w:gridSpan w:val="2"/>
            <w:tcBorders>
              <w:top w:val="nil"/>
              <w:left w:val="nil"/>
              <w:bottom w:val="single" w:color="000000" w:sz="4" w:space="0"/>
              <w:right w:val="single" w:color="000000" w:sz="4" w:space="0"/>
            </w:tcBorders>
            <w:shd w:val="clear" w:color="auto" w:fill="auto"/>
            <w:vAlign w:val="center"/>
          </w:tcPr>
          <w:p w14:paraId="7ABBD4CB">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三级指标</w:t>
            </w:r>
          </w:p>
        </w:tc>
        <w:tc>
          <w:tcPr>
            <w:tcW w:w="600" w:type="dxa"/>
            <w:tcBorders>
              <w:top w:val="nil"/>
              <w:left w:val="nil"/>
              <w:bottom w:val="single" w:color="000000" w:sz="4" w:space="0"/>
              <w:right w:val="single" w:color="000000" w:sz="4" w:space="0"/>
            </w:tcBorders>
            <w:shd w:val="clear" w:color="auto" w:fill="auto"/>
            <w:vAlign w:val="center"/>
          </w:tcPr>
          <w:p w14:paraId="4DCA71A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指标性质</w:t>
            </w:r>
          </w:p>
        </w:tc>
        <w:tc>
          <w:tcPr>
            <w:tcW w:w="598" w:type="dxa"/>
            <w:tcBorders>
              <w:top w:val="nil"/>
              <w:left w:val="nil"/>
              <w:bottom w:val="single" w:color="000000" w:sz="4" w:space="0"/>
              <w:right w:val="single" w:color="000000" w:sz="4" w:space="0"/>
            </w:tcBorders>
            <w:shd w:val="clear" w:color="auto" w:fill="auto"/>
            <w:vAlign w:val="center"/>
          </w:tcPr>
          <w:p w14:paraId="6A9B8C3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指标值</w:t>
            </w:r>
          </w:p>
        </w:tc>
        <w:tc>
          <w:tcPr>
            <w:tcW w:w="425" w:type="dxa"/>
            <w:tcBorders>
              <w:top w:val="nil"/>
              <w:left w:val="nil"/>
              <w:bottom w:val="single" w:color="000000" w:sz="4" w:space="0"/>
              <w:right w:val="single" w:color="000000" w:sz="4" w:space="0"/>
            </w:tcBorders>
            <w:shd w:val="clear" w:color="auto" w:fill="auto"/>
            <w:vAlign w:val="center"/>
          </w:tcPr>
          <w:p w14:paraId="514BEE4F">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度量单位</w:t>
            </w:r>
          </w:p>
        </w:tc>
        <w:tc>
          <w:tcPr>
            <w:tcW w:w="823" w:type="dxa"/>
            <w:tcBorders>
              <w:top w:val="nil"/>
              <w:left w:val="nil"/>
              <w:bottom w:val="single" w:color="000000" w:sz="4" w:space="0"/>
              <w:right w:val="single" w:color="000000" w:sz="4" w:space="0"/>
            </w:tcBorders>
            <w:shd w:val="clear" w:color="auto" w:fill="auto"/>
            <w:vAlign w:val="center"/>
          </w:tcPr>
          <w:p w14:paraId="06F45190">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完成值</w:t>
            </w:r>
          </w:p>
        </w:tc>
        <w:tc>
          <w:tcPr>
            <w:tcW w:w="456" w:type="dxa"/>
            <w:tcBorders>
              <w:top w:val="nil"/>
              <w:left w:val="nil"/>
              <w:bottom w:val="single" w:color="000000" w:sz="4" w:space="0"/>
              <w:right w:val="single" w:color="000000" w:sz="4" w:space="0"/>
            </w:tcBorders>
            <w:shd w:val="clear" w:color="auto" w:fill="auto"/>
            <w:vAlign w:val="center"/>
          </w:tcPr>
          <w:p w14:paraId="78EEE31E">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权重</w:t>
            </w:r>
          </w:p>
        </w:tc>
        <w:tc>
          <w:tcPr>
            <w:tcW w:w="422" w:type="dxa"/>
            <w:tcBorders>
              <w:top w:val="nil"/>
              <w:left w:val="nil"/>
              <w:bottom w:val="single" w:color="000000" w:sz="4" w:space="0"/>
              <w:right w:val="single" w:color="000000" w:sz="4" w:space="0"/>
            </w:tcBorders>
            <w:shd w:val="clear" w:color="auto" w:fill="auto"/>
            <w:vAlign w:val="center"/>
          </w:tcPr>
          <w:p w14:paraId="01E002D5">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得分</w:t>
            </w:r>
          </w:p>
        </w:tc>
        <w:tc>
          <w:tcPr>
            <w:tcW w:w="1935" w:type="dxa"/>
            <w:tcBorders>
              <w:top w:val="nil"/>
              <w:left w:val="nil"/>
              <w:bottom w:val="single" w:color="000000" w:sz="4" w:space="0"/>
              <w:right w:val="single" w:color="000000" w:sz="4" w:space="0"/>
            </w:tcBorders>
            <w:shd w:val="clear" w:color="auto" w:fill="auto"/>
            <w:vAlign w:val="center"/>
          </w:tcPr>
          <w:p w14:paraId="0192C2BA">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未完成原因分析</w:t>
            </w:r>
          </w:p>
        </w:tc>
      </w:tr>
      <w:tr w14:paraId="7A14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0582652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vMerge w:val="restart"/>
            <w:tcBorders>
              <w:top w:val="nil"/>
              <w:left w:val="nil"/>
              <w:bottom w:val="single" w:color="000000" w:sz="4" w:space="0"/>
              <w:right w:val="single" w:color="000000" w:sz="4" w:space="0"/>
            </w:tcBorders>
            <w:shd w:val="clear" w:color="auto" w:fill="auto"/>
            <w:vAlign w:val="center"/>
          </w:tcPr>
          <w:p w14:paraId="4830CE0A">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产出指标</w:t>
            </w:r>
          </w:p>
        </w:tc>
        <w:tc>
          <w:tcPr>
            <w:tcW w:w="987" w:type="dxa"/>
            <w:tcBorders>
              <w:top w:val="nil"/>
              <w:left w:val="nil"/>
              <w:bottom w:val="single" w:color="000000" w:sz="4" w:space="0"/>
              <w:right w:val="single" w:color="000000" w:sz="4" w:space="0"/>
            </w:tcBorders>
            <w:shd w:val="clear" w:color="auto" w:fill="auto"/>
            <w:vAlign w:val="center"/>
          </w:tcPr>
          <w:p w14:paraId="226B44A6">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数量指标</w:t>
            </w:r>
          </w:p>
        </w:tc>
        <w:tc>
          <w:tcPr>
            <w:tcW w:w="1713" w:type="dxa"/>
            <w:gridSpan w:val="2"/>
            <w:tcBorders>
              <w:top w:val="nil"/>
              <w:left w:val="nil"/>
              <w:bottom w:val="single" w:color="000000" w:sz="4" w:space="0"/>
              <w:right w:val="single" w:color="000000" w:sz="4" w:space="0"/>
            </w:tcBorders>
            <w:shd w:val="clear" w:color="auto" w:fill="auto"/>
            <w:vAlign w:val="center"/>
          </w:tcPr>
          <w:p w14:paraId="33FCF10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预计完成年度4个项目</w:t>
            </w:r>
          </w:p>
        </w:tc>
        <w:tc>
          <w:tcPr>
            <w:tcW w:w="600" w:type="dxa"/>
            <w:tcBorders>
              <w:top w:val="nil"/>
              <w:left w:val="nil"/>
              <w:bottom w:val="single" w:color="000000" w:sz="4" w:space="0"/>
              <w:right w:val="single" w:color="000000" w:sz="4" w:space="0"/>
            </w:tcBorders>
            <w:shd w:val="clear" w:color="auto" w:fill="auto"/>
            <w:vAlign w:val="center"/>
          </w:tcPr>
          <w:p w14:paraId="1EE80978">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98" w:type="dxa"/>
            <w:tcBorders>
              <w:top w:val="nil"/>
              <w:left w:val="nil"/>
              <w:bottom w:val="single" w:color="000000" w:sz="4" w:space="0"/>
              <w:right w:val="single" w:color="000000" w:sz="4" w:space="0"/>
            </w:tcBorders>
            <w:shd w:val="clear" w:color="auto" w:fill="auto"/>
            <w:vAlign w:val="center"/>
          </w:tcPr>
          <w:p w14:paraId="63F9B15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4</w:t>
            </w:r>
          </w:p>
        </w:tc>
        <w:tc>
          <w:tcPr>
            <w:tcW w:w="425" w:type="dxa"/>
            <w:tcBorders>
              <w:top w:val="nil"/>
              <w:left w:val="nil"/>
              <w:bottom w:val="single" w:color="000000" w:sz="4" w:space="0"/>
              <w:right w:val="single" w:color="000000" w:sz="4" w:space="0"/>
            </w:tcBorders>
            <w:shd w:val="clear" w:color="auto" w:fill="auto"/>
            <w:vAlign w:val="center"/>
          </w:tcPr>
          <w:p w14:paraId="170AC20B">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个</w:t>
            </w:r>
          </w:p>
        </w:tc>
        <w:tc>
          <w:tcPr>
            <w:tcW w:w="823" w:type="dxa"/>
            <w:tcBorders>
              <w:top w:val="nil"/>
              <w:left w:val="nil"/>
              <w:bottom w:val="single" w:color="000000" w:sz="4" w:space="0"/>
              <w:right w:val="single" w:color="000000" w:sz="4" w:space="0"/>
            </w:tcBorders>
            <w:shd w:val="clear" w:color="auto" w:fill="auto"/>
            <w:vAlign w:val="center"/>
          </w:tcPr>
          <w:p w14:paraId="202EC19F">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4</w:t>
            </w:r>
          </w:p>
        </w:tc>
        <w:tc>
          <w:tcPr>
            <w:tcW w:w="456" w:type="dxa"/>
            <w:tcBorders>
              <w:top w:val="nil"/>
              <w:left w:val="nil"/>
              <w:bottom w:val="single" w:color="000000" w:sz="4" w:space="0"/>
              <w:right w:val="single" w:color="000000" w:sz="4" w:space="0"/>
            </w:tcBorders>
            <w:shd w:val="clear" w:color="auto" w:fill="auto"/>
            <w:vAlign w:val="center"/>
          </w:tcPr>
          <w:p w14:paraId="4DCD0EE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20</w:t>
            </w:r>
          </w:p>
        </w:tc>
        <w:tc>
          <w:tcPr>
            <w:tcW w:w="422" w:type="dxa"/>
            <w:tcBorders>
              <w:top w:val="nil"/>
              <w:left w:val="nil"/>
              <w:bottom w:val="single" w:color="000000" w:sz="4" w:space="0"/>
              <w:right w:val="single" w:color="000000" w:sz="4" w:space="0"/>
            </w:tcBorders>
            <w:shd w:val="clear" w:color="auto" w:fill="auto"/>
            <w:vAlign w:val="center"/>
          </w:tcPr>
          <w:p w14:paraId="0CFEC94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20</w:t>
            </w:r>
          </w:p>
        </w:tc>
        <w:tc>
          <w:tcPr>
            <w:tcW w:w="1935" w:type="dxa"/>
            <w:tcBorders>
              <w:top w:val="nil"/>
              <w:left w:val="nil"/>
              <w:bottom w:val="single" w:color="000000" w:sz="4" w:space="0"/>
              <w:right w:val="single" w:color="000000" w:sz="4" w:space="0"/>
            </w:tcBorders>
            <w:shd w:val="clear" w:color="auto" w:fill="auto"/>
            <w:vAlign w:val="center"/>
          </w:tcPr>
          <w:p w14:paraId="46EE633C">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无</w:t>
            </w:r>
          </w:p>
        </w:tc>
      </w:tr>
      <w:tr w14:paraId="10EC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052F8A60">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vMerge w:val="continue"/>
            <w:tcBorders>
              <w:top w:val="nil"/>
              <w:left w:val="nil"/>
              <w:bottom w:val="single" w:color="000000" w:sz="4" w:space="0"/>
              <w:right w:val="single" w:color="000000" w:sz="4" w:space="0"/>
            </w:tcBorders>
            <w:shd w:val="clear" w:color="auto" w:fill="auto"/>
            <w:vAlign w:val="center"/>
          </w:tcPr>
          <w:p w14:paraId="643A6BE2">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87" w:type="dxa"/>
            <w:tcBorders>
              <w:top w:val="nil"/>
              <w:left w:val="nil"/>
              <w:bottom w:val="single" w:color="000000" w:sz="4" w:space="0"/>
              <w:right w:val="single" w:color="000000" w:sz="4" w:space="0"/>
            </w:tcBorders>
            <w:shd w:val="clear" w:color="auto" w:fill="auto"/>
            <w:vAlign w:val="center"/>
          </w:tcPr>
          <w:p w14:paraId="5FA0ADBC">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质量指标</w:t>
            </w:r>
          </w:p>
        </w:tc>
        <w:tc>
          <w:tcPr>
            <w:tcW w:w="1713" w:type="dxa"/>
            <w:gridSpan w:val="2"/>
            <w:tcBorders>
              <w:top w:val="nil"/>
              <w:left w:val="nil"/>
              <w:bottom w:val="single" w:color="000000" w:sz="4" w:space="0"/>
              <w:right w:val="single" w:color="000000" w:sz="4" w:space="0"/>
            </w:tcBorders>
            <w:shd w:val="clear" w:color="auto" w:fill="auto"/>
            <w:vAlign w:val="center"/>
          </w:tcPr>
          <w:p w14:paraId="0208FDCD">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评选高质量的田间专家；引进专业机构办刊及运维天府云平台；专家工作站；优秀社区、农技协。</w:t>
            </w:r>
          </w:p>
        </w:tc>
        <w:tc>
          <w:tcPr>
            <w:tcW w:w="600" w:type="dxa"/>
            <w:tcBorders>
              <w:top w:val="nil"/>
              <w:left w:val="nil"/>
              <w:bottom w:val="single" w:color="000000" w:sz="4" w:space="0"/>
              <w:right w:val="single" w:color="000000" w:sz="4" w:space="0"/>
            </w:tcBorders>
            <w:shd w:val="clear" w:color="auto" w:fill="auto"/>
            <w:vAlign w:val="center"/>
          </w:tcPr>
          <w:p w14:paraId="12885289">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98" w:type="dxa"/>
            <w:tcBorders>
              <w:top w:val="nil"/>
              <w:left w:val="nil"/>
              <w:bottom w:val="single" w:color="000000" w:sz="4" w:space="0"/>
              <w:right w:val="single" w:color="000000" w:sz="4" w:space="0"/>
            </w:tcBorders>
            <w:shd w:val="clear" w:color="auto" w:fill="auto"/>
            <w:vAlign w:val="center"/>
          </w:tcPr>
          <w:p w14:paraId="0E5F84CA">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95</w:t>
            </w:r>
          </w:p>
        </w:tc>
        <w:tc>
          <w:tcPr>
            <w:tcW w:w="425" w:type="dxa"/>
            <w:tcBorders>
              <w:top w:val="nil"/>
              <w:left w:val="nil"/>
              <w:bottom w:val="single" w:color="000000" w:sz="4" w:space="0"/>
              <w:right w:val="single" w:color="000000" w:sz="4" w:space="0"/>
            </w:tcBorders>
            <w:shd w:val="clear" w:color="auto" w:fill="auto"/>
            <w:vAlign w:val="center"/>
          </w:tcPr>
          <w:p w14:paraId="4A35AB5B">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823" w:type="dxa"/>
            <w:tcBorders>
              <w:top w:val="nil"/>
              <w:left w:val="nil"/>
              <w:bottom w:val="single" w:color="000000" w:sz="4" w:space="0"/>
              <w:right w:val="single" w:color="000000" w:sz="4" w:space="0"/>
            </w:tcBorders>
            <w:shd w:val="clear" w:color="auto" w:fill="auto"/>
            <w:vAlign w:val="center"/>
          </w:tcPr>
          <w:p w14:paraId="29E96A4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95</w:t>
            </w:r>
          </w:p>
        </w:tc>
        <w:tc>
          <w:tcPr>
            <w:tcW w:w="456" w:type="dxa"/>
            <w:tcBorders>
              <w:top w:val="nil"/>
              <w:left w:val="nil"/>
              <w:bottom w:val="single" w:color="000000" w:sz="4" w:space="0"/>
              <w:right w:val="single" w:color="000000" w:sz="4" w:space="0"/>
            </w:tcBorders>
            <w:shd w:val="clear" w:color="auto" w:fill="auto"/>
            <w:vAlign w:val="center"/>
          </w:tcPr>
          <w:p w14:paraId="0C99372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422" w:type="dxa"/>
            <w:tcBorders>
              <w:top w:val="nil"/>
              <w:left w:val="nil"/>
              <w:bottom w:val="single" w:color="000000" w:sz="4" w:space="0"/>
              <w:right w:val="single" w:color="000000" w:sz="4" w:space="0"/>
            </w:tcBorders>
            <w:shd w:val="clear" w:color="auto" w:fill="auto"/>
            <w:vAlign w:val="center"/>
          </w:tcPr>
          <w:p w14:paraId="4575C2B7">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1935" w:type="dxa"/>
            <w:tcBorders>
              <w:top w:val="nil"/>
              <w:left w:val="nil"/>
              <w:bottom w:val="single" w:color="000000" w:sz="4" w:space="0"/>
              <w:right w:val="single" w:color="000000" w:sz="4" w:space="0"/>
            </w:tcBorders>
            <w:shd w:val="clear" w:color="auto" w:fill="auto"/>
            <w:vAlign w:val="center"/>
          </w:tcPr>
          <w:p w14:paraId="27FDA34F">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无</w:t>
            </w:r>
          </w:p>
        </w:tc>
      </w:tr>
      <w:tr w14:paraId="1292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30C29A8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vMerge w:val="continue"/>
            <w:tcBorders>
              <w:top w:val="nil"/>
              <w:left w:val="nil"/>
              <w:bottom w:val="single" w:color="000000" w:sz="4" w:space="0"/>
              <w:right w:val="single" w:color="000000" w:sz="4" w:space="0"/>
            </w:tcBorders>
            <w:shd w:val="clear" w:color="auto" w:fill="auto"/>
            <w:vAlign w:val="center"/>
          </w:tcPr>
          <w:p w14:paraId="3EAD8586">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87" w:type="dxa"/>
            <w:tcBorders>
              <w:top w:val="nil"/>
              <w:left w:val="nil"/>
              <w:bottom w:val="single" w:color="000000" w:sz="4" w:space="0"/>
              <w:right w:val="single" w:color="000000" w:sz="4" w:space="0"/>
            </w:tcBorders>
            <w:shd w:val="clear" w:color="auto" w:fill="auto"/>
            <w:vAlign w:val="center"/>
          </w:tcPr>
          <w:p w14:paraId="7CA75BCB">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时效指标</w:t>
            </w:r>
          </w:p>
        </w:tc>
        <w:tc>
          <w:tcPr>
            <w:tcW w:w="1713" w:type="dxa"/>
            <w:gridSpan w:val="2"/>
            <w:tcBorders>
              <w:top w:val="nil"/>
              <w:left w:val="nil"/>
              <w:bottom w:val="single" w:color="000000" w:sz="4" w:space="0"/>
              <w:right w:val="single" w:color="000000" w:sz="4" w:space="0"/>
            </w:tcBorders>
            <w:shd w:val="clear" w:color="auto" w:fill="auto"/>
            <w:vAlign w:val="center"/>
          </w:tcPr>
          <w:p w14:paraId="247C3E6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2023年1-11月完成</w:t>
            </w:r>
          </w:p>
        </w:tc>
        <w:tc>
          <w:tcPr>
            <w:tcW w:w="600" w:type="dxa"/>
            <w:tcBorders>
              <w:top w:val="nil"/>
              <w:left w:val="nil"/>
              <w:bottom w:val="single" w:color="000000" w:sz="4" w:space="0"/>
              <w:right w:val="single" w:color="000000" w:sz="4" w:space="0"/>
            </w:tcBorders>
            <w:shd w:val="clear" w:color="auto" w:fill="auto"/>
            <w:vAlign w:val="center"/>
          </w:tcPr>
          <w:p w14:paraId="4F424DD8">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98" w:type="dxa"/>
            <w:tcBorders>
              <w:top w:val="nil"/>
              <w:left w:val="nil"/>
              <w:bottom w:val="single" w:color="000000" w:sz="4" w:space="0"/>
              <w:right w:val="single" w:color="000000" w:sz="4" w:space="0"/>
            </w:tcBorders>
            <w:shd w:val="clear" w:color="auto" w:fill="auto"/>
            <w:vAlign w:val="center"/>
          </w:tcPr>
          <w:p w14:paraId="66F21C68">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w:t>
            </w:r>
          </w:p>
        </w:tc>
        <w:tc>
          <w:tcPr>
            <w:tcW w:w="425" w:type="dxa"/>
            <w:tcBorders>
              <w:top w:val="nil"/>
              <w:left w:val="nil"/>
              <w:bottom w:val="single" w:color="000000" w:sz="4" w:space="0"/>
              <w:right w:val="single" w:color="000000" w:sz="4" w:space="0"/>
            </w:tcBorders>
            <w:shd w:val="clear" w:color="auto" w:fill="auto"/>
            <w:vAlign w:val="center"/>
          </w:tcPr>
          <w:p w14:paraId="6D9BAA30">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年</w:t>
            </w:r>
          </w:p>
        </w:tc>
        <w:tc>
          <w:tcPr>
            <w:tcW w:w="823" w:type="dxa"/>
            <w:tcBorders>
              <w:top w:val="nil"/>
              <w:left w:val="nil"/>
              <w:bottom w:val="single" w:color="000000" w:sz="4" w:space="0"/>
              <w:right w:val="single" w:color="000000" w:sz="4" w:space="0"/>
            </w:tcBorders>
            <w:shd w:val="clear" w:color="auto" w:fill="auto"/>
            <w:vAlign w:val="center"/>
          </w:tcPr>
          <w:p w14:paraId="14AE3C2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1</w:t>
            </w:r>
          </w:p>
        </w:tc>
        <w:tc>
          <w:tcPr>
            <w:tcW w:w="456" w:type="dxa"/>
            <w:tcBorders>
              <w:top w:val="nil"/>
              <w:left w:val="nil"/>
              <w:bottom w:val="single" w:color="000000" w:sz="4" w:space="0"/>
              <w:right w:val="single" w:color="000000" w:sz="4" w:space="0"/>
            </w:tcBorders>
            <w:shd w:val="clear" w:color="auto" w:fill="auto"/>
            <w:vAlign w:val="center"/>
          </w:tcPr>
          <w:p w14:paraId="1BA2236C">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422" w:type="dxa"/>
            <w:tcBorders>
              <w:top w:val="nil"/>
              <w:left w:val="nil"/>
              <w:bottom w:val="single" w:color="000000" w:sz="4" w:space="0"/>
              <w:right w:val="single" w:color="000000" w:sz="4" w:space="0"/>
            </w:tcBorders>
            <w:shd w:val="clear" w:color="auto" w:fill="auto"/>
            <w:vAlign w:val="center"/>
          </w:tcPr>
          <w:p w14:paraId="13D8672C">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9</w:t>
            </w:r>
          </w:p>
        </w:tc>
        <w:tc>
          <w:tcPr>
            <w:tcW w:w="1935" w:type="dxa"/>
            <w:tcBorders>
              <w:top w:val="nil"/>
              <w:left w:val="nil"/>
              <w:bottom w:val="single" w:color="000000" w:sz="4" w:space="0"/>
              <w:right w:val="single" w:color="000000" w:sz="4" w:space="0"/>
            </w:tcBorders>
            <w:shd w:val="clear" w:color="auto" w:fill="auto"/>
            <w:vAlign w:val="center"/>
          </w:tcPr>
          <w:p w14:paraId="7636FA3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前期支付较缓慢，扣1分。</w:t>
            </w:r>
          </w:p>
        </w:tc>
      </w:tr>
      <w:tr w14:paraId="3603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60109E9D">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vMerge w:val="continue"/>
            <w:tcBorders>
              <w:top w:val="nil"/>
              <w:left w:val="nil"/>
              <w:bottom w:val="single" w:color="000000" w:sz="4" w:space="0"/>
              <w:right w:val="single" w:color="000000" w:sz="4" w:space="0"/>
            </w:tcBorders>
            <w:shd w:val="clear" w:color="auto" w:fill="auto"/>
            <w:vAlign w:val="center"/>
          </w:tcPr>
          <w:p w14:paraId="4D3262AB">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87" w:type="dxa"/>
            <w:tcBorders>
              <w:top w:val="nil"/>
              <w:left w:val="nil"/>
              <w:bottom w:val="single" w:color="000000" w:sz="4" w:space="0"/>
              <w:right w:val="single" w:color="000000" w:sz="4" w:space="0"/>
            </w:tcBorders>
            <w:shd w:val="clear" w:color="auto" w:fill="auto"/>
            <w:vAlign w:val="center"/>
          </w:tcPr>
          <w:p w14:paraId="21403DA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成本指标</w:t>
            </w:r>
          </w:p>
        </w:tc>
        <w:tc>
          <w:tcPr>
            <w:tcW w:w="1713" w:type="dxa"/>
            <w:gridSpan w:val="2"/>
            <w:tcBorders>
              <w:top w:val="nil"/>
              <w:left w:val="nil"/>
              <w:bottom w:val="single" w:color="000000" w:sz="4" w:space="0"/>
              <w:right w:val="single" w:color="000000" w:sz="4" w:space="0"/>
            </w:tcBorders>
            <w:shd w:val="clear" w:color="auto" w:fill="auto"/>
            <w:vAlign w:val="center"/>
          </w:tcPr>
          <w:p w14:paraId="487E06DC">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天府科技云首届乡土人才大赛38.9万元；《科学发展期刊》建设25万元；维护天府科技云运维平台10万元；向院士专家工作站、社区、农技协补助各项目经费计9万元。</w:t>
            </w:r>
          </w:p>
        </w:tc>
        <w:tc>
          <w:tcPr>
            <w:tcW w:w="600" w:type="dxa"/>
            <w:tcBorders>
              <w:top w:val="nil"/>
              <w:left w:val="nil"/>
              <w:bottom w:val="single" w:color="000000" w:sz="4" w:space="0"/>
              <w:right w:val="single" w:color="000000" w:sz="4" w:space="0"/>
            </w:tcBorders>
            <w:shd w:val="clear" w:color="auto" w:fill="auto"/>
            <w:vAlign w:val="center"/>
          </w:tcPr>
          <w:p w14:paraId="7B629F74">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98" w:type="dxa"/>
            <w:tcBorders>
              <w:top w:val="nil"/>
              <w:left w:val="nil"/>
              <w:bottom w:val="single" w:color="000000" w:sz="4" w:space="0"/>
              <w:right w:val="single" w:color="000000" w:sz="4" w:space="0"/>
            </w:tcBorders>
            <w:shd w:val="clear" w:color="auto" w:fill="auto"/>
            <w:vAlign w:val="center"/>
          </w:tcPr>
          <w:p w14:paraId="0CEE12A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82.9</w:t>
            </w:r>
          </w:p>
        </w:tc>
        <w:tc>
          <w:tcPr>
            <w:tcW w:w="425" w:type="dxa"/>
            <w:tcBorders>
              <w:top w:val="nil"/>
              <w:left w:val="nil"/>
              <w:bottom w:val="single" w:color="000000" w:sz="4" w:space="0"/>
              <w:right w:val="single" w:color="000000" w:sz="4" w:space="0"/>
            </w:tcBorders>
            <w:shd w:val="clear" w:color="auto" w:fill="auto"/>
            <w:vAlign w:val="center"/>
          </w:tcPr>
          <w:p w14:paraId="7DC4C022">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万元</w:t>
            </w:r>
          </w:p>
        </w:tc>
        <w:tc>
          <w:tcPr>
            <w:tcW w:w="823" w:type="dxa"/>
            <w:tcBorders>
              <w:top w:val="nil"/>
              <w:left w:val="nil"/>
              <w:bottom w:val="single" w:color="000000" w:sz="4" w:space="0"/>
              <w:right w:val="single" w:color="000000" w:sz="4" w:space="0"/>
            </w:tcBorders>
            <w:shd w:val="clear" w:color="auto" w:fill="auto"/>
            <w:vAlign w:val="center"/>
          </w:tcPr>
          <w:p w14:paraId="1DD1F39B">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82.9</w:t>
            </w:r>
          </w:p>
        </w:tc>
        <w:tc>
          <w:tcPr>
            <w:tcW w:w="456" w:type="dxa"/>
            <w:tcBorders>
              <w:top w:val="nil"/>
              <w:left w:val="nil"/>
              <w:bottom w:val="single" w:color="000000" w:sz="4" w:space="0"/>
              <w:right w:val="single" w:color="000000" w:sz="4" w:space="0"/>
            </w:tcBorders>
            <w:shd w:val="clear" w:color="auto" w:fill="auto"/>
            <w:vAlign w:val="center"/>
          </w:tcPr>
          <w:p w14:paraId="7D414A9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20</w:t>
            </w:r>
          </w:p>
        </w:tc>
        <w:tc>
          <w:tcPr>
            <w:tcW w:w="422" w:type="dxa"/>
            <w:tcBorders>
              <w:top w:val="nil"/>
              <w:left w:val="nil"/>
              <w:bottom w:val="single" w:color="000000" w:sz="4" w:space="0"/>
              <w:right w:val="single" w:color="000000" w:sz="4" w:space="0"/>
            </w:tcBorders>
            <w:shd w:val="clear" w:color="auto" w:fill="auto"/>
            <w:vAlign w:val="center"/>
          </w:tcPr>
          <w:p w14:paraId="04610630">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20</w:t>
            </w:r>
          </w:p>
        </w:tc>
        <w:tc>
          <w:tcPr>
            <w:tcW w:w="1935" w:type="dxa"/>
            <w:tcBorders>
              <w:top w:val="nil"/>
              <w:left w:val="nil"/>
              <w:bottom w:val="single" w:color="000000" w:sz="4" w:space="0"/>
              <w:right w:val="single" w:color="000000" w:sz="4" w:space="0"/>
            </w:tcBorders>
            <w:shd w:val="clear" w:color="auto" w:fill="auto"/>
            <w:vAlign w:val="center"/>
          </w:tcPr>
          <w:p w14:paraId="403CB9FF">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无</w:t>
            </w:r>
          </w:p>
        </w:tc>
      </w:tr>
      <w:tr w14:paraId="050D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221EF6F3">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vMerge w:val="restart"/>
            <w:tcBorders>
              <w:top w:val="nil"/>
              <w:left w:val="nil"/>
              <w:bottom w:val="single" w:color="000000" w:sz="4" w:space="0"/>
              <w:right w:val="single" w:color="000000" w:sz="4" w:space="0"/>
            </w:tcBorders>
            <w:shd w:val="clear" w:color="auto" w:fill="auto"/>
            <w:vAlign w:val="center"/>
          </w:tcPr>
          <w:p w14:paraId="40CCAEA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效益指标</w:t>
            </w:r>
          </w:p>
        </w:tc>
        <w:tc>
          <w:tcPr>
            <w:tcW w:w="987" w:type="dxa"/>
            <w:tcBorders>
              <w:top w:val="nil"/>
              <w:left w:val="nil"/>
              <w:bottom w:val="single" w:color="000000" w:sz="4" w:space="0"/>
              <w:right w:val="single" w:color="000000" w:sz="4" w:space="0"/>
            </w:tcBorders>
            <w:shd w:val="clear" w:color="auto" w:fill="auto"/>
            <w:vAlign w:val="center"/>
          </w:tcPr>
          <w:p w14:paraId="764CE8A7">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社会效益指标</w:t>
            </w:r>
          </w:p>
        </w:tc>
        <w:tc>
          <w:tcPr>
            <w:tcW w:w="1713" w:type="dxa"/>
            <w:gridSpan w:val="2"/>
            <w:tcBorders>
              <w:top w:val="nil"/>
              <w:left w:val="nil"/>
              <w:bottom w:val="single" w:color="000000" w:sz="4" w:space="0"/>
              <w:right w:val="single" w:color="000000" w:sz="4" w:space="0"/>
            </w:tcBorders>
            <w:shd w:val="clear" w:color="auto" w:fill="auto"/>
            <w:vAlign w:val="center"/>
          </w:tcPr>
          <w:p w14:paraId="00BB2F5B">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挖掘土专家田秀才、传播科普知识、提升服务创新驱动发展能力，为我州科技事业发展和高质量发展服务。</w:t>
            </w:r>
          </w:p>
        </w:tc>
        <w:tc>
          <w:tcPr>
            <w:tcW w:w="600" w:type="dxa"/>
            <w:tcBorders>
              <w:top w:val="nil"/>
              <w:left w:val="nil"/>
              <w:bottom w:val="single" w:color="000000" w:sz="4" w:space="0"/>
              <w:right w:val="single" w:color="000000" w:sz="4" w:space="0"/>
            </w:tcBorders>
            <w:shd w:val="clear" w:color="auto" w:fill="auto"/>
            <w:vAlign w:val="center"/>
          </w:tcPr>
          <w:p w14:paraId="20307F1B">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98" w:type="dxa"/>
            <w:tcBorders>
              <w:top w:val="nil"/>
              <w:left w:val="nil"/>
              <w:bottom w:val="single" w:color="000000" w:sz="4" w:space="0"/>
              <w:right w:val="single" w:color="000000" w:sz="4" w:space="0"/>
            </w:tcBorders>
            <w:shd w:val="clear" w:color="auto" w:fill="auto"/>
            <w:vAlign w:val="center"/>
          </w:tcPr>
          <w:p w14:paraId="63D89B84">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5</w:t>
            </w:r>
          </w:p>
        </w:tc>
        <w:tc>
          <w:tcPr>
            <w:tcW w:w="425" w:type="dxa"/>
            <w:tcBorders>
              <w:top w:val="nil"/>
              <w:left w:val="nil"/>
              <w:bottom w:val="single" w:color="000000" w:sz="4" w:space="0"/>
              <w:right w:val="single" w:color="000000" w:sz="4" w:space="0"/>
            </w:tcBorders>
            <w:shd w:val="clear" w:color="auto" w:fill="auto"/>
            <w:vAlign w:val="center"/>
          </w:tcPr>
          <w:p w14:paraId="73BA1D95">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项</w:t>
            </w:r>
          </w:p>
        </w:tc>
        <w:tc>
          <w:tcPr>
            <w:tcW w:w="823" w:type="dxa"/>
            <w:tcBorders>
              <w:top w:val="nil"/>
              <w:left w:val="nil"/>
              <w:bottom w:val="single" w:color="000000" w:sz="4" w:space="0"/>
              <w:right w:val="single" w:color="000000" w:sz="4" w:space="0"/>
            </w:tcBorders>
            <w:shd w:val="clear" w:color="auto" w:fill="auto"/>
            <w:vAlign w:val="center"/>
          </w:tcPr>
          <w:p w14:paraId="5136FCB5">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5</w:t>
            </w:r>
          </w:p>
        </w:tc>
        <w:tc>
          <w:tcPr>
            <w:tcW w:w="456" w:type="dxa"/>
            <w:tcBorders>
              <w:top w:val="nil"/>
              <w:left w:val="nil"/>
              <w:bottom w:val="single" w:color="000000" w:sz="4" w:space="0"/>
              <w:right w:val="single" w:color="000000" w:sz="4" w:space="0"/>
            </w:tcBorders>
            <w:shd w:val="clear" w:color="auto" w:fill="auto"/>
            <w:vAlign w:val="center"/>
          </w:tcPr>
          <w:p w14:paraId="13400A24">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422" w:type="dxa"/>
            <w:tcBorders>
              <w:top w:val="nil"/>
              <w:left w:val="nil"/>
              <w:bottom w:val="single" w:color="000000" w:sz="4" w:space="0"/>
              <w:right w:val="single" w:color="000000" w:sz="4" w:space="0"/>
            </w:tcBorders>
            <w:shd w:val="clear" w:color="auto" w:fill="auto"/>
            <w:vAlign w:val="center"/>
          </w:tcPr>
          <w:p w14:paraId="59F28BA6">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1935" w:type="dxa"/>
            <w:tcBorders>
              <w:top w:val="nil"/>
              <w:left w:val="nil"/>
              <w:bottom w:val="single" w:color="000000" w:sz="4" w:space="0"/>
              <w:right w:val="single" w:color="000000" w:sz="4" w:space="0"/>
            </w:tcBorders>
            <w:shd w:val="clear" w:color="auto" w:fill="auto"/>
            <w:vAlign w:val="center"/>
          </w:tcPr>
          <w:p w14:paraId="5F1F826E">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无</w:t>
            </w:r>
          </w:p>
        </w:tc>
      </w:tr>
      <w:tr w14:paraId="629C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2EF60B2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vMerge w:val="continue"/>
            <w:tcBorders>
              <w:top w:val="nil"/>
              <w:left w:val="nil"/>
              <w:bottom w:val="single" w:color="000000" w:sz="4" w:space="0"/>
              <w:right w:val="single" w:color="000000" w:sz="4" w:space="0"/>
            </w:tcBorders>
            <w:shd w:val="clear" w:color="auto" w:fill="auto"/>
            <w:vAlign w:val="center"/>
          </w:tcPr>
          <w:p w14:paraId="6E665059">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87" w:type="dxa"/>
            <w:tcBorders>
              <w:top w:val="nil"/>
              <w:left w:val="nil"/>
              <w:bottom w:val="single" w:color="000000" w:sz="4" w:space="0"/>
              <w:right w:val="single" w:color="000000" w:sz="4" w:space="0"/>
            </w:tcBorders>
            <w:shd w:val="clear" w:color="auto" w:fill="auto"/>
            <w:vAlign w:val="center"/>
          </w:tcPr>
          <w:p w14:paraId="640C4700">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可持续影响指标</w:t>
            </w:r>
          </w:p>
        </w:tc>
        <w:tc>
          <w:tcPr>
            <w:tcW w:w="1713" w:type="dxa"/>
            <w:gridSpan w:val="2"/>
            <w:tcBorders>
              <w:top w:val="nil"/>
              <w:left w:val="nil"/>
              <w:bottom w:val="single" w:color="000000" w:sz="4" w:space="0"/>
              <w:right w:val="single" w:color="000000" w:sz="4" w:space="0"/>
            </w:tcBorders>
            <w:shd w:val="clear" w:color="auto" w:fill="auto"/>
            <w:vAlign w:val="center"/>
          </w:tcPr>
          <w:p w14:paraId="4A7962C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2年</w:t>
            </w:r>
          </w:p>
        </w:tc>
        <w:tc>
          <w:tcPr>
            <w:tcW w:w="600" w:type="dxa"/>
            <w:tcBorders>
              <w:top w:val="nil"/>
              <w:left w:val="nil"/>
              <w:bottom w:val="single" w:color="000000" w:sz="4" w:space="0"/>
              <w:right w:val="single" w:color="000000" w:sz="4" w:space="0"/>
            </w:tcBorders>
            <w:shd w:val="clear" w:color="auto" w:fill="auto"/>
            <w:vAlign w:val="center"/>
          </w:tcPr>
          <w:p w14:paraId="601F255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98" w:type="dxa"/>
            <w:tcBorders>
              <w:top w:val="nil"/>
              <w:left w:val="nil"/>
              <w:bottom w:val="single" w:color="000000" w:sz="4" w:space="0"/>
              <w:right w:val="single" w:color="000000" w:sz="4" w:space="0"/>
            </w:tcBorders>
            <w:shd w:val="clear" w:color="auto" w:fill="auto"/>
            <w:vAlign w:val="center"/>
          </w:tcPr>
          <w:p w14:paraId="2AE7DA58">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2</w:t>
            </w:r>
          </w:p>
        </w:tc>
        <w:tc>
          <w:tcPr>
            <w:tcW w:w="425" w:type="dxa"/>
            <w:tcBorders>
              <w:top w:val="nil"/>
              <w:left w:val="nil"/>
              <w:bottom w:val="single" w:color="000000" w:sz="4" w:space="0"/>
              <w:right w:val="single" w:color="000000" w:sz="4" w:space="0"/>
            </w:tcBorders>
            <w:shd w:val="clear" w:color="auto" w:fill="auto"/>
            <w:vAlign w:val="center"/>
          </w:tcPr>
          <w:p w14:paraId="7E1C634C">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年</w:t>
            </w:r>
          </w:p>
        </w:tc>
        <w:tc>
          <w:tcPr>
            <w:tcW w:w="823" w:type="dxa"/>
            <w:tcBorders>
              <w:top w:val="nil"/>
              <w:left w:val="nil"/>
              <w:bottom w:val="single" w:color="000000" w:sz="4" w:space="0"/>
              <w:right w:val="single" w:color="000000" w:sz="4" w:space="0"/>
            </w:tcBorders>
            <w:shd w:val="clear" w:color="auto" w:fill="auto"/>
            <w:vAlign w:val="center"/>
          </w:tcPr>
          <w:p w14:paraId="02524257">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2</w:t>
            </w:r>
          </w:p>
        </w:tc>
        <w:tc>
          <w:tcPr>
            <w:tcW w:w="456" w:type="dxa"/>
            <w:tcBorders>
              <w:top w:val="nil"/>
              <w:left w:val="nil"/>
              <w:bottom w:val="single" w:color="000000" w:sz="4" w:space="0"/>
              <w:right w:val="single" w:color="000000" w:sz="4" w:space="0"/>
            </w:tcBorders>
            <w:shd w:val="clear" w:color="auto" w:fill="auto"/>
            <w:vAlign w:val="center"/>
          </w:tcPr>
          <w:p w14:paraId="2CAC350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422" w:type="dxa"/>
            <w:tcBorders>
              <w:top w:val="nil"/>
              <w:left w:val="nil"/>
              <w:bottom w:val="single" w:color="000000" w:sz="4" w:space="0"/>
              <w:right w:val="single" w:color="000000" w:sz="4" w:space="0"/>
            </w:tcBorders>
            <w:shd w:val="clear" w:color="auto" w:fill="auto"/>
            <w:vAlign w:val="center"/>
          </w:tcPr>
          <w:p w14:paraId="341A3C25">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1935" w:type="dxa"/>
            <w:tcBorders>
              <w:top w:val="nil"/>
              <w:left w:val="nil"/>
              <w:bottom w:val="single" w:color="000000" w:sz="4" w:space="0"/>
              <w:right w:val="single" w:color="000000" w:sz="4" w:space="0"/>
            </w:tcBorders>
            <w:shd w:val="clear" w:color="auto" w:fill="auto"/>
            <w:vAlign w:val="center"/>
          </w:tcPr>
          <w:p w14:paraId="18C0BC09">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无</w:t>
            </w:r>
          </w:p>
        </w:tc>
      </w:tr>
      <w:tr w14:paraId="0CFE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74" w:type="dxa"/>
            <w:vMerge w:val="continue"/>
            <w:tcBorders>
              <w:top w:val="nil"/>
              <w:left w:val="single" w:color="000000" w:sz="4" w:space="0"/>
              <w:bottom w:val="single" w:color="000000" w:sz="4" w:space="0"/>
              <w:right w:val="single" w:color="000000" w:sz="4" w:space="0"/>
            </w:tcBorders>
            <w:shd w:val="clear" w:color="auto" w:fill="auto"/>
            <w:vAlign w:val="center"/>
          </w:tcPr>
          <w:p w14:paraId="228F5A4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965" w:type="dxa"/>
            <w:tcBorders>
              <w:top w:val="nil"/>
              <w:left w:val="nil"/>
              <w:bottom w:val="single" w:color="000000" w:sz="4" w:space="0"/>
              <w:right w:val="single" w:color="000000" w:sz="4" w:space="0"/>
            </w:tcBorders>
            <w:shd w:val="clear" w:color="auto" w:fill="auto"/>
            <w:vAlign w:val="center"/>
          </w:tcPr>
          <w:p w14:paraId="12CE81C8">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满意度指标</w:t>
            </w:r>
          </w:p>
        </w:tc>
        <w:tc>
          <w:tcPr>
            <w:tcW w:w="987" w:type="dxa"/>
            <w:tcBorders>
              <w:top w:val="nil"/>
              <w:left w:val="nil"/>
              <w:bottom w:val="single" w:color="000000" w:sz="4" w:space="0"/>
              <w:right w:val="single" w:color="000000" w:sz="4" w:space="0"/>
            </w:tcBorders>
            <w:shd w:val="clear" w:color="auto" w:fill="auto"/>
            <w:vAlign w:val="center"/>
          </w:tcPr>
          <w:p w14:paraId="441CC99A">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服务对象满意度指标</w:t>
            </w:r>
          </w:p>
        </w:tc>
        <w:tc>
          <w:tcPr>
            <w:tcW w:w="1713" w:type="dxa"/>
            <w:gridSpan w:val="2"/>
            <w:tcBorders>
              <w:top w:val="nil"/>
              <w:left w:val="nil"/>
              <w:bottom w:val="single" w:color="000000" w:sz="4" w:space="0"/>
              <w:right w:val="single" w:color="000000" w:sz="4" w:space="0"/>
            </w:tcBorders>
            <w:shd w:val="clear" w:color="auto" w:fill="auto"/>
            <w:vAlign w:val="center"/>
          </w:tcPr>
          <w:p w14:paraId="1B24207C">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相关部门、参培科技人员满意度能够达到92%左右</w:t>
            </w:r>
          </w:p>
        </w:tc>
        <w:tc>
          <w:tcPr>
            <w:tcW w:w="600" w:type="dxa"/>
            <w:tcBorders>
              <w:top w:val="nil"/>
              <w:left w:val="nil"/>
              <w:bottom w:val="single" w:color="000000" w:sz="4" w:space="0"/>
              <w:right w:val="single" w:color="000000" w:sz="4" w:space="0"/>
            </w:tcBorders>
            <w:shd w:val="clear" w:color="auto" w:fill="auto"/>
            <w:vAlign w:val="center"/>
          </w:tcPr>
          <w:p w14:paraId="41B028E7">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598" w:type="dxa"/>
            <w:tcBorders>
              <w:top w:val="nil"/>
              <w:left w:val="nil"/>
              <w:bottom w:val="single" w:color="000000" w:sz="4" w:space="0"/>
              <w:right w:val="single" w:color="000000" w:sz="4" w:space="0"/>
            </w:tcBorders>
            <w:shd w:val="clear" w:color="auto" w:fill="auto"/>
            <w:vAlign w:val="center"/>
          </w:tcPr>
          <w:p w14:paraId="4136D70B">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95</w:t>
            </w:r>
          </w:p>
        </w:tc>
        <w:tc>
          <w:tcPr>
            <w:tcW w:w="425" w:type="dxa"/>
            <w:tcBorders>
              <w:top w:val="nil"/>
              <w:left w:val="nil"/>
              <w:bottom w:val="single" w:color="000000" w:sz="4" w:space="0"/>
              <w:right w:val="single" w:color="000000" w:sz="4" w:space="0"/>
            </w:tcBorders>
            <w:shd w:val="clear" w:color="auto" w:fill="auto"/>
            <w:vAlign w:val="center"/>
          </w:tcPr>
          <w:p w14:paraId="64D3EEFE">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p>
        </w:tc>
        <w:tc>
          <w:tcPr>
            <w:tcW w:w="823" w:type="dxa"/>
            <w:tcBorders>
              <w:top w:val="nil"/>
              <w:left w:val="nil"/>
              <w:bottom w:val="single" w:color="000000" w:sz="4" w:space="0"/>
              <w:right w:val="single" w:color="000000" w:sz="4" w:space="0"/>
            </w:tcBorders>
            <w:shd w:val="clear" w:color="auto" w:fill="auto"/>
            <w:vAlign w:val="center"/>
          </w:tcPr>
          <w:p w14:paraId="67D652C7">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95</w:t>
            </w:r>
          </w:p>
        </w:tc>
        <w:tc>
          <w:tcPr>
            <w:tcW w:w="456" w:type="dxa"/>
            <w:tcBorders>
              <w:top w:val="nil"/>
              <w:left w:val="nil"/>
              <w:bottom w:val="single" w:color="000000" w:sz="4" w:space="0"/>
              <w:right w:val="single" w:color="000000" w:sz="4" w:space="0"/>
            </w:tcBorders>
            <w:shd w:val="clear" w:color="auto" w:fill="auto"/>
            <w:vAlign w:val="center"/>
          </w:tcPr>
          <w:p w14:paraId="585EAACD">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10</w:t>
            </w:r>
          </w:p>
        </w:tc>
        <w:tc>
          <w:tcPr>
            <w:tcW w:w="422" w:type="dxa"/>
            <w:tcBorders>
              <w:top w:val="nil"/>
              <w:left w:val="nil"/>
              <w:bottom w:val="single" w:color="000000" w:sz="4" w:space="0"/>
              <w:right w:val="single" w:color="000000" w:sz="4" w:space="0"/>
            </w:tcBorders>
            <w:shd w:val="clear" w:color="auto" w:fill="auto"/>
            <w:vAlign w:val="center"/>
          </w:tcPr>
          <w:p w14:paraId="36E88F33">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10</w:t>
            </w:r>
          </w:p>
        </w:tc>
        <w:tc>
          <w:tcPr>
            <w:tcW w:w="1935" w:type="dxa"/>
            <w:tcBorders>
              <w:top w:val="nil"/>
              <w:left w:val="nil"/>
              <w:bottom w:val="single" w:color="000000" w:sz="4" w:space="0"/>
              <w:right w:val="single" w:color="000000" w:sz="4" w:space="0"/>
            </w:tcBorders>
            <w:shd w:val="clear" w:color="auto" w:fill="auto"/>
            <w:vAlign w:val="center"/>
          </w:tcPr>
          <w:p w14:paraId="478BEAD0">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i/>
                <w:iCs/>
                <w:color w:val="000000"/>
                <w:sz w:val="15"/>
                <w:szCs w:val="15"/>
                <w:lang w:val="en-US"/>
              </w:rPr>
            </w:pPr>
            <w:r>
              <w:rPr>
                <w:rFonts w:hint="eastAsia" w:ascii="宋体" w:hAnsi="宋体" w:eastAsia="宋体" w:cs="宋体"/>
                <w:i/>
                <w:iCs/>
                <w:color w:val="000000"/>
                <w:kern w:val="0"/>
                <w:sz w:val="15"/>
                <w:szCs w:val="15"/>
                <w:lang w:val="en-US" w:eastAsia="zh-CN" w:bidi="ar"/>
              </w:rPr>
              <w:t>无</w:t>
            </w:r>
          </w:p>
        </w:tc>
      </w:tr>
      <w:tr w14:paraId="6AB9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68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914C25">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合计</w:t>
            </w:r>
          </w:p>
        </w:tc>
        <w:tc>
          <w:tcPr>
            <w:tcW w:w="456" w:type="dxa"/>
            <w:tcBorders>
              <w:top w:val="nil"/>
              <w:left w:val="nil"/>
              <w:bottom w:val="single" w:color="000000" w:sz="4" w:space="0"/>
              <w:right w:val="single" w:color="000000" w:sz="4" w:space="0"/>
            </w:tcBorders>
            <w:shd w:val="clear" w:color="auto" w:fill="auto"/>
            <w:vAlign w:val="center"/>
          </w:tcPr>
          <w:p w14:paraId="089A622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100</w:t>
            </w:r>
          </w:p>
        </w:tc>
        <w:tc>
          <w:tcPr>
            <w:tcW w:w="422" w:type="dxa"/>
            <w:tcBorders>
              <w:top w:val="nil"/>
              <w:left w:val="nil"/>
              <w:bottom w:val="single" w:color="000000" w:sz="4" w:space="0"/>
              <w:right w:val="single" w:color="000000" w:sz="4" w:space="0"/>
            </w:tcBorders>
            <w:shd w:val="clear" w:color="auto" w:fill="auto"/>
            <w:vAlign w:val="center"/>
          </w:tcPr>
          <w:p w14:paraId="47247ECE">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99</w:t>
            </w:r>
          </w:p>
        </w:tc>
        <w:tc>
          <w:tcPr>
            <w:tcW w:w="1935" w:type="dxa"/>
            <w:tcBorders>
              <w:top w:val="nil"/>
              <w:left w:val="nil"/>
              <w:bottom w:val="single" w:color="000000" w:sz="4" w:space="0"/>
              <w:right w:val="single" w:color="000000" w:sz="4" w:space="0"/>
            </w:tcBorders>
            <w:shd w:val="clear" w:color="auto" w:fill="auto"/>
            <w:vAlign w:val="center"/>
          </w:tcPr>
          <w:p w14:paraId="00A76CB1">
            <w:pPr>
              <w:keepNext w:val="0"/>
              <w:keepLines w:val="0"/>
              <w:widowControl/>
              <w:suppressLineNumbers w:val="0"/>
              <w:spacing w:before="0" w:beforeAutospacing="0" w:after="0" w:afterAutospacing="0" w:line="220" w:lineRule="exact"/>
              <w:ind w:left="0" w:right="0"/>
              <w:jc w:val="center"/>
              <w:rPr>
                <w:rFonts w:hint="eastAsia" w:ascii="宋体" w:hAnsi="宋体" w:eastAsia="宋体" w:cs="宋体"/>
                <w:color w:val="000000"/>
                <w:kern w:val="0"/>
                <w:sz w:val="15"/>
                <w:szCs w:val="15"/>
                <w:lang w:val="en-US"/>
              </w:rPr>
            </w:pPr>
          </w:p>
        </w:tc>
      </w:tr>
      <w:tr w14:paraId="6044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74" w:type="dxa"/>
            <w:tcBorders>
              <w:top w:val="nil"/>
              <w:left w:val="single" w:color="000000" w:sz="4" w:space="0"/>
              <w:bottom w:val="single" w:color="000000" w:sz="4" w:space="0"/>
              <w:right w:val="single" w:color="000000" w:sz="4" w:space="0"/>
            </w:tcBorders>
            <w:shd w:val="clear" w:color="auto" w:fill="auto"/>
            <w:vAlign w:val="center"/>
          </w:tcPr>
          <w:p w14:paraId="3C84EAC3">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评价结论</w:t>
            </w:r>
          </w:p>
        </w:tc>
        <w:tc>
          <w:tcPr>
            <w:tcW w:w="8924" w:type="dxa"/>
            <w:gridSpan w:val="11"/>
            <w:tcBorders>
              <w:top w:val="single" w:color="000000" w:sz="4" w:space="0"/>
              <w:left w:val="nil"/>
              <w:bottom w:val="single" w:color="000000" w:sz="4" w:space="0"/>
              <w:right w:val="single" w:color="000000" w:sz="4" w:space="0"/>
            </w:tcBorders>
            <w:shd w:val="clear" w:color="auto" w:fill="auto"/>
            <w:vAlign w:val="center"/>
          </w:tcPr>
          <w:p w14:paraId="6F1DB5AE">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2023年完成了天府科技云首届乡土人才大赛；《科学发展期刊》出刊4期；天府科技云项目平台运维良好；支持并向院士专家工作站、社区、农技协补助各项目经费。从产出、效益、满意度指标等进行了以上打分，预算执行率100%，执行情况良好，自评得分99分。</w:t>
            </w:r>
          </w:p>
        </w:tc>
      </w:tr>
      <w:tr w14:paraId="4A9D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4" w:type="dxa"/>
            <w:tcBorders>
              <w:top w:val="nil"/>
              <w:left w:val="single" w:color="000000" w:sz="4" w:space="0"/>
              <w:bottom w:val="single" w:color="000000" w:sz="4" w:space="0"/>
              <w:right w:val="single" w:color="000000" w:sz="4" w:space="0"/>
            </w:tcBorders>
            <w:shd w:val="clear" w:color="auto" w:fill="auto"/>
            <w:vAlign w:val="center"/>
          </w:tcPr>
          <w:p w14:paraId="45D00ED5">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存在问题</w:t>
            </w:r>
          </w:p>
        </w:tc>
        <w:tc>
          <w:tcPr>
            <w:tcW w:w="8924" w:type="dxa"/>
            <w:gridSpan w:val="11"/>
            <w:tcBorders>
              <w:top w:val="single" w:color="000000" w:sz="4" w:space="0"/>
              <w:left w:val="nil"/>
              <w:bottom w:val="single" w:color="000000" w:sz="4" w:space="0"/>
              <w:right w:val="single" w:color="000000" w:sz="4" w:space="0"/>
            </w:tcBorders>
            <w:shd w:val="clear" w:color="auto" w:fill="auto"/>
            <w:vAlign w:val="center"/>
          </w:tcPr>
          <w:p w14:paraId="684BC3BF">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部分项目前期支付较缓慢。</w:t>
            </w:r>
          </w:p>
        </w:tc>
      </w:tr>
      <w:tr w14:paraId="36B2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74" w:type="dxa"/>
            <w:tcBorders>
              <w:top w:val="nil"/>
              <w:left w:val="single" w:color="000000" w:sz="4" w:space="0"/>
              <w:bottom w:val="single" w:color="000000" w:sz="4" w:space="0"/>
              <w:right w:val="single" w:color="000000" w:sz="4" w:space="0"/>
            </w:tcBorders>
            <w:shd w:val="clear" w:color="auto" w:fill="auto"/>
            <w:vAlign w:val="center"/>
          </w:tcPr>
          <w:p w14:paraId="58A3EDF3">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改进措施</w:t>
            </w:r>
          </w:p>
        </w:tc>
        <w:tc>
          <w:tcPr>
            <w:tcW w:w="8924" w:type="dxa"/>
            <w:gridSpan w:val="11"/>
            <w:tcBorders>
              <w:top w:val="single" w:color="000000" w:sz="4" w:space="0"/>
              <w:left w:val="nil"/>
              <w:bottom w:val="single" w:color="000000" w:sz="4" w:space="0"/>
              <w:right w:val="single" w:color="000000" w:sz="4" w:space="0"/>
            </w:tcBorders>
            <w:shd w:val="clear" w:color="auto" w:fill="auto"/>
            <w:vAlign w:val="center"/>
          </w:tcPr>
          <w:p w14:paraId="740F359F">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紧抓项目进度、及时支付项目资金。</w:t>
            </w:r>
          </w:p>
        </w:tc>
      </w:tr>
      <w:tr w14:paraId="6368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2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ED3C26">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项目负责人：赵菲、余敏、李红、乌洛、李阳德</w:t>
            </w:r>
          </w:p>
        </w:tc>
        <w:tc>
          <w:tcPr>
            <w:tcW w:w="5496" w:type="dxa"/>
            <w:gridSpan w:val="8"/>
            <w:tcBorders>
              <w:top w:val="single" w:color="000000" w:sz="4" w:space="0"/>
              <w:left w:val="nil"/>
              <w:bottom w:val="single" w:color="000000" w:sz="4" w:space="0"/>
              <w:right w:val="single" w:color="000000" w:sz="4" w:space="0"/>
            </w:tcBorders>
            <w:shd w:val="clear" w:color="auto" w:fill="auto"/>
            <w:vAlign w:val="center"/>
          </w:tcPr>
          <w:p w14:paraId="436B9D73">
            <w:pPr>
              <w:keepNext w:val="0"/>
              <w:keepLines w:val="0"/>
              <w:widowControl/>
              <w:suppressLineNumbers w:val="0"/>
              <w:spacing w:before="0" w:beforeAutospacing="0" w:after="0" w:afterAutospacing="0" w:line="22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财务负责人：毛正华</w:t>
            </w:r>
          </w:p>
        </w:tc>
      </w:tr>
    </w:tbl>
    <w:tbl>
      <w:tblPr>
        <w:tblStyle w:val="18"/>
        <w:tblW w:w="53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948"/>
        <w:gridCol w:w="1000"/>
        <w:gridCol w:w="1090"/>
        <w:gridCol w:w="616"/>
        <w:gridCol w:w="537"/>
        <w:gridCol w:w="537"/>
        <w:gridCol w:w="813"/>
        <w:gridCol w:w="571"/>
        <w:gridCol w:w="575"/>
        <w:gridCol w:w="1740"/>
      </w:tblGrid>
      <w:tr w14:paraId="7317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B54346">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24"/>
                <w:szCs w:val="24"/>
              </w:rPr>
              <w:t>部门预算项目支出绩效自评表（</w:t>
            </w:r>
            <w:r>
              <w:rPr>
                <w:rFonts w:hint="eastAsia" w:ascii="黑体" w:hAnsi="宋体" w:eastAsia="黑体" w:cs="宋体"/>
                <w:b/>
                <w:bCs/>
                <w:color w:val="000000"/>
                <w:kern w:val="0"/>
                <w:sz w:val="24"/>
                <w:szCs w:val="24"/>
                <w:lang w:val="en-US"/>
              </w:rPr>
              <w:t>2023</w:t>
            </w:r>
            <w:r>
              <w:rPr>
                <w:rFonts w:hint="eastAsia" w:ascii="黑体" w:hAnsi="宋体" w:eastAsia="黑体" w:cs="宋体"/>
                <w:b/>
                <w:bCs/>
                <w:color w:val="000000"/>
                <w:kern w:val="0"/>
                <w:sz w:val="24"/>
                <w:szCs w:val="24"/>
              </w:rPr>
              <w:t>年度）</w:t>
            </w:r>
          </w:p>
        </w:tc>
      </w:tr>
      <w:tr w14:paraId="60A5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F8575">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rPr>
              <w:t>项目名称</w:t>
            </w:r>
          </w:p>
        </w:tc>
        <w:tc>
          <w:tcPr>
            <w:tcW w:w="4091" w:type="pct"/>
            <w:gridSpan w:val="9"/>
            <w:tcBorders>
              <w:top w:val="single" w:color="000000" w:sz="4" w:space="0"/>
              <w:left w:val="nil"/>
              <w:bottom w:val="single" w:color="000000" w:sz="4" w:space="0"/>
              <w:right w:val="single" w:color="000000" w:sz="4" w:space="0"/>
            </w:tcBorders>
            <w:shd w:val="clear" w:color="auto" w:fill="auto"/>
            <w:vAlign w:val="center"/>
          </w:tcPr>
          <w:p w14:paraId="31117814">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rPr>
              <w:t>51340023T000009491998-</w:t>
            </w:r>
            <w:r>
              <w:rPr>
                <w:rFonts w:hint="eastAsia" w:ascii="宋体" w:hAnsi="宋体" w:eastAsia="宋体" w:cs="宋体"/>
                <w:color w:val="000000"/>
                <w:kern w:val="0"/>
                <w:sz w:val="15"/>
                <w:szCs w:val="15"/>
              </w:rPr>
              <w:t>天府科技云服务项目</w:t>
            </w:r>
          </w:p>
        </w:tc>
      </w:tr>
      <w:tr w14:paraId="0C20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8D6FD">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rPr>
              <w:t>主管部门</w:t>
            </w:r>
          </w:p>
        </w:tc>
        <w:tc>
          <w:tcPr>
            <w:tcW w:w="2067" w:type="pct"/>
            <w:gridSpan w:val="5"/>
            <w:tcBorders>
              <w:top w:val="single" w:color="000000" w:sz="4" w:space="0"/>
              <w:left w:val="nil"/>
              <w:bottom w:val="single" w:color="000000" w:sz="4" w:space="0"/>
              <w:right w:val="single" w:color="000000" w:sz="4" w:space="0"/>
            </w:tcBorders>
            <w:shd w:val="clear" w:color="auto" w:fill="auto"/>
            <w:vAlign w:val="center"/>
          </w:tcPr>
          <w:p w14:paraId="041F2DA1">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rPr>
              <w:t>凉山州科学技术协会部门</w:t>
            </w:r>
          </w:p>
        </w:tc>
        <w:tc>
          <w:tcPr>
            <w:tcW w:w="444" w:type="pct"/>
            <w:shd w:val="clear" w:color="auto" w:fill="auto"/>
            <w:vAlign w:val="center"/>
          </w:tcPr>
          <w:p w14:paraId="014C6C24">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color w:val="000000"/>
                <w:kern w:val="0"/>
                <w:sz w:val="18"/>
                <w:szCs w:val="18"/>
                <w:lang w:val="en-US"/>
              </w:rPr>
            </w:pPr>
            <w:r>
              <w:rPr>
                <w:rFonts w:hint="eastAsia" w:ascii="Courier New" w:hAnsi="Courier New" w:eastAsia="宋体" w:cs="Courier New"/>
                <w:color w:val="000000"/>
                <w:kern w:val="0"/>
                <w:sz w:val="18"/>
                <w:szCs w:val="18"/>
              </w:rPr>
              <w:t>实施单位</w:t>
            </w:r>
            <w:r>
              <w:rPr>
                <w:rFonts w:hint="default" w:ascii="Courier New" w:hAnsi="Courier New" w:cs="Courier New"/>
                <w:color w:val="000000"/>
                <w:kern w:val="0"/>
                <w:sz w:val="18"/>
                <w:szCs w:val="18"/>
              </w:rPr>
              <w:t xml:space="preserve"> </w:t>
            </w:r>
            <w:r>
              <w:rPr>
                <w:rFonts w:hint="eastAsia" w:ascii="Courier New" w:hAnsi="Courier New" w:eastAsia="宋体" w:cs="Courier New"/>
                <w:color w:val="000000"/>
                <w:kern w:val="0"/>
                <w:sz w:val="18"/>
                <w:szCs w:val="18"/>
              </w:rPr>
              <w:t>（盖章）</w:t>
            </w:r>
          </w:p>
        </w:tc>
        <w:tc>
          <w:tcPr>
            <w:tcW w:w="1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7C7E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rPr>
              <w:t>凉山州科学技术协会</w:t>
            </w:r>
          </w:p>
        </w:tc>
      </w:tr>
      <w:tr w14:paraId="14D7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0" w:type="pct"/>
            <w:vMerge w:val="restart"/>
            <w:tcBorders>
              <w:top w:val="nil"/>
              <w:left w:val="single" w:color="000000" w:sz="4" w:space="0"/>
              <w:bottom w:val="single" w:color="000000" w:sz="4" w:space="0"/>
              <w:right w:val="single" w:color="000000" w:sz="4" w:space="0"/>
            </w:tcBorders>
            <w:shd w:val="clear" w:color="auto" w:fill="auto"/>
            <w:vAlign w:val="center"/>
          </w:tcPr>
          <w:p w14:paraId="613159F2">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rPr>
              <w:t>项目基本情况</w:t>
            </w:r>
          </w:p>
        </w:tc>
        <w:tc>
          <w:tcPr>
            <w:tcW w:w="518" w:type="pct"/>
            <w:vMerge w:val="restart"/>
            <w:tcBorders>
              <w:top w:val="nil"/>
              <w:left w:val="single" w:color="000000" w:sz="4" w:space="0"/>
              <w:bottom w:val="single" w:color="000000" w:sz="4" w:space="0"/>
              <w:right w:val="single" w:color="000000" w:sz="4" w:space="0"/>
            </w:tcBorders>
            <w:shd w:val="clear" w:color="auto" w:fill="auto"/>
            <w:vAlign w:val="center"/>
          </w:tcPr>
          <w:p w14:paraId="49E24B82">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rPr>
              <w:t>1.</w:t>
            </w:r>
            <w:r>
              <w:rPr>
                <w:rFonts w:hint="eastAsia" w:ascii="宋体" w:hAnsi="宋体" w:eastAsia="宋体" w:cs="宋体"/>
                <w:color w:val="000000"/>
                <w:kern w:val="0"/>
                <w:sz w:val="15"/>
                <w:szCs w:val="15"/>
              </w:rPr>
              <w:t>项目年度目标完成情况</w:t>
            </w:r>
          </w:p>
        </w:tc>
        <w:tc>
          <w:tcPr>
            <w:tcW w:w="2067" w:type="pct"/>
            <w:gridSpan w:val="5"/>
            <w:tcBorders>
              <w:top w:val="single" w:color="000000" w:sz="4" w:space="0"/>
              <w:left w:val="nil"/>
              <w:bottom w:val="single" w:color="000000" w:sz="4" w:space="0"/>
              <w:right w:val="single" w:color="000000" w:sz="4" w:space="0"/>
            </w:tcBorders>
            <w:shd w:val="clear" w:color="auto" w:fill="auto"/>
            <w:vAlign w:val="center"/>
          </w:tcPr>
          <w:p w14:paraId="17CB4D5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rPr>
              <w:t>项目年度目标</w:t>
            </w:r>
          </w:p>
        </w:tc>
        <w:tc>
          <w:tcPr>
            <w:tcW w:w="2023" w:type="pct"/>
            <w:gridSpan w:val="4"/>
            <w:tcBorders>
              <w:top w:val="single" w:color="000000" w:sz="4" w:space="0"/>
              <w:left w:val="nil"/>
              <w:bottom w:val="single" w:color="000000" w:sz="4" w:space="0"/>
              <w:right w:val="single" w:color="000000" w:sz="4" w:space="0"/>
            </w:tcBorders>
            <w:shd w:val="clear" w:color="auto" w:fill="auto"/>
            <w:vAlign w:val="center"/>
          </w:tcPr>
          <w:p w14:paraId="192C695D">
            <w:pPr>
              <w:keepNext w:val="0"/>
              <w:keepLines w:val="0"/>
              <w:widowControl/>
              <w:suppressLineNumbers w:val="0"/>
              <w:spacing w:before="0" w:beforeAutospacing="0" w:after="0" w:afterAutospacing="0" w:line="240" w:lineRule="exact"/>
              <w:ind w:left="0" w:right="0"/>
              <w:jc w:val="center"/>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rPr>
              <w:t>年度目标完成情况</w:t>
            </w:r>
          </w:p>
        </w:tc>
      </w:tr>
      <w:tr w14:paraId="5D59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5F05DB7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vMerge w:val="continue"/>
            <w:tcBorders>
              <w:top w:val="nil"/>
              <w:left w:val="single" w:color="000000" w:sz="4" w:space="0"/>
              <w:bottom w:val="single" w:color="000000" w:sz="4" w:space="0"/>
              <w:right w:val="single" w:color="000000" w:sz="4" w:space="0"/>
            </w:tcBorders>
            <w:shd w:val="clear" w:color="auto" w:fill="auto"/>
            <w:vAlign w:val="center"/>
          </w:tcPr>
          <w:p w14:paraId="7DA4678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2067" w:type="pct"/>
            <w:gridSpan w:val="5"/>
            <w:tcBorders>
              <w:top w:val="single" w:color="000000" w:sz="4" w:space="0"/>
              <w:left w:val="nil"/>
              <w:bottom w:val="single" w:color="000000" w:sz="4" w:space="0"/>
              <w:right w:val="single" w:color="000000" w:sz="4" w:space="0"/>
            </w:tcBorders>
            <w:shd w:val="clear" w:color="auto" w:fill="auto"/>
            <w:vAlign w:val="center"/>
          </w:tcPr>
          <w:p w14:paraId="20968E96">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rPr>
              <w:t>保障州云服务中心基础设施设备，保证工作人员入驻平台开展工作，开展体制内保姆及专职保姆业务能力培训。</w:t>
            </w:r>
          </w:p>
        </w:tc>
        <w:tc>
          <w:tcPr>
            <w:tcW w:w="2023" w:type="pct"/>
            <w:gridSpan w:val="4"/>
            <w:tcBorders>
              <w:top w:val="single" w:color="000000" w:sz="4" w:space="0"/>
              <w:left w:val="nil"/>
              <w:bottom w:val="single" w:color="000000" w:sz="4" w:space="0"/>
              <w:right w:val="single" w:color="000000" w:sz="4" w:space="0"/>
            </w:tcBorders>
            <w:shd w:val="clear" w:color="auto" w:fill="auto"/>
            <w:vAlign w:val="center"/>
          </w:tcPr>
          <w:p w14:paraId="4E329A82">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rPr>
              <w:t>到全州</w:t>
            </w:r>
            <w:r>
              <w:rPr>
                <w:rFonts w:hint="eastAsia" w:ascii="宋体" w:hAnsi="宋体" w:eastAsia="宋体" w:cs="宋体"/>
                <w:kern w:val="0"/>
                <w:sz w:val="15"/>
                <w:szCs w:val="15"/>
                <w:lang w:val="en-US"/>
              </w:rPr>
              <w:t>17</w:t>
            </w:r>
            <w:r>
              <w:rPr>
                <w:rFonts w:hint="eastAsia" w:ascii="宋体" w:hAnsi="宋体" w:eastAsia="宋体" w:cs="宋体"/>
                <w:kern w:val="0"/>
                <w:sz w:val="15"/>
                <w:szCs w:val="15"/>
              </w:rPr>
              <w:t>县市调研指导验收云服中心保姆式服务工作、开展体制内保姆及专职保姆业务能力培训费。</w:t>
            </w:r>
          </w:p>
        </w:tc>
      </w:tr>
      <w:tr w14:paraId="1C9C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6299104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tcBorders>
              <w:top w:val="nil"/>
              <w:left w:val="nil"/>
              <w:bottom w:val="single" w:color="000000" w:sz="4" w:space="0"/>
              <w:right w:val="single" w:color="000000" w:sz="4" w:space="0"/>
            </w:tcBorders>
            <w:shd w:val="clear" w:color="auto" w:fill="auto"/>
            <w:vAlign w:val="center"/>
          </w:tcPr>
          <w:p w14:paraId="5963C646">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2.</w:t>
            </w:r>
            <w:r>
              <w:rPr>
                <w:rFonts w:hint="eastAsia" w:ascii="宋体" w:hAnsi="宋体" w:eastAsia="宋体" w:cs="宋体"/>
                <w:kern w:val="0"/>
                <w:sz w:val="15"/>
                <w:szCs w:val="15"/>
              </w:rPr>
              <w:t>项目实施内容及过程概述</w:t>
            </w:r>
          </w:p>
        </w:tc>
        <w:tc>
          <w:tcPr>
            <w:tcW w:w="4091" w:type="pct"/>
            <w:gridSpan w:val="9"/>
            <w:tcBorders>
              <w:top w:val="single" w:color="000000" w:sz="4" w:space="0"/>
              <w:left w:val="nil"/>
              <w:bottom w:val="single" w:color="000000" w:sz="4" w:space="0"/>
              <w:right w:val="single" w:color="000000" w:sz="4" w:space="0"/>
            </w:tcBorders>
            <w:shd w:val="clear" w:color="auto" w:fill="auto"/>
            <w:vAlign w:val="center"/>
          </w:tcPr>
          <w:p w14:paraId="6632F650">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rPr>
              <w:t>保障基础设施设备和人员，到全州</w:t>
            </w:r>
            <w:r>
              <w:rPr>
                <w:rFonts w:hint="eastAsia" w:ascii="宋体" w:hAnsi="宋体" w:eastAsia="宋体" w:cs="宋体"/>
                <w:kern w:val="0"/>
                <w:sz w:val="15"/>
                <w:szCs w:val="15"/>
                <w:lang w:val="en-US"/>
              </w:rPr>
              <w:t>17</w:t>
            </w:r>
            <w:r>
              <w:rPr>
                <w:rFonts w:hint="eastAsia" w:ascii="宋体" w:hAnsi="宋体" w:eastAsia="宋体" w:cs="宋体"/>
                <w:kern w:val="0"/>
                <w:sz w:val="15"/>
                <w:szCs w:val="15"/>
              </w:rPr>
              <w:t>县市开展调研指导验收工作、开展线上科普直通车等技术推广工作，开展体制内保姆及专职保姆业务能力培训</w:t>
            </w:r>
          </w:p>
        </w:tc>
      </w:tr>
      <w:tr w14:paraId="0FAE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390" w:type="pct"/>
            <w:vMerge w:val="restart"/>
            <w:tcBorders>
              <w:top w:val="nil"/>
              <w:left w:val="single" w:color="000000" w:sz="4" w:space="0"/>
              <w:bottom w:val="single" w:color="000000" w:sz="4" w:space="0"/>
              <w:right w:val="single" w:color="000000" w:sz="4" w:space="0"/>
            </w:tcBorders>
            <w:shd w:val="clear" w:color="auto" w:fill="auto"/>
            <w:vAlign w:val="center"/>
          </w:tcPr>
          <w:p w14:paraId="3894E68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rPr>
              <w:t>预算执行情况（</w:t>
            </w:r>
            <w:r>
              <w:rPr>
                <w:rFonts w:hint="eastAsia" w:ascii="宋体" w:hAnsi="宋体" w:eastAsia="宋体" w:cs="宋体"/>
                <w:color w:val="000000"/>
                <w:kern w:val="0"/>
                <w:sz w:val="15"/>
                <w:szCs w:val="15"/>
                <w:lang w:val="en-US"/>
              </w:rPr>
              <w:t>10</w:t>
            </w:r>
            <w:r>
              <w:rPr>
                <w:rFonts w:hint="eastAsia" w:ascii="宋体" w:hAnsi="宋体" w:eastAsia="宋体" w:cs="宋体"/>
                <w:color w:val="000000"/>
                <w:kern w:val="0"/>
                <w:sz w:val="15"/>
                <w:szCs w:val="15"/>
              </w:rPr>
              <w:t>分）</w:t>
            </w:r>
          </w:p>
        </w:tc>
        <w:tc>
          <w:tcPr>
            <w:tcW w:w="518" w:type="pct"/>
            <w:tcBorders>
              <w:top w:val="nil"/>
              <w:left w:val="nil"/>
              <w:bottom w:val="single" w:color="000000" w:sz="4" w:space="0"/>
              <w:right w:val="single" w:color="000000" w:sz="4" w:space="0"/>
            </w:tcBorders>
            <w:shd w:val="clear" w:color="auto" w:fill="auto"/>
            <w:vAlign w:val="center"/>
          </w:tcPr>
          <w:p w14:paraId="621C640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年度预算数（万元）</w:t>
            </w:r>
          </w:p>
        </w:tc>
        <w:tc>
          <w:tcPr>
            <w:tcW w:w="547" w:type="pct"/>
            <w:tcBorders>
              <w:top w:val="nil"/>
              <w:left w:val="nil"/>
              <w:bottom w:val="single" w:color="000000" w:sz="4" w:space="0"/>
              <w:right w:val="single" w:color="000000" w:sz="4" w:space="0"/>
            </w:tcBorders>
            <w:shd w:val="clear" w:color="auto" w:fill="auto"/>
            <w:vAlign w:val="center"/>
          </w:tcPr>
          <w:p w14:paraId="76BED9B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年初预算</w:t>
            </w:r>
          </w:p>
        </w:tc>
        <w:tc>
          <w:tcPr>
            <w:tcW w:w="596" w:type="pct"/>
            <w:tcBorders>
              <w:top w:val="nil"/>
              <w:left w:val="nil"/>
              <w:bottom w:val="single" w:color="000000" w:sz="4" w:space="0"/>
              <w:right w:val="single" w:color="000000" w:sz="4" w:space="0"/>
            </w:tcBorders>
            <w:shd w:val="clear" w:color="auto" w:fill="auto"/>
            <w:vAlign w:val="center"/>
          </w:tcPr>
          <w:p w14:paraId="01B3558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调整后预算数</w:t>
            </w:r>
          </w:p>
        </w:tc>
        <w:tc>
          <w:tcPr>
            <w:tcW w:w="924" w:type="pct"/>
            <w:gridSpan w:val="3"/>
            <w:tcBorders>
              <w:top w:val="single" w:color="000000" w:sz="4" w:space="0"/>
              <w:left w:val="nil"/>
              <w:bottom w:val="single" w:color="000000" w:sz="4" w:space="0"/>
              <w:right w:val="single" w:color="000000" w:sz="4" w:space="0"/>
            </w:tcBorders>
            <w:shd w:val="clear" w:color="auto" w:fill="auto"/>
            <w:vAlign w:val="center"/>
          </w:tcPr>
          <w:p w14:paraId="55632C3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预算执行数</w:t>
            </w:r>
          </w:p>
        </w:tc>
        <w:tc>
          <w:tcPr>
            <w:tcW w:w="444" w:type="pct"/>
            <w:tcBorders>
              <w:top w:val="nil"/>
              <w:left w:val="nil"/>
              <w:bottom w:val="single" w:color="000000" w:sz="4" w:space="0"/>
              <w:right w:val="single" w:color="000000" w:sz="4" w:space="0"/>
            </w:tcBorders>
            <w:shd w:val="clear" w:color="auto" w:fill="auto"/>
            <w:vAlign w:val="center"/>
          </w:tcPr>
          <w:p w14:paraId="26CD526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预算执行率</w:t>
            </w:r>
          </w:p>
        </w:tc>
        <w:tc>
          <w:tcPr>
            <w:tcW w:w="312" w:type="pct"/>
            <w:tcBorders>
              <w:top w:val="nil"/>
              <w:left w:val="nil"/>
              <w:bottom w:val="single" w:color="000000" w:sz="4" w:space="0"/>
              <w:right w:val="single" w:color="000000" w:sz="4" w:space="0"/>
            </w:tcBorders>
            <w:shd w:val="clear" w:color="auto" w:fill="auto"/>
            <w:vAlign w:val="center"/>
          </w:tcPr>
          <w:p w14:paraId="3B0AC17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权重</w:t>
            </w:r>
          </w:p>
        </w:tc>
        <w:tc>
          <w:tcPr>
            <w:tcW w:w="314" w:type="pct"/>
            <w:tcBorders>
              <w:top w:val="nil"/>
              <w:left w:val="nil"/>
              <w:bottom w:val="single" w:color="000000" w:sz="4" w:space="0"/>
              <w:right w:val="single" w:color="000000" w:sz="4" w:space="0"/>
            </w:tcBorders>
            <w:shd w:val="clear" w:color="auto" w:fill="auto"/>
            <w:vAlign w:val="center"/>
          </w:tcPr>
          <w:p w14:paraId="099AD7B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得分</w:t>
            </w:r>
          </w:p>
        </w:tc>
        <w:tc>
          <w:tcPr>
            <w:tcW w:w="951" w:type="pct"/>
            <w:tcBorders>
              <w:top w:val="nil"/>
              <w:left w:val="nil"/>
              <w:bottom w:val="single" w:color="000000" w:sz="4" w:space="0"/>
              <w:right w:val="single" w:color="000000" w:sz="4" w:space="0"/>
            </w:tcBorders>
            <w:shd w:val="clear" w:color="auto" w:fill="auto"/>
            <w:vAlign w:val="center"/>
          </w:tcPr>
          <w:p w14:paraId="301C00D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原因</w:t>
            </w:r>
          </w:p>
        </w:tc>
      </w:tr>
      <w:tr w14:paraId="12B6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4DA1D8E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tcBorders>
              <w:top w:val="nil"/>
              <w:left w:val="nil"/>
              <w:bottom w:val="single" w:color="000000" w:sz="4" w:space="0"/>
              <w:right w:val="single" w:color="000000" w:sz="4" w:space="0"/>
            </w:tcBorders>
            <w:shd w:val="clear" w:color="auto" w:fill="auto"/>
            <w:vAlign w:val="center"/>
          </w:tcPr>
          <w:p w14:paraId="5AE3614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总额</w:t>
            </w:r>
          </w:p>
        </w:tc>
        <w:tc>
          <w:tcPr>
            <w:tcW w:w="547" w:type="pct"/>
            <w:tcBorders>
              <w:top w:val="nil"/>
              <w:left w:val="nil"/>
              <w:bottom w:val="single" w:color="000000" w:sz="4" w:space="0"/>
              <w:right w:val="single" w:color="000000" w:sz="4" w:space="0"/>
            </w:tcBorders>
            <w:shd w:val="clear" w:color="auto" w:fill="auto"/>
            <w:vAlign w:val="center"/>
          </w:tcPr>
          <w:p w14:paraId="2BD0372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0.00</w:t>
            </w:r>
          </w:p>
        </w:tc>
        <w:tc>
          <w:tcPr>
            <w:tcW w:w="596" w:type="pct"/>
            <w:tcBorders>
              <w:top w:val="nil"/>
              <w:left w:val="nil"/>
              <w:bottom w:val="single" w:color="000000" w:sz="4" w:space="0"/>
              <w:right w:val="single" w:color="000000" w:sz="4" w:space="0"/>
            </w:tcBorders>
            <w:shd w:val="clear" w:color="auto" w:fill="auto"/>
            <w:vAlign w:val="center"/>
          </w:tcPr>
          <w:p w14:paraId="3BEA847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25</w:t>
            </w:r>
          </w:p>
        </w:tc>
        <w:tc>
          <w:tcPr>
            <w:tcW w:w="924" w:type="pct"/>
            <w:gridSpan w:val="3"/>
            <w:tcBorders>
              <w:top w:val="single" w:color="000000" w:sz="4" w:space="0"/>
              <w:left w:val="nil"/>
              <w:bottom w:val="single" w:color="000000" w:sz="4" w:space="0"/>
              <w:right w:val="single" w:color="000000" w:sz="4" w:space="0"/>
            </w:tcBorders>
            <w:shd w:val="clear" w:color="auto" w:fill="auto"/>
            <w:vAlign w:val="center"/>
          </w:tcPr>
          <w:p w14:paraId="44D09BF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25</w:t>
            </w:r>
          </w:p>
        </w:tc>
        <w:tc>
          <w:tcPr>
            <w:tcW w:w="444" w:type="pct"/>
            <w:tcBorders>
              <w:top w:val="nil"/>
              <w:left w:val="nil"/>
              <w:bottom w:val="single" w:color="000000" w:sz="4" w:space="0"/>
              <w:right w:val="single" w:color="000000" w:sz="4" w:space="0"/>
            </w:tcBorders>
            <w:shd w:val="clear" w:color="auto" w:fill="auto"/>
            <w:vAlign w:val="center"/>
          </w:tcPr>
          <w:p w14:paraId="6DFEAAF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100.00%</w:t>
            </w:r>
          </w:p>
        </w:tc>
        <w:tc>
          <w:tcPr>
            <w:tcW w:w="312" w:type="pct"/>
            <w:tcBorders>
              <w:top w:val="nil"/>
              <w:left w:val="nil"/>
              <w:bottom w:val="single" w:color="000000" w:sz="4" w:space="0"/>
              <w:right w:val="single" w:color="000000" w:sz="4" w:space="0"/>
            </w:tcBorders>
            <w:shd w:val="clear" w:color="auto" w:fill="auto"/>
            <w:vAlign w:val="center"/>
          </w:tcPr>
          <w:p w14:paraId="78F31A5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10</w:t>
            </w:r>
          </w:p>
        </w:tc>
        <w:tc>
          <w:tcPr>
            <w:tcW w:w="314" w:type="pct"/>
            <w:tcBorders>
              <w:top w:val="nil"/>
              <w:left w:val="nil"/>
              <w:bottom w:val="single" w:color="000000" w:sz="4" w:space="0"/>
              <w:right w:val="single" w:color="000000" w:sz="4" w:space="0"/>
            </w:tcBorders>
            <w:shd w:val="clear" w:color="auto" w:fill="auto"/>
            <w:vAlign w:val="center"/>
          </w:tcPr>
          <w:p w14:paraId="2FD3288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10</w:t>
            </w:r>
            <w:r>
              <w:rPr>
                <w:rFonts w:hint="eastAsia" w:ascii="宋体" w:hAnsi="宋体" w:eastAsia="宋体" w:cs="宋体"/>
                <w:kern w:val="0"/>
                <w:sz w:val="15"/>
                <w:szCs w:val="15"/>
              </w:rPr>
              <w:t>　</w:t>
            </w:r>
          </w:p>
        </w:tc>
        <w:tc>
          <w:tcPr>
            <w:tcW w:w="951" w:type="pct"/>
            <w:vMerge w:val="restart"/>
            <w:tcBorders>
              <w:top w:val="nil"/>
              <w:left w:val="single" w:color="000000" w:sz="4" w:space="0"/>
              <w:bottom w:val="single" w:color="000000" w:sz="4" w:space="0"/>
              <w:right w:val="single" w:color="000000" w:sz="4" w:space="0"/>
            </w:tcBorders>
            <w:shd w:val="clear" w:color="auto" w:fill="auto"/>
            <w:vAlign w:val="center"/>
          </w:tcPr>
          <w:p w14:paraId="2EF465D6">
            <w:pPr>
              <w:keepNext w:val="0"/>
              <w:keepLines w:val="0"/>
              <w:widowControl/>
              <w:suppressLineNumbers w:val="0"/>
              <w:spacing w:before="0" w:beforeAutospacing="0" w:after="0" w:afterAutospacing="0" w:line="240" w:lineRule="exact"/>
              <w:ind w:left="0" w:right="0"/>
              <w:jc w:val="left"/>
              <w:rPr>
                <w:rFonts w:hint="default" w:ascii="Courier New" w:hAnsi="Courier New" w:cs="Courier New"/>
                <w:i/>
                <w:iCs/>
                <w:kern w:val="0"/>
                <w:sz w:val="15"/>
                <w:szCs w:val="15"/>
                <w:lang w:val="en-US"/>
              </w:rPr>
            </w:pPr>
          </w:p>
        </w:tc>
      </w:tr>
      <w:tr w14:paraId="71BC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4AFF273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tcBorders>
              <w:top w:val="nil"/>
              <w:left w:val="nil"/>
              <w:bottom w:val="single" w:color="000000" w:sz="4" w:space="0"/>
              <w:right w:val="single" w:color="000000" w:sz="4" w:space="0"/>
            </w:tcBorders>
            <w:shd w:val="clear" w:color="auto" w:fill="auto"/>
            <w:vAlign w:val="center"/>
          </w:tcPr>
          <w:p w14:paraId="6057398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其中：财政资金</w:t>
            </w:r>
          </w:p>
        </w:tc>
        <w:tc>
          <w:tcPr>
            <w:tcW w:w="547" w:type="pct"/>
            <w:tcBorders>
              <w:top w:val="nil"/>
              <w:left w:val="nil"/>
              <w:bottom w:val="single" w:color="000000" w:sz="4" w:space="0"/>
              <w:right w:val="single" w:color="000000" w:sz="4" w:space="0"/>
            </w:tcBorders>
            <w:shd w:val="clear" w:color="auto" w:fill="auto"/>
            <w:vAlign w:val="center"/>
          </w:tcPr>
          <w:p w14:paraId="04B914C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0.00</w:t>
            </w:r>
          </w:p>
        </w:tc>
        <w:tc>
          <w:tcPr>
            <w:tcW w:w="596" w:type="pct"/>
            <w:tcBorders>
              <w:top w:val="nil"/>
              <w:left w:val="nil"/>
              <w:bottom w:val="single" w:color="000000" w:sz="4" w:space="0"/>
              <w:right w:val="single" w:color="000000" w:sz="4" w:space="0"/>
            </w:tcBorders>
            <w:shd w:val="clear" w:color="auto" w:fill="auto"/>
            <w:vAlign w:val="center"/>
          </w:tcPr>
          <w:p w14:paraId="75672B2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25</w:t>
            </w:r>
          </w:p>
        </w:tc>
        <w:tc>
          <w:tcPr>
            <w:tcW w:w="924" w:type="pct"/>
            <w:gridSpan w:val="3"/>
            <w:tcBorders>
              <w:top w:val="single" w:color="000000" w:sz="4" w:space="0"/>
              <w:left w:val="nil"/>
              <w:bottom w:val="single" w:color="000000" w:sz="4" w:space="0"/>
              <w:right w:val="single" w:color="000000" w:sz="4" w:space="0"/>
            </w:tcBorders>
            <w:shd w:val="clear" w:color="auto" w:fill="auto"/>
            <w:vAlign w:val="center"/>
          </w:tcPr>
          <w:p w14:paraId="0D3A954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25</w:t>
            </w:r>
          </w:p>
        </w:tc>
        <w:tc>
          <w:tcPr>
            <w:tcW w:w="444" w:type="pct"/>
            <w:tcBorders>
              <w:top w:val="nil"/>
              <w:left w:val="nil"/>
              <w:bottom w:val="single" w:color="000000" w:sz="4" w:space="0"/>
              <w:right w:val="single" w:color="000000" w:sz="4" w:space="0"/>
            </w:tcBorders>
            <w:shd w:val="clear" w:color="auto" w:fill="auto"/>
            <w:vAlign w:val="center"/>
          </w:tcPr>
          <w:p w14:paraId="3F5BB96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100.00%</w:t>
            </w:r>
          </w:p>
        </w:tc>
        <w:tc>
          <w:tcPr>
            <w:tcW w:w="312" w:type="pct"/>
            <w:tcBorders>
              <w:top w:val="nil"/>
              <w:left w:val="nil"/>
              <w:bottom w:val="single" w:color="000000" w:sz="4" w:space="0"/>
              <w:right w:val="single" w:color="000000" w:sz="4" w:space="0"/>
            </w:tcBorders>
            <w:shd w:val="clear" w:color="auto" w:fill="auto"/>
            <w:vAlign w:val="center"/>
          </w:tcPr>
          <w:p w14:paraId="23162B6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w:t>
            </w:r>
          </w:p>
        </w:tc>
        <w:tc>
          <w:tcPr>
            <w:tcW w:w="314" w:type="pct"/>
            <w:tcBorders>
              <w:top w:val="nil"/>
              <w:left w:val="nil"/>
              <w:bottom w:val="single" w:color="000000" w:sz="4" w:space="0"/>
              <w:right w:val="single" w:color="000000" w:sz="4" w:space="0"/>
            </w:tcBorders>
            <w:shd w:val="clear" w:color="auto" w:fill="auto"/>
            <w:vAlign w:val="center"/>
          </w:tcPr>
          <w:p w14:paraId="300932F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w:t>
            </w:r>
          </w:p>
        </w:tc>
        <w:tc>
          <w:tcPr>
            <w:tcW w:w="951" w:type="pct"/>
            <w:vMerge w:val="continue"/>
            <w:tcBorders>
              <w:top w:val="nil"/>
              <w:left w:val="single" w:color="000000" w:sz="4" w:space="0"/>
              <w:bottom w:val="single" w:color="000000" w:sz="4" w:space="0"/>
              <w:right w:val="single" w:color="000000" w:sz="4" w:space="0"/>
            </w:tcBorders>
            <w:shd w:val="clear" w:color="auto" w:fill="auto"/>
            <w:vAlign w:val="center"/>
          </w:tcPr>
          <w:p w14:paraId="5FE5F98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11DA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6159C5F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tcBorders>
              <w:top w:val="nil"/>
              <w:left w:val="nil"/>
              <w:bottom w:val="single" w:color="000000" w:sz="4" w:space="0"/>
              <w:right w:val="single" w:color="000000" w:sz="4" w:space="0"/>
            </w:tcBorders>
            <w:shd w:val="clear" w:color="auto" w:fill="auto"/>
            <w:vAlign w:val="center"/>
          </w:tcPr>
          <w:p w14:paraId="74B43C1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财政专户管理资金</w:t>
            </w:r>
          </w:p>
        </w:tc>
        <w:tc>
          <w:tcPr>
            <w:tcW w:w="547" w:type="pct"/>
            <w:tcBorders>
              <w:top w:val="nil"/>
              <w:left w:val="nil"/>
              <w:bottom w:val="single" w:color="000000" w:sz="4" w:space="0"/>
              <w:right w:val="single" w:color="000000" w:sz="4" w:space="0"/>
            </w:tcBorders>
            <w:shd w:val="clear" w:color="auto" w:fill="auto"/>
            <w:vAlign w:val="center"/>
          </w:tcPr>
          <w:p w14:paraId="1C482CE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0.00</w:t>
            </w:r>
          </w:p>
        </w:tc>
        <w:tc>
          <w:tcPr>
            <w:tcW w:w="596" w:type="pct"/>
            <w:tcBorders>
              <w:top w:val="nil"/>
              <w:left w:val="nil"/>
              <w:bottom w:val="single" w:color="000000" w:sz="4" w:space="0"/>
              <w:right w:val="single" w:color="000000" w:sz="4" w:space="0"/>
            </w:tcBorders>
            <w:shd w:val="clear" w:color="auto" w:fill="auto"/>
            <w:vAlign w:val="center"/>
          </w:tcPr>
          <w:p w14:paraId="048D8BF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0.00</w:t>
            </w:r>
          </w:p>
        </w:tc>
        <w:tc>
          <w:tcPr>
            <w:tcW w:w="924" w:type="pct"/>
            <w:gridSpan w:val="3"/>
            <w:tcBorders>
              <w:top w:val="single" w:color="000000" w:sz="4" w:space="0"/>
              <w:left w:val="nil"/>
              <w:bottom w:val="single" w:color="000000" w:sz="4" w:space="0"/>
              <w:right w:val="single" w:color="000000" w:sz="4" w:space="0"/>
            </w:tcBorders>
            <w:shd w:val="clear" w:color="auto" w:fill="auto"/>
            <w:vAlign w:val="center"/>
          </w:tcPr>
          <w:p w14:paraId="31333A4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0.00</w:t>
            </w:r>
          </w:p>
        </w:tc>
        <w:tc>
          <w:tcPr>
            <w:tcW w:w="444" w:type="pct"/>
            <w:tcBorders>
              <w:top w:val="nil"/>
              <w:left w:val="nil"/>
              <w:bottom w:val="single" w:color="000000" w:sz="4" w:space="0"/>
              <w:right w:val="single" w:color="000000" w:sz="4" w:space="0"/>
            </w:tcBorders>
            <w:shd w:val="clear" w:color="auto" w:fill="auto"/>
            <w:vAlign w:val="center"/>
          </w:tcPr>
          <w:p w14:paraId="7A8FE89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0.00%</w:t>
            </w:r>
          </w:p>
        </w:tc>
        <w:tc>
          <w:tcPr>
            <w:tcW w:w="312" w:type="pct"/>
            <w:tcBorders>
              <w:top w:val="nil"/>
              <w:left w:val="nil"/>
              <w:bottom w:val="single" w:color="000000" w:sz="4" w:space="0"/>
              <w:right w:val="single" w:color="000000" w:sz="4" w:space="0"/>
            </w:tcBorders>
            <w:shd w:val="clear" w:color="auto" w:fill="auto"/>
            <w:vAlign w:val="center"/>
          </w:tcPr>
          <w:p w14:paraId="776F34F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w:t>
            </w:r>
          </w:p>
        </w:tc>
        <w:tc>
          <w:tcPr>
            <w:tcW w:w="314" w:type="pct"/>
            <w:tcBorders>
              <w:top w:val="nil"/>
              <w:left w:val="nil"/>
              <w:bottom w:val="single" w:color="000000" w:sz="4" w:space="0"/>
              <w:right w:val="single" w:color="000000" w:sz="4" w:space="0"/>
            </w:tcBorders>
            <w:shd w:val="clear" w:color="auto" w:fill="auto"/>
            <w:vAlign w:val="center"/>
          </w:tcPr>
          <w:p w14:paraId="0F5C0DD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w:t>
            </w:r>
          </w:p>
        </w:tc>
        <w:tc>
          <w:tcPr>
            <w:tcW w:w="951" w:type="pct"/>
            <w:vMerge w:val="continue"/>
            <w:tcBorders>
              <w:top w:val="nil"/>
              <w:left w:val="single" w:color="000000" w:sz="4" w:space="0"/>
              <w:bottom w:val="single" w:color="000000" w:sz="4" w:space="0"/>
              <w:right w:val="single" w:color="000000" w:sz="4" w:space="0"/>
            </w:tcBorders>
            <w:shd w:val="clear" w:color="auto" w:fill="auto"/>
            <w:vAlign w:val="center"/>
          </w:tcPr>
          <w:p w14:paraId="7F7224D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0C67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3CAD560C">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tcBorders>
              <w:top w:val="nil"/>
              <w:left w:val="nil"/>
              <w:bottom w:val="single" w:color="000000" w:sz="4" w:space="0"/>
              <w:right w:val="single" w:color="000000" w:sz="4" w:space="0"/>
            </w:tcBorders>
            <w:shd w:val="clear" w:color="auto" w:fill="auto"/>
            <w:vAlign w:val="center"/>
          </w:tcPr>
          <w:p w14:paraId="73A9826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单位资金</w:t>
            </w:r>
          </w:p>
        </w:tc>
        <w:tc>
          <w:tcPr>
            <w:tcW w:w="547" w:type="pct"/>
            <w:tcBorders>
              <w:top w:val="nil"/>
              <w:left w:val="nil"/>
              <w:bottom w:val="single" w:color="000000" w:sz="4" w:space="0"/>
              <w:right w:val="single" w:color="000000" w:sz="4" w:space="0"/>
            </w:tcBorders>
            <w:shd w:val="clear" w:color="auto" w:fill="auto"/>
            <w:vAlign w:val="center"/>
          </w:tcPr>
          <w:p w14:paraId="4DE3F18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0.00</w:t>
            </w:r>
          </w:p>
        </w:tc>
        <w:tc>
          <w:tcPr>
            <w:tcW w:w="596" w:type="pct"/>
            <w:tcBorders>
              <w:top w:val="nil"/>
              <w:left w:val="nil"/>
              <w:bottom w:val="single" w:color="000000" w:sz="4" w:space="0"/>
              <w:right w:val="single" w:color="000000" w:sz="4" w:space="0"/>
            </w:tcBorders>
            <w:shd w:val="clear" w:color="auto" w:fill="auto"/>
            <w:vAlign w:val="center"/>
          </w:tcPr>
          <w:p w14:paraId="7291D76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0.00</w:t>
            </w:r>
          </w:p>
        </w:tc>
        <w:tc>
          <w:tcPr>
            <w:tcW w:w="924" w:type="pct"/>
            <w:gridSpan w:val="3"/>
            <w:tcBorders>
              <w:top w:val="single" w:color="000000" w:sz="4" w:space="0"/>
              <w:left w:val="nil"/>
              <w:bottom w:val="single" w:color="000000" w:sz="4" w:space="0"/>
              <w:right w:val="single" w:color="000000" w:sz="4" w:space="0"/>
            </w:tcBorders>
            <w:shd w:val="clear" w:color="auto" w:fill="auto"/>
            <w:vAlign w:val="center"/>
          </w:tcPr>
          <w:p w14:paraId="5039329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0.00</w:t>
            </w:r>
          </w:p>
        </w:tc>
        <w:tc>
          <w:tcPr>
            <w:tcW w:w="444" w:type="pct"/>
            <w:tcBorders>
              <w:top w:val="nil"/>
              <w:left w:val="nil"/>
              <w:bottom w:val="single" w:color="000000" w:sz="4" w:space="0"/>
              <w:right w:val="single" w:color="000000" w:sz="4" w:space="0"/>
            </w:tcBorders>
            <w:shd w:val="clear" w:color="auto" w:fill="auto"/>
            <w:vAlign w:val="center"/>
          </w:tcPr>
          <w:p w14:paraId="5D0A20D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0.00%</w:t>
            </w:r>
          </w:p>
        </w:tc>
        <w:tc>
          <w:tcPr>
            <w:tcW w:w="312" w:type="pct"/>
            <w:tcBorders>
              <w:top w:val="nil"/>
              <w:left w:val="nil"/>
              <w:bottom w:val="single" w:color="000000" w:sz="4" w:space="0"/>
              <w:right w:val="single" w:color="000000" w:sz="4" w:space="0"/>
            </w:tcBorders>
            <w:shd w:val="clear" w:color="auto" w:fill="auto"/>
            <w:vAlign w:val="center"/>
          </w:tcPr>
          <w:p w14:paraId="03F617B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w:t>
            </w:r>
          </w:p>
        </w:tc>
        <w:tc>
          <w:tcPr>
            <w:tcW w:w="314" w:type="pct"/>
            <w:tcBorders>
              <w:top w:val="nil"/>
              <w:left w:val="nil"/>
              <w:bottom w:val="single" w:color="000000" w:sz="4" w:space="0"/>
              <w:right w:val="single" w:color="000000" w:sz="4" w:space="0"/>
            </w:tcBorders>
            <w:shd w:val="clear" w:color="auto" w:fill="auto"/>
            <w:vAlign w:val="center"/>
          </w:tcPr>
          <w:p w14:paraId="63C1F1D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w:t>
            </w:r>
          </w:p>
        </w:tc>
        <w:tc>
          <w:tcPr>
            <w:tcW w:w="951" w:type="pct"/>
            <w:vMerge w:val="continue"/>
            <w:tcBorders>
              <w:top w:val="nil"/>
              <w:left w:val="single" w:color="000000" w:sz="4" w:space="0"/>
              <w:bottom w:val="single" w:color="000000" w:sz="4" w:space="0"/>
              <w:right w:val="single" w:color="000000" w:sz="4" w:space="0"/>
            </w:tcBorders>
            <w:shd w:val="clear" w:color="auto" w:fill="auto"/>
            <w:vAlign w:val="center"/>
          </w:tcPr>
          <w:p w14:paraId="119ECD9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7323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3A0422A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tcBorders>
              <w:top w:val="nil"/>
              <w:left w:val="nil"/>
              <w:bottom w:val="single" w:color="000000" w:sz="4" w:space="0"/>
              <w:right w:val="single" w:color="000000" w:sz="4" w:space="0"/>
            </w:tcBorders>
            <w:shd w:val="clear" w:color="auto" w:fill="auto"/>
            <w:vAlign w:val="center"/>
          </w:tcPr>
          <w:p w14:paraId="20BF5DC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其他资金</w:t>
            </w:r>
          </w:p>
        </w:tc>
        <w:tc>
          <w:tcPr>
            <w:tcW w:w="547" w:type="pct"/>
            <w:tcBorders>
              <w:top w:val="nil"/>
              <w:left w:val="nil"/>
              <w:bottom w:val="single" w:color="000000" w:sz="4" w:space="0"/>
              <w:right w:val="single" w:color="000000" w:sz="4" w:space="0"/>
            </w:tcBorders>
            <w:shd w:val="clear" w:color="auto" w:fill="auto"/>
            <w:vAlign w:val="center"/>
          </w:tcPr>
          <w:p w14:paraId="5007CF5D">
            <w:pPr>
              <w:keepNext w:val="0"/>
              <w:keepLines w:val="0"/>
              <w:widowControl/>
              <w:suppressLineNumbers w:val="0"/>
              <w:spacing w:before="0" w:beforeAutospacing="0" w:after="0" w:afterAutospacing="0" w:line="24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　</w:t>
            </w:r>
          </w:p>
        </w:tc>
        <w:tc>
          <w:tcPr>
            <w:tcW w:w="596" w:type="pct"/>
            <w:tcBorders>
              <w:top w:val="nil"/>
              <w:left w:val="nil"/>
              <w:bottom w:val="single" w:color="000000" w:sz="4" w:space="0"/>
              <w:right w:val="single" w:color="000000" w:sz="4" w:space="0"/>
            </w:tcBorders>
            <w:shd w:val="clear" w:color="auto" w:fill="auto"/>
            <w:vAlign w:val="center"/>
          </w:tcPr>
          <w:p w14:paraId="6D7AD105">
            <w:pPr>
              <w:keepNext w:val="0"/>
              <w:keepLines w:val="0"/>
              <w:widowControl/>
              <w:suppressLineNumbers w:val="0"/>
              <w:spacing w:before="0" w:beforeAutospacing="0" w:after="0" w:afterAutospacing="0" w:line="24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　</w:t>
            </w:r>
          </w:p>
        </w:tc>
        <w:tc>
          <w:tcPr>
            <w:tcW w:w="924" w:type="pct"/>
            <w:gridSpan w:val="3"/>
            <w:tcBorders>
              <w:top w:val="single" w:color="000000" w:sz="4" w:space="0"/>
              <w:left w:val="nil"/>
              <w:bottom w:val="single" w:color="000000" w:sz="4" w:space="0"/>
              <w:right w:val="single" w:color="000000" w:sz="4" w:space="0"/>
            </w:tcBorders>
            <w:shd w:val="clear" w:color="auto" w:fill="auto"/>
            <w:vAlign w:val="center"/>
          </w:tcPr>
          <w:p w14:paraId="54478243">
            <w:pPr>
              <w:keepNext w:val="0"/>
              <w:keepLines w:val="0"/>
              <w:widowControl/>
              <w:suppressLineNumbers w:val="0"/>
              <w:spacing w:before="0" w:beforeAutospacing="0" w:after="0" w:afterAutospacing="0" w:line="24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　</w:t>
            </w:r>
          </w:p>
        </w:tc>
        <w:tc>
          <w:tcPr>
            <w:tcW w:w="444" w:type="pct"/>
            <w:tcBorders>
              <w:top w:val="nil"/>
              <w:left w:val="nil"/>
              <w:bottom w:val="single" w:color="000000" w:sz="4" w:space="0"/>
              <w:right w:val="single" w:color="000000" w:sz="4" w:space="0"/>
            </w:tcBorders>
            <w:shd w:val="clear" w:color="auto" w:fill="auto"/>
            <w:vAlign w:val="center"/>
          </w:tcPr>
          <w:p w14:paraId="7C09AB46">
            <w:pPr>
              <w:keepNext w:val="0"/>
              <w:keepLines w:val="0"/>
              <w:widowControl/>
              <w:suppressLineNumbers w:val="0"/>
              <w:spacing w:before="0" w:beforeAutospacing="0" w:after="0" w:afterAutospacing="0" w:line="24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　</w:t>
            </w:r>
          </w:p>
        </w:tc>
        <w:tc>
          <w:tcPr>
            <w:tcW w:w="312" w:type="pct"/>
            <w:tcBorders>
              <w:top w:val="nil"/>
              <w:left w:val="nil"/>
              <w:bottom w:val="single" w:color="000000" w:sz="4" w:space="0"/>
              <w:right w:val="single" w:color="000000" w:sz="4" w:space="0"/>
            </w:tcBorders>
            <w:shd w:val="clear" w:color="auto" w:fill="auto"/>
            <w:vAlign w:val="center"/>
          </w:tcPr>
          <w:p w14:paraId="6A318C5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w:t>
            </w:r>
          </w:p>
        </w:tc>
        <w:tc>
          <w:tcPr>
            <w:tcW w:w="314" w:type="pct"/>
            <w:tcBorders>
              <w:top w:val="nil"/>
              <w:left w:val="nil"/>
              <w:bottom w:val="single" w:color="000000" w:sz="4" w:space="0"/>
              <w:right w:val="single" w:color="000000" w:sz="4" w:space="0"/>
            </w:tcBorders>
            <w:shd w:val="clear" w:color="auto" w:fill="auto"/>
            <w:vAlign w:val="center"/>
          </w:tcPr>
          <w:p w14:paraId="177ACA6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w:t>
            </w:r>
          </w:p>
        </w:tc>
        <w:tc>
          <w:tcPr>
            <w:tcW w:w="951" w:type="pct"/>
            <w:vMerge w:val="continue"/>
            <w:tcBorders>
              <w:top w:val="nil"/>
              <w:left w:val="single" w:color="000000" w:sz="4" w:space="0"/>
              <w:bottom w:val="single" w:color="000000" w:sz="4" w:space="0"/>
              <w:right w:val="single" w:color="000000" w:sz="4" w:space="0"/>
            </w:tcBorders>
            <w:shd w:val="clear" w:color="auto" w:fill="auto"/>
            <w:vAlign w:val="center"/>
          </w:tcPr>
          <w:p w14:paraId="65EF662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r>
      <w:tr w14:paraId="08E5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390" w:type="pct"/>
            <w:vMerge w:val="restart"/>
            <w:tcBorders>
              <w:top w:val="nil"/>
              <w:left w:val="single" w:color="000000" w:sz="4" w:space="0"/>
              <w:bottom w:val="single" w:color="000000" w:sz="4" w:space="0"/>
              <w:right w:val="single" w:color="000000" w:sz="4" w:space="0"/>
            </w:tcBorders>
            <w:shd w:val="clear" w:color="auto" w:fill="auto"/>
            <w:vAlign w:val="center"/>
          </w:tcPr>
          <w:p w14:paraId="76E6910C">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rPr>
              <w:t>绩效指标（</w:t>
            </w:r>
            <w:r>
              <w:rPr>
                <w:rFonts w:hint="eastAsia" w:ascii="宋体" w:hAnsi="宋体" w:eastAsia="宋体" w:cs="宋体"/>
                <w:color w:val="000000"/>
                <w:kern w:val="0"/>
                <w:sz w:val="15"/>
                <w:szCs w:val="15"/>
                <w:lang w:val="en-US"/>
              </w:rPr>
              <w:t>90</w:t>
            </w:r>
            <w:r>
              <w:rPr>
                <w:rFonts w:hint="eastAsia" w:ascii="宋体" w:hAnsi="宋体" w:eastAsia="宋体" w:cs="宋体"/>
                <w:color w:val="000000"/>
                <w:kern w:val="0"/>
                <w:sz w:val="15"/>
                <w:szCs w:val="15"/>
              </w:rPr>
              <w:t>分）</w:t>
            </w:r>
          </w:p>
        </w:tc>
        <w:tc>
          <w:tcPr>
            <w:tcW w:w="518" w:type="pct"/>
            <w:tcBorders>
              <w:top w:val="nil"/>
              <w:left w:val="nil"/>
              <w:bottom w:val="single" w:color="000000" w:sz="4" w:space="0"/>
              <w:right w:val="single" w:color="000000" w:sz="4" w:space="0"/>
            </w:tcBorders>
            <w:shd w:val="clear" w:color="auto" w:fill="auto"/>
            <w:vAlign w:val="center"/>
          </w:tcPr>
          <w:p w14:paraId="3849830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一级指标</w:t>
            </w:r>
          </w:p>
        </w:tc>
        <w:tc>
          <w:tcPr>
            <w:tcW w:w="547" w:type="pct"/>
            <w:tcBorders>
              <w:top w:val="nil"/>
              <w:left w:val="nil"/>
              <w:bottom w:val="single" w:color="000000" w:sz="4" w:space="0"/>
              <w:right w:val="single" w:color="000000" w:sz="4" w:space="0"/>
            </w:tcBorders>
            <w:shd w:val="clear" w:color="auto" w:fill="auto"/>
            <w:vAlign w:val="center"/>
          </w:tcPr>
          <w:p w14:paraId="62C2D26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二级指标</w:t>
            </w:r>
          </w:p>
        </w:tc>
        <w:tc>
          <w:tcPr>
            <w:tcW w:w="596" w:type="pct"/>
            <w:tcBorders>
              <w:top w:val="nil"/>
              <w:left w:val="nil"/>
              <w:bottom w:val="single" w:color="000000" w:sz="4" w:space="0"/>
              <w:right w:val="single" w:color="000000" w:sz="4" w:space="0"/>
            </w:tcBorders>
            <w:shd w:val="clear" w:color="auto" w:fill="auto"/>
            <w:vAlign w:val="center"/>
          </w:tcPr>
          <w:p w14:paraId="231FB64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三级指标</w:t>
            </w:r>
          </w:p>
        </w:tc>
        <w:tc>
          <w:tcPr>
            <w:tcW w:w="336" w:type="pct"/>
            <w:tcBorders>
              <w:top w:val="nil"/>
              <w:left w:val="nil"/>
              <w:bottom w:val="single" w:color="000000" w:sz="4" w:space="0"/>
              <w:right w:val="single" w:color="000000" w:sz="4" w:space="0"/>
            </w:tcBorders>
            <w:shd w:val="clear" w:color="auto" w:fill="auto"/>
            <w:vAlign w:val="center"/>
          </w:tcPr>
          <w:p w14:paraId="676657A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指标性质</w:t>
            </w:r>
          </w:p>
        </w:tc>
        <w:tc>
          <w:tcPr>
            <w:tcW w:w="293" w:type="pct"/>
            <w:tcBorders>
              <w:top w:val="nil"/>
              <w:left w:val="nil"/>
              <w:bottom w:val="single" w:color="000000" w:sz="4" w:space="0"/>
              <w:right w:val="single" w:color="000000" w:sz="4" w:space="0"/>
            </w:tcBorders>
            <w:shd w:val="clear" w:color="auto" w:fill="auto"/>
            <w:vAlign w:val="center"/>
          </w:tcPr>
          <w:p w14:paraId="1416835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指标值</w:t>
            </w:r>
          </w:p>
        </w:tc>
        <w:tc>
          <w:tcPr>
            <w:tcW w:w="293" w:type="pct"/>
            <w:tcBorders>
              <w:top w:val="nil"/>
              <w:left w:val="nil"/>
              <w:bottom w:val="single" w:color="000000" w:sz="4" w:space="0"/>
              <w:right w:val="single" w:color="000000" w:sz="4" w:space="0"/>
            </w:tcBorders>
            <w:shd w:val="clear" w:color="auto" w:fill="auto"/>
            <w:vAlign w:val="center"/>
          </w:tcPr>
          <w:p w14:paraId="2079850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度量单位</w:t>
            </w:r>
          </w:p>
        </w:tc>
        <w:tc>
          <w:tcPr>
            <w:tcW w:w="444" w:type="pct"/>
            <w:tcBorders>
              <w:top w:val="nil"/>
              <w:left w:val="nil"/>
              <w:bottom w:val="single" w:color="000000" w:sz="4" w:space="0"/>
              <w:right w:val="single" w:color="000000" w:sz="4" w:space="0"/>
            </w:tcBorders>
            <w:shd w:val="clear" w:color="auto" w:fill="auto"/>
            <w:vAlign w:val="center"/>
          </w:tcPr>
          <w:p w14:paraId="29416A9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完成值</w:t>
            </w:r>
          </w:p>
        </w:tc>
        <w:tc>
          <w:tcPr>
            <w:tcW w:w="312" w:type="pct"/>
            <w:tcBorders>
              <w:top w:val="nil"/>
              <w:left w:val="nil"/>
              <w:bottom w:val="single" w:color="000000" w:sz="4" w:space="0"/>
              <w:right w:val="single" w:color="000000" w:sz="4" w:space="0"/>
            </w:tcBorders>
            <w:shd w:val="clear" w:color="auto" w:fill="auto"/>
            <w:vAlign w:val="center"/>
          </w:tcPr>
          <w:p w14:paraId="5384750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权重</w:t>
            </w:r>
          </w:p>
        </w:tc>
        <w:tc>
          <w:tcPr>
            <w:tcW w:w="314" w:type="pct"/>
            <w:tcBorders>
              <w:top w:val="nil"/>
              <w:left w:val="nil"/>
              <w:bottom w:val="single" w:color="000000" w:sz="4" w:space="0"/>
              <w:right w:val="single" w:color="000000" w:sz="4" w:space="0"/>
            </w:tcBorders>
            <w:shd w:val="clear" w:color="auto" w:fill="auto"/>
            <w:vAlign w:val="center"/>
          </w:tcPr>
          <w:p w14:paraId="623B007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得分</w:t>
            </w:r>
          </w:p>
        </w:tc>
        <w:tc>
          <w:tcPr>
            <w:tcW w:w="951" w:type="pct"/>
            <w:tcBorders>
              <w:top w:val="nil"/>
              <w:left w:val="nil"/>
              <w:bottom w:val="single" w:color="000000" w:sz="4" w:space="0"/>
              <w:right w:val="single" w:color="000000" w:sz="4" w:space="0"/>
            </w:tcBorders>
            <w:shd w:val="clear" w:color="auto" w:fill="auto"/>
            <w:vAlign w:val="center"/>
          </w:tcPr>
          <w:p w14:paraId="01F7C04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未完成原因分析</w:t>
            </w:r>
          </w:p>
        </w:tc>
      </w:tr>
      <w:tr w14:paraId="497D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4C2CD63F">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vMerge w:val="restart"/>
            <w:tcBorders>
              <w:top w:val="nil"/>
              <w:left w:val="nil"/>
              <w:bottom w:val="nil"/>
              <w:right w:val="single" w:color="000000" w:sz="4" w:space="0"/>
            </w:tcBorders>
            <w:shd w:val="clear" w:color="auto" w:fill="auto"/>
            <w:vAlign w:val="center"/>
          </w:tcPr>
          <w:p w14:paraId="0196C77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产出指标</w:t>
            </w:r>
          </w:p>
        </w:tc>
        <w:tc>
          <w:tcPr>
            <w:tcW w:w="547" w:type="pct"/>
            <w:tcBorders>
              <w:top w:val="nil"/>
              <w:left w:val="nil"/>
              <w:bottom w:val="single" w:color="auto" w:sz="4" w:space="0"/>
              <w:right w:val="single" w:color="000000" w:sz="4" w:space="0"/>
            </w:tcBorders>
            <w:shd w:val="clear" w:color="auto" w:fill="auto"/>
            <w:vAlign w:val="center"/>
          </w:tcPr>
          <w:p w14:paraId="2DBCA36E">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数量指标</w:t>
            </w:r>
          </w:p>
        </w:tc>
        <w:tc>
          <w:tcPr>
            <w:tcW w:w="596" w:type="pct"/>
            <w:tcBorders>
              <w:top w:val="nil"/>
              <w:left w:val="nil"/>
              <w:bottom w:val="single" w:color="000000" w:sz="4" w:space="0"/>
              <w:right w:val="single" w:color="000000" w:sz="4" w:space="0"/>
            </w:tcBorders>
            <w:shd w:val="clear" w:color="auto" w:fill="auto"/>
            <w:vAlign w:val="center"/>
          </w:tcPr>
          <w:p w14:paraId="08ADE318">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rPr>
              <w:t>完成保姆培训</w:t>
            </w:r>
          </w:p>
        </w:tc>
        <w:tc>
          <w:tcPr>
            <w:tcW w:w="336" w:type="pct"/>
            <w:tcBorders>
              <w:top w:val="nil"/>
              <w:left w:val="nil"/>
              <w:bottom w:val="single" w:color="000000" w:sz="4" w:space="0"/>
              <w:right w:val="single" w:color="000000" w:sz="4" w:space="0"/>
            </w:tcBorders>
            <w:shd w:val="clear" w:color="auto" w:fill="auto"/>
            <w:vAlign w:val="center"/>
          </w:tcPr>
          <w:p w14:paraId="0666C7B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w:t>
            </w:r>
          </w:p>
        </w:tc>
        <w:tc>
          <w:tcPr>
            <w:tcW w:w="293" w:type="pct"/>
            <w:tcBorders>
              <w:top w:val="nil"/>
              <w:left w:val="nil"/>
              <w:bottom w:val="single" w:color="000000" w:sz="4" w:space="0"/>
              <w:right w:val="single" w:color="000000" w:sz="4" w:space="0"/>
            </w:tcBorders>
            <w:shd w:val="clear" w:color="auto" w:fill="auto"/>
            <w:vAlign w:val="center"/>
          </w:tcPr>
          <w:p w14:paraId="5150571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2</w:t>
            </w:r>
          </w:p>
        </w:tc>
        <w:tc>
          <w:tcPr>
            <w:tcW w:w="293" w:type="pct"/>
            <w:tcBorders>
              <w:top w:val="nil"/>
              <w:left w:val="nil"/>
              <w:bottom w:val="single" w:color="000000" w:sz="4" w:space="0"/>
              <w:right w:val="single" w:color="000000" w:sz="4" w:space="0"/>
            </w:tcBorders>
            <w:shd w:val="clear" w:color="auto" w:fill="auto"/>
            <w:vAlign w:val="center"/>
          </w:tcPr>
          <w:p w14:paraId="11BE81E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次</w:t>
            </w:r>
          </w:p>
        </w:tc>
        <w:tc>
          <w:tcPr>
            <w:tcW w:w="444" w:type="pct"/>
            <w:tcBorders>
              <w:top w:val="nil"/>
              <w:left w:val="nil"/>
              <w:bottom w:val="single" w:color="000000" w:sz="4" w:space="0"/>
              <w:right w:val="single" w:color="000000" w:sz="4" w:space="0"/>
            </w:tcBorders>
            <w:shd w:val="clear" w:color="auto" w:fill="auto"/>
            <w:vAlign w:val="center"/>
          </w:tcPr>
          <w:p w14:paraId="489715B9">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rPr>
              <w:t>3</w:t>
            </w:r>
            <w:r>
              <w:rPr>
                <w:rFonts w:hint="eastAsia" w:ascii="微软雅黑" w:hAnsi="微软雅黑" w:eastAsia="微软雅黑" w:cs="宋体"/>
                <w:i/>
                <w:iCs/>
                <w:kern w:val="0"/>
                <w:sz w:val="15"/>
                <w:szCs w:val="15"/>
              </w:rPr>
              <w:t>　</w:t>
            </w:r>
          </w:p>
        </w:tc>
        <w:tc>
          <w:tcPr>
            <w:tcW w:w="312" w:type="pct"/>
            <w:tcBorders>
              <w:top w:val="nil"/>
              <w:left w:val="nil"/>
              <w:bottom w:val="single" w:color="000000" w:sz="4" w:space="0"/>
              <w:right w:val="single" w:color="000000" w:sz="4" w:space="0"/>
            </w:tcBorders>
            <w:shd w:val="clear" w:color="auto" w:fill="auto"/>
            <w:vAlign w:val="center"/>
          </w:tcPr>
          <w:p w14:paraId="25686CCD">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20</w:t>
            </w:r>
          </w:p>
        </w:tc>
        <w:tc>
          <w:tcPr>
            <w:tcW w:w="314" w:type="pct"/>
            <w:tcBorders>
              <w:top w:val="nil"/>
              <w:left w:val="nil"/>
              <w:bottom w:val="single" w:color="000000" w:sz="4" w:space="0"/>
              <w:right w:val="single" w:color="000000" w:sz="4" w:space="0"/>
            </w:tcBorders>
            <w:shd w:val="clear" w:color="auto" w:fill="auto"/>
            <w:vAlign w:val="center"/>
          </w:tcPr>
          <w:p w14:paraId="24E85BA8">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20</w:t>
            </w:r>
            <w:r>
              <w:rPr>
                <w:rFonts w:hint="eastAsia" w:ascii="宋体" w:hAnsi="宋体" w:eastAsia="宋体" w:cs="宋体"/>
                <w:kern w:val="0"/>
                <w:sz w:val="15"/>
                <w:szCs w:val="15"/>
              </w:rPr>
              <w:t>　</w:t>
            </w:r>
          </w:p>
        </w:tc>
        <w:tc>
          <w:tcPr>
            <w:tcW w:w="951" w:type="pct"/>
            <w:tcBorders>
              <w:top w:val="nil"/>
              <w:left w:val="nil"/>
              <w:bottom w:val="single" w:color="000000" w:sz="4" w:space="0"/>
              <w:right w:val="single" w:color="000000" w:sz="4" w:space="0"/>
            </w:tcBorders>
            <w:shd w:val="clear" w:color="auto" w:fill="auto"/>
            <w:vAlign w:val="center"/>
          </w:tcPr>
          <w:p w14:paraId="6F0B304A">
            <w:pPr>
              <w:keepNext w:val="0"/>
              <w:keepLines w:val="0"/>
              <w:widowControl/>
              <w:suppressLineNumbers w:val="0"/>
              <w:spacing w:before="0" w:beforeAutospacing="0" w:after="0" w:afterAutospacing="0" w:line="18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　</w:t>
            </w:r>
          </w:p>
        </w:tc>
      </w:tr>
      <w:tr w14:paraId="61FC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19621784">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vMerge w:val="continue"/>
            <w:tcBorders>
              <w:top w:val="nil"/>
              <w:left w:val="nil"/>
              <w:bottom w:val="nil"/>
              <w:right w:val="single" w:color="000000" w:sz="4" w:space="0"/>
            </w:tcBorders>
            <w:shd w:val="clear" w:color="auto" w:fill="auto"/>
            <w:vAlign w:val="center"/>
          </w:tcPr>
          <w:p w14:paraId="7E84386E">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47" w:type="pct"/>
            <w:tcBorders>
              <w:top w:val="single" w:color="auto" w:sz="4" w:space="0"/>
              <w:left w:val="nil"/>
              <w:bottom w:val="single" w:color="auto" w:sz="4" w:space="0"/>
              <w:right w:val="single" w:color="000000" w:sz="4" w:space="0"/>
            </w:tcBorders>
            <w:shd w:val="clear" w:color="auto" w:fill="auto"/>
            <w:vAlign w:val="center"/>
          </w:tcPr>
          <w:p w14:paraId="062716F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质量指标</w:t>
            </w:r>
          </w:p>
        </w:tc>
        <w:tc>
          <w:tcPr>
            <w:tcW w:w="596" w:type="pct"/>
            <w:tcBorders>
              <w:top w:val="nil"/>
              <w:left w:val="nil"/>
              <w:bottom w:val="single" w:color="000000" w:sz="4" w:space="0"/>
              <w:right w:val="single" w:color="000000" w:sz="4" w:space="0"/>
            </w:tcBorders>
            <w:shd w:val="clear" w:color="auto" w:fill="auto"/>
            <w:vAlign w:val="center"/>
          </w:tcPr>
          <w:p w14:paraId="25F75EBB">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rPr>
              <w:t>培训覆盖率</w:t>
            </w:r>
          </w:p>
        </w:tc>
        <w:tc>
          <w:tcPr>
            <w:tcW w:w="336" w:type="pct"/>
            <w:tcBorders>
              <w:top w:val="nil"/>
              <w:left w:val="nil"/>
              <w:bottom w:val="single" w:color="000000" w:sz="4" w:space="0"/>
              <w:right w:val="single" w:color="000000" w:sz="4" w:space="0"/>
            </w:tcBorders>
            <w:shd w:val="clear" w:color="auto" w:fill="auto"/>
            <w:vAlign w:val="center"/>
          </w:tcPr>
          <w:p w14:paraId="1CAC417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w:t>
            </w:r>
          </w:p>
        </w:tc>
        <w:tc>
          <w:tcPr>
            <w:tcW w:w="293" w:type="pct"/>
            <w:tcBorders>
              <w:top w:val="nil"/>
              <w:left w:val="nil"/>
              <w:bottom w:val="single" w:color="000000" w:sz="4" w:space="0"/>
              <w:right w:val="single" w:color="000000" w:sz="4" w:space="0"/>
            </w:tcBorders>
            <w:shd w:val="clear" w:color="auto" w:fill="auto"/>
            <w:vAlign w:val="center"/>
          </w:tcPr>
          <w:p w14:paraId="478B539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90</w:t>
            </w:r>
          </w:p>
        </w:tc>
        <w:tc>
          <w:tcPr>
            <w:tcW w:w="293" w:type="pct"/>
            <w:tcBorders>
              <w:top w:val="nil"/>
              <w:left w:val="nil"/>
              <w:bottom w:val="single" w:color="000000" w:sz="4" w:space="0"/>
              <w:right w:val="single" w:color="000000" w:sz="4" w:space="0"/>
            </w:tcBorders>
            <w:shd w:val="clear" w:color="auto" w:fill="auto"/>
            <w:vAlign w:val="center"/>
          </w:tcPr>
          <w:p w14:paraId="79D11CB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w:t>
            </w:r>
          </w:p>
        </w:tc>
        <w:tc>
          <w:tcPr>
            <w:tcW w:w="444" w:type="pct"/>
            <w:tcBorders>
              <w:top w:val="nil"/>
              <w:left w:val="nil"/>
              <w:bottom w:val="single" w:color="000000" w:sz="4" w:space="0"/>
              <w:right w:val="single" w:color="000000" w:sz="4" w:space="0"/>
            </w:tcBorders>
            <w:shd w:val="clear" w:color="auto" w:fill="auto"/>
            <w:vAlign w:val="center"/>
          </w:tcPr>
          <w:p w14:paraId="5C04A26C">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rPr>
              <w:t>98</w:t>
            </w:r>
          </w:p>
        </w:tc>
        <w:tc>
          <w:tcPr>
            <w:tcW w:w="312" w:type="pct"/>
            <w:tcBorders>
              <w:top w:val="nil"/>
              <w:left w:val="nil"/>
              <w:bottom w:val="single" w:color="000000" w:sz="4" w:space="0"/>
              <w:right w:val="single" w:color="000000" w:sz="4" w:space="0"/>
            </w:tcBorders>
            <w:shd w:val="clear" w:color="auto" w:fill="auto"/>
            <w:vAlign w:val="center"/>
          </w:tcPr>
          <w:p w14:paraId="445A341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15</w:t>
            </w:r>
          </w:p>
        </w:tc>
        <w:tc>
          <w:tcPr>
            <w:tcW w:w="314" w:type="pct"/>
            <w:tcBorders>
              <w:top w:val="nil"/>
              <w:left w:val="nil"/>
              <w:bottom w:val="single" w:color="000000" w:sz="4" w:space="0"/>
              <w:right w:val="single" w:color="000000" w:sz="4" w:space="0"/>
            </w:tcBorders>
            <w:shd w:val="clear" w:color="auto" w:fill="auto"/>
            <w:vAlign w:val="center"/>
          </w:tcPr>
          <w:p w14:paraId="232049B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15</w:t>
            </w:r>
            <w:r>
              <w:rPr>
                <w:rFonts w:hint="eastAsia" w:ascii="宋体" w:hAnsi="宋体" w:eastAsia="宋体" w:cs="宋体"/>
                <w:kern w:val="0"/>
                <w:sz w:val="15"/>
                <w:szCs w:val="15"/>
              </w:rPr>
              <w:t>　</w:t>
            </w:r>
          </w:p>
        </w:tc>
        <w:tc>
          <w:tcPr>
            <w:tcW w:w="951" w:type="pct"/>
            <w:tcBorders>
              <w:top w:val="nil"/>
              <w:left w:val="nil"/>
              <w:bottom w:val="single" w:color="000000" w:sz="4" w:space="0"/>
              <w:right w:val="single" w:color="000000" w:sz="4" w:space="0"/>
            </w:tcBorders>
            <w:shd w:val="clear" w:color="auto" w:fill="auto"/>
            <w:vAlign w:val="center"/>
          </w:tcPr>
          <w:p w14:paraId="6FB80043">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　</w:t>
            </w:r>
          </w:p>
        </w:tc>
      </w:tr>
      <w:tr w14:paraId="1508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06DC7B8D">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vMerge w:val="continue"/>
            <w:tcBorders>
              <w:top w:val="nil"/>
              <w:left w:val="nil"/>
              <w:bottom w:val="nil"/>
              <w:right w:val="single" w:color="000000" w:sz="4" w:space="0"/>
            </w:tcBorders>
            <w:shd w:val="clear" w:color="auto" w:fill="auto"/>
            <w:vAlign w:val="center"/>
          </w:tcPr>
          <w:p w14:paraId="347EC5E8">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47" w:type="pct"/>
            <w:tcBorders>
              <w:top w:val="single" w:color="auto" w:sz="4" w:space="0"/>
              <w:left w:val="nil"/>
              <w:bottom w:val="single" w:color="000000" w:sz="4" w:space="0"/>
              <w:right w:val="single" w:color="000000" w:sz="4" w:space="0"/>
            </w:tcBorders>
            <w:shd w:val="clear" w:color="auto" w:fill="auto"/>
            <w:vAlign w:val="center"/>
          </w:tcPr>
          <w:p w14:paraId="2A28229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时效指标</w:t>
            </w:r>
          </w:p>
        </w:tc>
        <w:tc>
          <w:tcPr>
            <w:tcW w:w="596" w:type="pct"/>
            <w:tcBorders>
              <w:top w:val="nil"/>
              <w:left w:val="nil"/>
              <w:bottom w:val="single" w:color="000000" w:sz="4" w:space="0"/>
              <w:right w:val="single" w:color="000000" w:sz="4" w:space="0"/>
            </w:tcBorders>
            <w:shd w:val="clear" w:color="auto" w:fill="auto"/>
            <w:vAlign w:val="center"/>
          </w:tcPr>
          <w:p w14:paraId="63AA03E9">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2023</w:t>
            </w:r>
            <w:r>
              <w:rPr>
                <w:rFonts w:hint="eastAsia" w:ascii="宋体" w:hAnsi="宋体" w:eastAsia="宋体" w:cs="宋体"/>
                <w:kern w:val="0"/>
                <w:sz w:val="15"/>
                <w:szCs w:val="15"/>
              </w:rPr>
              <w:t>年</w:t>
            </w:r>
            <w:r>
              <w:rPr>
                <w:rFonts w:hint="eastAsia" w:ascii="宋体" w:hAnsi="宋体" w:eastAsia="宋体" w:cs="宋体"/>
                <w:kern w:val="0"/>
                <w:sz w:val="15"/>
                <w:szCs w:val="15"/>
                <w:lang w:val="en-US"/>
              </w:rPr>
              <w:t>1-12</w:t>
            </w:r>
            <w:r>
              <w:rPr>
                <w:rFonts w:hint="eastAsia" w:ascii="宋体" w:hAnsi="宋体" w:eastAsia="宋体" w:cs="宋体"/>
                <w:kern w:val="0"/>
                <w:sz w:val="15"/>
                <w:szCs w:val="15"/>
              </w:rPr>
              <w:t>月完成</w:t>
            </w:r>
          </w:p>
        </w:tc>
        <w:tc>
          <w:tcPr>
            <w:tcW w:w="336" w:type="pct"/>
            <w:tcBorders>
              <w:top w:val="nil"/>
              <w:left w:val="nil"/>
              <w:bottom w:val="single" w:color="000000" w:sz="4" w:space="0"/>
              <w:right w:val="single" w:color="000000" w:sz="4" w:space="0"/>
            </w:tcBorders>
            <w:shd w:val="clear" w:color="auto" w:fill="auto"/>
            <w:vAlign w:val="center"/>
          </w:tcPr>
          <w:p w14:paraId="48509E9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w:t>
            </w:r>
          </w:p>
        </w:tc>
        <w:tc>
          <w:tcPr>
            <w:tcW w:w="293" w:type="pct"/>
            <w:tcBorders>
              <w:top w:val="nil"/>
              <w:left w:val="nil"/>
              <w:bottom w:val="single" w:color="000000" w:sz="4" w:space="0"/>
              <w:right w:val="single" w:color="000000" w:sz="4" w:space="0"/>
            </w:tcBorders>
            <w:shd w:val="clear" w:color="auto" w:fill="auto"/>
            <w:vAlign w:val="center"/>
          </w:tcPr>
          <w:p w14:paraId="30E2849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w:t>
            </w:r>
          </w:p>
        </w:tc>
        <w:tc>
          <w:tcPr>
            <w:tcW w:w="293" w:type="pct"/>
            <w:tcBorders>
              <w:top w:val="nil"/>
              <w:left w:val="nil"/>
              <w:bottom w:val="single" w:color="000000" w:sz="4" w:space="0"/>
              <w:right w:val="single" w:color="000000" w:sz="4" w:space="0"/>
            </w:tcBorders>
            <w:shd w:val="clear" w:color="auto" w:fill="auto"/>
            <w:vAlign w:val="center"/>
          </w:tcPr>
          <w:p w14:paraId="7D633C5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年</w:t>
            </w:r>
          </w:p>
        </w:tc>
        <w:tc>
          <w:tcPr>
            <w:tcW w:w="444" w:type="pct"/>
            <w:tcBorders>
              <w:top w:val="nil"/>
              <w:left w:val="nil"/>
              <w:bottom w:val="single" w:color="000000" w:sz="4" w:space="0"/>
              <w:right w:val="single" w:color="000000" w:sz="4" w:space="0"/>
            </w:tcBorders>
            <w:shd w:val="clear" w:color="auto" w:fill="auto"/>
            <w:vAlign w:val="center"/>
          </w:tcPr>
          <w:p w14:paraId="07BAE725">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rPr>
              <w:t>1</w:t>
            </w:r>
            <w:r>
              <w:rPr>
                <w:rFonts w:hint="eastAsia" w:ascii="微软雅黑" w:hAnsi="微软雅黑" w:eastAsia="微软雅黑" w:cs="宋体"/>
                <w:i/>
                <w:iCs/>
                <w:kern w:val="0"/>
                <w:sz w:val="15"/>
                <w:szCs w:val="15"/>
              </w:rPr>
              <w:t>　</w:t>
            </w:r>
          </w:p>
        </w:tc>
        <w:tc>
          <w:tcPr>
            <w:tcW w:w="312" w:type="pct"/>
            <w:tcBorders>
              <w:top w:val="nil"/>
              <w:left w:val="nil"/>
              <w:bottom w:val="single" w:color="000000" w:sz="4" w:space="0"/>
              <w:right w:val="single" w:color="000000" w:sz="4" w:space="0"/>
            </w:tcBorders>
            <w:shd w:val="clear" w:color="auto" w:fill="auto"/>
            <w:vAlign w:val="center"/>
          </w:tcPr>
          <w:p w14:paraId="7F95AA9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10</w:t>
            </w:r>
          </w:p>
        </w:tc>
        <w:tc>
          <w:tcPr>
            <w:tcW w:w="314" w:type="pct"/>
            <w:tcBorders>
              <w:top w:val="nil"/>
              <w:left w:val="nil"/>
              <w:bottom w:val="single" w:color="000000" w:sz="4" w:space="0"/>
              <w:right w:val="single" w:color="000000" w:sz="4" w:space="0"/>
            </w:tcBorders>
            <w:shd w:val="clear" w:color="auto" w:fill="auto"/>
            <w:vAlign w:val="center"/>
          </w:tcPr>
          <w:p w14:paraId="07ACB83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10</w:t>
            </w:r>
            <w:r>
              <w:rPr>
                <w:rFonts w:hint="eastAsia" w:ascii="宋体" w:hAnsi="宋体" w:eastAsia="宋体" w:cs="宋体"/>
                <w:kern w:val="0"/>
                <w:sz w:val="15"/>
                <w:szCs w:val="15"/>
              </w:rPr>
              <w:t>　</w:t>
            </w:r>
          </w:p>
        </w:tc>
        <w:tc>
          <w:tcPr>
            <w:tcW w:w="951" w:type="pct"/>
            <w:tcBorders>
              <w:top w:val="nil"/>
              <w:left w:val="nil"/>
              <w:bottom w:val="single" w:color="000000" w:sz="4" w:space="0"/>
              <w:right w:val="single" w:color="000000" w:sz="4" w:space="0"/>
            </w:tcBorders>
            <w:shd w:val="clear" w:color="auto" w:fill="auto"/>
            <w:vAlign w:val="center"/>
          </w:tcPr>
          <w:p w14:paraId="28E2E1D0">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　</w:t>
            </w:r>
          </w:p>
        </w:tc>
      </w:tr>
      <w:tr w14:paraId="6834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2B22F71A">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tcBorders>
              <w:top w:val="nil"/>
              <w:left w:val="nil"/>
              <w:bottom w:val="single" w:color="000000" w:sz="4" w:space="0"/>
              <w:right w:val="single" w:color="000000" w:sz="4" w:space="0"/>
            </w:tcBorders>
            <w:shd w:val="clear" w:color="auto" w:fill="auto"/>
            <w:vAlign w:val="center"/>
          </w:tcPr>
          <w:p w14:paraId="2D4EE960">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p>
        </w:tc>
        <w:tc>
          <w:tcPr>
            <w:tcW w:w="547" w:type="pct"/>
            <w:tcBorders>
              <w:top w:val="nil"/>
              <w:left w:val="nil"/>
              <w:bottom w:val="single" w:color="000000" w:sz="4" w:space="0"/>
              <w:right w:val="single" w:color="000000" w:sz="4" w:space="0"/>
            </w:tcBorders>
            <w:shd w:val="clear" w:color="auto" w:fill="auto"/>
            <w:vAlign w:val="center"/>
          </w:tcPr>
          <w:p w14:paraId="6819EEE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可持续影响指标</w:t>
            </w:r>
          </w:p>
        </w:tc>
        <w:tc>
          <w:tcPr>
            <w:tcW w:w="596" w:type="pct"/>
            <w:tcBorders>
              <w:top w:val="nil"/>
              <w:left w:val="nil"/>
              <w:bottom w:val="single" w:color="000000" w:sz="4" w:space="0"/>
              <w:right w:val="single" w:color="000000" w:sz="4" w:space="0"/>
            </w:tcBorders>
            <w:shd w:val="clear" w:color="auto" w:fill="auto"/>
            <w:vAlign w:val="center"/>
          </w:tcPr>
          <w:p w14:paraId="3327A972">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rPr>
              <w:t>可持续影响</w:t>
            </w:r>
          </w:p>
        </w:tc>
        <w:tc>
          <w:tcPr>
            <w:tcW w:w="336" w:type="pct"/>
            <w:tcBorders>
              <w:top w:val="nil"/>
              <w:left w:val="nil"/>
              <w:bottom w:val="single" w:color="000000" w:sz="4" w:space="0"/>
              <w:right w:val="single" w:color="000000" w:sz="4" w:space="0"/>
            </w:tcBorders>
            <w:shd w:val="clear" w:color="auto" w:fill="auto"/>
            <w:vAlign w:val="center"/>
          </w:tcPr>
          <w:p w14:paraId="231500A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w:t>
            </w:r>
          </w:p>
        </w:tc>
        <w:tc>
          <w:tcPr>
            <w:tcW w:w="293" w:type="pct"/>
            <w:tcBorders>
              <w:top w:val="nil"/>
              <w:left w:val="nil"/>
              <w:bottom w:val="single" w:color="000000" w:sz="4" w:space="0"/>
              <w:right w:val="single" w:color="000000" w:sz="4" w:space="0"/>
            </w:tcBorders>
            <w:shd w:val="clear" w:color="auto" w:fill="auto"/>
            <w:vAlign w:val="center"/>
          </w:tcPr>
          <w:p w14:paraId="6BEAD05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3</w:t>
            </w:r>
          </w:p>
        </w:tc>
        <w:tc>
          <w:tcPr>
            <w:tcW w:w="293" w:type="pct"/>
            <w:tcBorders>
              <w:top w:val="nil"/>
              <w:left w:val="nil"/>
              <w:bottom w:val="single" w:color="000000" w:sz="4" w:space="0"/>
              <w:right w:val="single" w:color="000000" w:sz="4" w:space="0"/>
            </w:tcBorders>
            <w:shd w:val="clear" w:color="auto" w:fill="auto"/>
            <w:vAlign w:val="center"/>
          </w:tcPr>
          <w:p w14:paraId="7010FB0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年</w:t>
            </w:r>
          </w:p>
        </w:tc>
        <w:tc>
          <w:tcPr>
            <w:tcW w:w="444" w:type="pct"/>
            <w:tcBorders>
              <w:top w:val="nil"/>
              <w:left w:val="nil"/>
              <w:bottom w:val="single" w:color="000000" w:sz="4" w:space="0"/>
              <w:right w:val="single" w:color="000000" w:sz="4" w:space="0"/>
            </w:tcBorders>
            <w:shd w:val="clear" w:color="auto" w:fill="auto"/>
            <w:vAlign w:val="center"/>
          </w:tcPr>
          <w:p w14:paraId="6FA1B9F8">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rPr>
              <w:t>3</w:t>
            </w:r>
            <w:r>
              <w:rPr>
                <w:rFonts w:hint="eastAsia" w:ascii="微软雅黑" w:hAnsi="微软雅黑" w:eastAsia="微软雅黑" w:cs="宋体"/>
                <w:i/>
                <w:iCs/>
                <w:kern w:val="0"/>
                <w:sz w:val="15"/>
                <w:szCs w:val="15"/>
              </w:rPr>
              <w:t>　</w:t>
            </w:r>
          </w:p>
        </w:tc>
        <w:tc>
          <w:tcPr>
            <w:tcW w:w="312" w:type="pct"/>
            <w:tcBorders>
              <w:top w:val="nil"/>
              <w:left w:val="nil"/>
              <w:bottom w:val="single" w:color="000000" w:sz="4" w:space="0"/>
              <w:right w:val="single" w:color="000000" w:sz="4" w:space="0"/>
            </w:tcBorders>
            <w:shd w:val="clear" w:color="auto" w:fill="auto"/>
            <w:vAlign w:val="center"/>
          </w:tcPr>
          <w:p w14:paraId="004E220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10</w:t>
            </w:r>
          </w:p>
        </w:tc>
        <w:tc>
          <w:tcPr>
            <w:tcW w:w="314" w:type="pct"/>
            <w:tcBorders>
              <w:top w:val="nil"/>
              <w:left w:val="nil"/>
              <w:bottom w:val="single" w:color="000000" w:sz="4" w:space="0"/>
              <w:right w:val="single" w:color="000000" w:sz="4" w:space="0"/>
            </w:tcBorders>
            <w:shd w:val="clear" w:color="auto" w:fill="auto"/>
            <w:vAlign w:val="center"/>
          </w:tcPr>
          <w:p w14:paraId="5D0413B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10</w:t>
            </w:r>
            <w:r>
              <w:rPr>
                <w:rFonts w:hint="eastAsia" w:ascii="宋体" w:hAnsi="宋体" w:eastAsia="宋体" w:cs="宋体"/>
                <w:kern w:val="0"/>
                <w:sz w:val="15"/>
                <w:szCs w:val="15"/>
              </w:rPr>
              <w:t>　</w:t>
            </w:r>
          </w:p>
        </w:tc>
        <w:tc>
          <w:tcPr>
            <w:tcW w:w="951" w:type="pct"/>
            <w:tcBorders>
              <w:top w:val="nil"/>
              <w:left w:val="nil"/>
              <w:bottom w:val="single" w:color="000000" w:sz="4" w:space="0"/>
              <w:right w:val="single" w:color="000000" w:sz="4" w:space="0"/>
            </w:tcBorders>
            <w:shd w:val="clear" w:color="auto" w:fill="auto"/>
            <w:vAlign w:val="center"/>
          </w:tcPr>
          <w:p w14:paraId="28299155">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　</w:t>
            </w:r>
          </w:p>
        </w:tc>
      </w:tr>
      <w:tr w14:paraId="0082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686422D7">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tcBorders>
              <w:top w:val="nil"/>
              <w:left w:val="nil"/>
              <w:bottom w:val="single" w:color="000000" w:sz="4" w:space="0"/>
              <w:right w:val="single" w:color="000000" w:sz="4" w:space="0"/>
            </w:tcBorders>
            <w:shd w:val="clear" w:color="auto" w:fill="auto"/>
            <w:vAlign w:val="center"/>
          </w:tcPr>
          <w:p w14:paraId="6A8AE6A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满意度指标</w:t>
            </w:r>
          </w:p>
        </w:tc>
        <w:tc>
          <w:tcPr>
            <w:tcW w:w="547" w:type="pct"/>
            <w:tcBorders>
              <w:top w:val="nil"/>
              <w:left w:val="nil"/>
              <w:bottom w:val="single" w:color="000000" w:sz="4" w:space="0"/>
              <w:right w:val="single" w:color="000000" w:sz="4" w:space="0"/>
            </w:tcBorders>
            <w:shd w:val="clear" w:color="auto" w:fill="auto"/>
            <w:vAlign w:val="center"/>
          </w:tcPr>
          <w:p w14:paraId="465997E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服务对象满意度指标</w:t>
            </w:r>
          </w:p>
        </w:tc>
        <w:tc>
          <w:tcPr>
            <w:tcW w:w="596" w:type="pct"/>
            <w:tcBorders>
              <w:top w:val="nil"/>
              <w:left w:val="nil"/>
              <w:bottom w:val="single" w:color="000000" w:sz="4" w:space="0"/>
              <w:right w:val="single" w:color="000000" w:sz="4" w:space="0"/>
            </w:tcBorders>
            <w:shd w:val="clear" w:color="auto" w:fill="auto"/>
            <w:vAlign w:val="center"/>
          </w:tcPr>
          <w:p w14:paraId="281AE20C">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rPr>
              <w:t>保姆业务熟练程度</w:t>
            </w:r>
          </w:p>
        </w:tc>
        <w:tc>
          <w:tcPr>
            <w:tcW w:w="336" w:type="pct"/>
            <w:tcBorders>
              <w:top w:val="nil"/>
              <w:left w:val="nil"/>
              <w:bottom w:val="single" w:color="000000" w:sz="4" w:space="0"/>
              <w:right w:val="single" w:color="000000" w:sz="4" w:space="0"/>
            </w:tcBorders>
            <w:shd w:val="clear" w:color="auto" w:fill="auto"/>
            <w:vAlign w:val="center"/>
          </w:tcPr>
          <w:p w14:paraId="7672B5C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w:t>
            </w:r>
          </w:p>
        </w:tc>
        <w:tc>
          <w:tcPr>
            <w:tcW w:w="293" w:type="pct"/>
            <w:tcBorders>
              <w:top w:val="nil"/>
              <w:left w:val="nil"/>
              <w:bottom w:val="single" w:color="000000" w:sz="4" w:space="0"/>
              <w:right w:val="single" w:color="000000" w:sz="4" w:space="0"/>
            </w:tcBorders>
            <w:shd w:val="clear" w:color="auto" w:fill="auto"/>
            <w:vAlign w:val="center"/>
          </w:tcPr>
          <w:p w14:paraId="230E623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95</w:t>
            </w:r>
          </w:p>
        </w:tc>
        <w:tc>
          <w:tcPr>
            <w:tcW w:w="293" w:type="pct"/>
            <w:tcBorders>
              <w:top w:val="nil"/>
              <w:left w:val="nil"/>
              <w:bottom w:val="single" w:color="000000" w:sz="4" w:space="0"/>
              <w:right w:val="single" w:color="000000" w:sz="4" w:space="0"/>
            </w:tcBorders>
            <w:shd w:val="clear" w:color="auto" w:fill="auto"/>
            <w:vAlign w:val="center"/>
          </w:tcPr>
          <w:p w14:paraId="093103F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w:t>
            </w:r>
          </w:p>
        </w:tc>
        <w:tc>
          <w:tcPr>
            <w:tcW w:w="444" w:type="pct"/>
            <w:tcBorders>
              <w:top w:val="nil"/>
              <w:left w:val="nil"/>
              <w:bottom w:val="single" w:color="000000" w:sz="4" w:space="0"/>
              <w:right w:val="single" w:color="000000" w:sz="4" w:space="0"/>
            </w:tcBorders>
            <w:shd w:val="clear" w:color="auto" w:fill="auto"/>
            <w:vAlign w:val="center"/>
          </w:tcPr>
          <w:p w14:paraId="389A1298">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rPr>
              <w:t>90</w:t>
            </w:r>
          </w:p>
        </w:tc>
        <w:tc>
          <w:tcPr>
            <w:tcW w:w="312" w:type="pct"/>
            <w:tcBorders>
              <w:top w:val="nil"/>
              <w:left w:val="nil"/>
              <w:bottom w:val="single" w:color="000000" w:sz="4" w:space="0"/>
              <w:right w:val="single" w:color="000000" w:sz="4" w:space="0"/>
            </w:tcBorders>
            <w:shd w:val="clear" w:color="auto" w:fill="auto"/>
            <w:vAlign w:val="center"/>
          </w:tcPr>
          <w:p w14:paraId="11BFB61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15</w:t>
            </w:r>
          </w:p>
        </w:tc>
        <w:tc>
          <w:tcPr>
            <w:tcW w:w="314" w:type="pct"/>
            <w:tcBorders>
              <w:top w:val="nil"/>
              <w:left w:val="nil"/>
              <w:bottom w:val="single" w:color="000000" w:sz="4" w:space="0"/>
              <w:right w:val="single" w:color="000000" w:sz="4" w:space="0"/>
            </w:tcBorders>
            <w:shd w:val="clear" w:color="auto" w:fill="auto"/>
            <w:vAlign w:val="center"/>
          </w:tcPr>
          <w:p w14:paraId="0F72089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13</w:t>
            </w:r>
            <w:r>
              <w:rPr>
                <w:rFonts w:hint="eastAsia" w:ascii="宋体" w:hAnsi="宋体" w:eastAsia="宋体" w:cs="宋体"/>
                <w:kern w:val="0"/>
                <w:sz w:val="15"/>
                <w:szCs w:val="15"/>
              </w:rPr>
              <w:t>　</w:t>
            </w:r>
          </w:p>
        </w:tc>
        <w:tc>
          <w:tcPr>
            <w:tcW w:w="951" w:type="pct"/>
            <w:tcBorders>
              <w:top w:val="nil"/>
              <w:left w:val="nil"/>
              <w:bottom w:val="single" w:color="000000" w:sz="4" w:space="0"/>
              <w:right w:val="single" w:color="000000" w:sz="4" w:space="0"/>
            </w:tcBorders>
            <w:shd w:val="clear" w:color="auto" w:fill="auto"/>
            <w:vAlign w:val="center"/>
          </w:tcPr>
          <w:p w14:paraId="6CB70580">
            <w:pPr>
              <w:keepNext w:val="0"/>
              <w:keepLines w:val="0"/>
              <w:widowControl/>
              <w:suppressLineNumbers w:val="0"/>
              <w:spacing w:before="0" w:beforeAutospacing="0" w:after="0" w:afterAutospacing="0" w:line="200" w:lineRule="exact"/>
              <w:ind w:left="0" w:right="0"/>
              <w:jc w:val="left"/>
              <w:rPr>
                <w:rFonts w:hint="eastAsia" w:ascii="微软雅黑" w:hAnsi="微软雅黑" w:eastAsia="微软雅黑" w:cs="宋体"/>
                <w:i/>
                <w:iCs/>
                <w:kern w:val="0"/>
                <w:sz w:val="15"/>
                <w:szCs w:val="15"/>
                <w:lang w:val="en-US"/>
              </w:rPr>
            </w:pPr>
            <w:r>
              <w:rPr>
                <w:rFonts w:hint="eastAsia" w:ascii="宋体" w:hAnsi="宋体" w:eastAsia="宋体" w:cs="宋体"/>
                <w:kern w:val="0"/>
                <w:sz w:val="15"/>
                <w:szCs w:val="15"/>
              </w:rPr>
              <w:t>保姆更换频率高，业务熟练程度不</w:t>
            </w:r>
            <w:r>
              <w:rPr>
                <w:rFonts w:hint="eastAsia" w:ascii="宋体" w:hAnsi="宋体" w:eastAsia="宋体" w:cs="宋体"/>
                <w:kern w:val="0"/>
                <w:sz w:val="15"/>
                <w:szCs w:val="15"/>
                <w:lang w:eastAsia="zh-CN"/>
              </w:rPr>
              <w:t>高</w:t>
            </w:r>
            <w:r>
              <w:rPr>
                <w:rFonts w:hint="eastAsia" w:ascii="宋体" w:hAnsi="宋体" w:eastAsia="宋体" w:cs="宋体"/>
                <w:kern w:val="0"/>
                <w:sz w:val="15"/>
                <w:szCs w:val="15"/>
              </w:rPr>
              <w:t>，自评扣</w:t>
            </w:r>
            <w:r>
              <w:rPr>
                <w:rFonts w:hint="eastAsia" w:ascii="宋体" w:hAnsi="宋体" w:eastAsia="宋体" w:cs="宋体"/>
                <w:kern w:val="0"/>
                <w:sz w:val="15"/>
                <w:szCs w:val="15"/>
                <w:lang w:val="en-US"/>
              </w:rPr>
              <w:t>2</w:t>
            </w:r>
            <w:r>
              <w:rPr>
                <w:rFonts w:hint="eastAsia" w:ascii="宋体" w:hAnsi="宋体" w:eastAsia="宋体" w:cs="宋体"/>
                <w:kern w:val="0"/>
                <w:sz w:val="15"/>
                <w:szCs w:val="15"/>
              </w:rPr>
              <w:t>分。</w:t>
            </w:r>
            <w:r>
              <w:rPr>
                <w:rFonts w:hint="eastAsia" w:ascii="微软雅黑" w:hAnsi="微软雅黑" w:eastAsia="微软雅黑" w:cs="宋体"/>
                <w:i/>
                <w:iCs/>
                <w:kern w:val="0"/>
                <w:sz w:val="15"/>
                <w:szCs w:val="15"/>
              </w:rPr>
              <w:t>　</w:t>
            </w:r>
          </w:p>
        </w:tc>
      </w:tr>
      <w:tr w14:paraId="1FAA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390" w:type="pct"/>
            <w:vMerge w:val="continue"/>
            <w:tcBorders>
              <w:top w:val="nil"/>
              <w:left w:val="single" w:color="000000" w:sz="4" w:space="0"/>
              <w:bottom w:val="single" w:color="000000" w:sz="4" w:space="0"/>
              <w:right w:val="single" w:color="000000" w:sz="4" w:space="0"/>
            </w:tcBorders>
            <w:shd w:val="clear" w:color="auto" w:fill="auto"/>
            <w:vAlign w:val="center"/>
          </w:tcPr>
          <w:p w14:paraId="2B380181">
            <w:pPr>
              <w:keepNext w:val="0"/>
              <w:keepLines w:val="0"/>
              <w:suppressLineNumbers w:val="0"/>
              <w:spacing w:before="0" w:beforeAutospacing="0" w:after="0" w:afterAutospacing="0"/>
              <w:ind w:left="0" w:right="0"/>
              <w:rPr>
                <w:rFonts w:hint="default" w:ascii="Calibri" w:hAnsi="Calibri" w:eastAsia="宋体" w:cs="Times New Roman"/>
                <w:kern w:val="2"/>
                <w:sz w:val="15"/>
                <w:szCs w:val="15"/>
              </w:rPr>
            </w:pPr>
          </w:p>
        </w:tc>
        <w:tc>
          <w:tcPr>
            <w:tcW w:w="518" w:type="pct"/>
            <w:tcBorders>
              <w:top w:val="nil"/>
              <w:left w:val="nil"/>
              <w:bottom w:val="single" w:color="000000" w:sz="4" w:space="0"/>
              <w:right w:val="single" w:color="000000" w:sz="4" w:space="0"/>
            </w:tcBorders>
            <w:shd w:val="clear" w:color="auto" w:fill="auto"/>
            <w:vAlign w:val="center"/>
          </w:tcPr>
          <w:p w14:paraId="54FBE5E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成本指标</w:t>
            </w:r>
          </w:p>
        </w:tc>
        <w:tc>
          <w:tcPr>
            <w:tcW w:w="547" w:type="pct"/>
            <w:tcBorders>
              <w:top w:val="nil"/>
              <w:left w:val="nil"/>
              <w:bottom w:val="single" w:color="000000" w:sz="4" w:space="0"/>
              <w:right w:val="single" w:color="000000" w:sz="4" w:space="0"/>
            </w:tcBorders>
            <w:shd w:val="clear" w:color="auto" w:fill="auto"/>
            <w:vAlign w:val="center"/>
          </w:tcPr>
          <w:p w14:paraId="4BD94C1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经济成本指标</w:t>
            </w:r>
          </w:p>
        </w:tc>
        <w:tc>
          <w:tcPr>
            <w:tcW w:w="596" w:type="pct"/>
            <w:tcBorders>
              <w:top w:val="nil"/>
              <w:left w:val="nil"/>
              <w:bottom w:val="single" w:color="000000" w:sz="4" w:space="0"/>
              <w:right w:val="single" w:color="000000" w:sz="4" w:space="0"/>
            </w:tcBorders>
            <w:shd w:val="clear" w:color="auto" w:fill="auto"/>
            <w:vAlign w:val="center"/>
          </w:tcPr>
          <w:p w14:paraId="425FDCD1">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rPr>
              <w:t>年度完成各项目工作费用</w:t>
            </w:r>
          </w:p>
        </w:tc>
        <w:tc>
          <w:tcPr>
            <w:tcW w:w="336" w:type="pct"/>
            <w:tcBorders>
              <w:top w:val="nil"/>
              <w:left w:val="nil"/>
              <w:bottom w:val="single" w:color="000000" w:sz="4" w:space="0"/>
              <w:right w:val="single" w:color="000000" w:sz="4" w:space="0"/>
            </w:tcBorders>
            <w:shd w:val="clear" w:color="auto" w:fill="auto"/>
            <w:vAlign w:val="center"/>
          </w:tcPr>
          <w:p w14:paraId="0E6ABB1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w:t>
            </w:r>
          </w:p>
        </w:tc>
        <w:tc>
          <w:tcPr>
            <w:tcW w:w="293" w:type="pct"/>
            <w:tcBorders>
              <w:top w:val="nil"/>
              <w:left w:val="nil"/>
              <w:bottom w:val="single" w:color="000000" w:sz="4" w:space="0"/>
              <w:right w:val="single" w:color="000000" w:sz="4" w:space="0"/>
            </w:tcBorders>
            <w:shd w:val="clear" w:color="auto" w:fill="auto"/>
            <w:vAlign w:val="center"/>
          </w:tcPr>
          <w:p w14:paraId="1DFAF220">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25</w:t>
            </w:r>
          </w:p>
        </w:tc>
        <w:tc>
          <w:tcPr>
            <w:tcW w:w="293" w:type="pct"/>
            <w:tcBorders>
              <w:top w:val="nil"/>
              <w:left w:val="nil"/>
              <w:bottom w:val="single" w:color="000000" w:sz="4" w:space="0"/>
              <w:right w:val="single" w:color="000000" w:sz="4" w:space="0"/>
            </w:tcBorders>
            <w:shd w:val="clear" w:color="auto" w:fill="auto"/>
            <w:vAlign w:val="center"/>
          </w:tcPr>
          <w:p w14:paraId="0F178B2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万元</w:t>
            </w:r>
          </w:p>
        </w:tc>
        <w:tc>
          <w:tcPr>
            <w:tcW w:w="444" w:type="pct"/>
            <w:tcBorders>
              <w:top w:val="nil"/>
              <w:left w:val="nil"/>
              <w:bottom w:val="single" w:color="000000" w:sz="4" w:space="0"/>
              <w:right w:val="single" w:color="000000" w:sz="4" w:space="0"/>
            </w:tcBorders>
            <w:shd w:val="clear" w:color="auto" w:fill="auto"/>
            <w:vAlign w:val="center"/>
          </w:tcPr>
          <w:p w14:paraId="45CE73A7">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lang w:val="en-US" w:eastAsia="zh-CN"/>
              </w:rPr>
              <w:t>25</w:t>
            </w:r>
            <w:r>
              <w:rPr>
                <w:rFonts w:hint="eastAsia" w:ascii="微软雅黑" w:hAnsi="微软雅黑" w:eastAsia="微软雅黑" w:cs="宋体"/>
                <w:i/>
                <w:iCs/>
                <w:kern w:val="0"/>
                <w:sz w:val="15"/>
                <w:szCs w:val="15"/>
              </w:rPr>
              <w:t>　</w:t>
            </w:r>
          </w:p>
        </w:tc>
        <w:tc>
          <w:tcPr>
            <w:tcW w:w="312" w:type="pct"/>
            <w:tcBorders>
              <w:top w:val="nil"/>
              <w:left w:val="nil"/>
              <w:bottom w:val="single" w:color="000000" w:sz="4" w:space="0"/>
              <w:right w:val="single" w:color="000000" w:sz="4" w:space="0"/>
            </w:tcBorders>
            <w:shd w:val="clear" w:color="auto" w:fill="auto"/>
            <w:vAlign w:val="center"/>
          </w:tcPr>
          <w:p w14:paraId="7512B02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20</w:t>
            </w:r>
          </w:p>
        </w:tc>
        <w:tc>
          <w:tcPr>
            <w:tcW w:w="314" w:type="pct"/>
            <w:tcBorders>
              <w:top w:val="nil"/>
              <w:left w:val="nil"/>
              <w:bottom w:val="single" w:color="000000" w:sz="4" w:space="0"/>
              <w:right w:val="single" w:color="000000" w:sz="4" w:space="0"/>
            </w:tcBorders>
            <w:shd w:val="clear" w:color="auto" w:fill="auto"/>
            <w:vAlign w:val="center"/>
          </w:tcPr>
          <w:p w14:paraId="6D08BA4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20</w:t>
            </w:r>
            <w:r>
              <w:rPr>
                <w:rFonts w:hint="eastAsia" w:ascii="宋体" w:hAnsi="宋体" w:eastAsia="宋体" w:cs="宋体"/>
                <w:kern w:val="0"/>
                <w:sz w:val="15"/>
                <w:szCs w:val="15"/>
              </w:rPr>
              <w:t>　</w:t>
            </w:r>
          </w:p>
        </w:tc>
        <w:tc>
          <w:tcPr>
            <w:tcW w:w="951" w:type="pct"/>
            <w:tcBorders>
              <w:top w:val="nil"/>
              <w:left w:val="nil"/>
              <w:bottom w:val="single" w:color="000000" w:sz="4" w:space="0"/>
              <w:right w:val="single" w:color="000000" w:sz="4" w:space="0"/>
            </w:tcBorders>
            <w:shd w:val="clear" w:color="auto" w:fill="auto"/>
            <w:vAlign w:val="center"/>
          </w:tcPr>
          <w:p w14:paraId="6A84E4C3">
            <w:pPr>
              <w:keepNext w:val="0"/>
              <w:keepLines w:val="0"/>
              <w:widowControl/>
              <w:suppressLineNumbers w:val="0"/>
              <w:spacing w:before="0" w:beforeAutospacing="0" w:after="0" w:afterAutospacing="0" w:line="200" w:lineRule="exact"/>
              <w:ind w:left="0" w:right="0"/>
              <w:jc w:val="center"/>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　</w:t>
            </w:r>
          </w:p>
        </w:tc>
      </w:tr>
      <w:tr w14:paraId="31CE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8EDB55">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rPr>
              <w:t>合计</w:t>
            </w:r>
          </w:p>
        </w:tc>
        <w:tc>
          <w:tcPr>
            <w:tcW w:w="312" w:type="pct"/>
            <w:tcBorders>
              <w:top w:val="nil"/>
              <w:left w:val="nil"/>
              <w:bottom w:val="single" w:color="000000" w:sz="4" w:space="0"/>
              <w:right w:val="single" w:color="000000" w:sz="4" w:space="0"/>
            </w:tcBorders>
            <w:shd w:val="clear" w:color="auto" w:fill="auto"/>
            <w:vAlign w:val="center"/>
          </w:tcPr>
          <w:p w14:paraId="67410411">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kern w:val="0"/>
                <w:sz w:val="15"/>
                <w:szCs w:val="15"/>
                <w:lang w:val="en-US"/>
              </w:rPr>
            </w:pPr>
            <w:r>
              <w:rPr>
                <w:rFonts w:hint="eastAsia" w:ascii="宋体" w:hAnsi="宋体" w:eastAsia="宋体" w:cs="宋体"/>
                <w:kern w:val="0"/>
                <w:sz w:val="15"/>
                <w:szCs w:val="15"/>
                <w:lang w:val="en-US"/>
              </w:rPr>
              <w:t>100</w:t>
            </w:r>
          </w:p>
        </w:tc>
        <w:tc>
          <w:tcPr>
            <w:tcW w:w="314" w:type="pct"/>
            <w:tcBorders>
              <w:top w:val="nil"/>
              <w:left w:val="nil"/>
              <w:bottom w:val="single" w:color="000000" w:sz="4" w:space="0"/>
              <w:right w:val="single" w:color="000000" w:sz="4" w:space="0"/>
            </w:tcBorders>
            <w:shd w:val="clear" w:color="auto" w:fill="auto"/>
            <w:vAlign w:val="center"/>
          </w:tcPr>
          <w:p w14:paraId="435CE91F">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rPr>
              <w:t>　</w:t>
            </w:r>
            <w:r>
              <w:rPr>
                <w:rFonts w:hint="eastAsia" w:ascii="宋体" w:hAnsi="宋体" w:eastAsia="宋体" w:cs="宋体"/>
                <w:kern w:val="0"/>
                <w:sz w:val="15"/>
                <w:szCs w:val="15"/>
                <w:lang w:val="en-US"/>
              </w:rPr>
              <w:t>98</w:t>
            </w:r>
          </w:p>
        </w:tc>
        <w:tc>
          <w:tcPr>
            <w:tcW w:w="951" w:type="pct"/>
            <w:tcBorders>
              <w:top w:val="nil"/>
              <w:left w:val="nil"/>
              <w:bottom w:val="single" w:color="000000" w:sz="4" w:space="0"/>
              <w:right w:val="single" w:color="000000" w:sz="4" w:space="0"/>
            </w:tcBorders>
            <w:shd w:val="clear" w:color="auto" w:fill="auto"/>
            <w:vAlign w:val="center"/>
          </w:tcPr>
          <w:p w14:paraId="5D49D0F7">
            <w:pPr>
              <w:keepNext w:val="0"/>
              <w:keepLines w:val="0"/>
              <w:widowControl/>
              <w:suppressLineNumbers w:val="0"/>
              <w:spacing w:before="0" w:beforeAutospacing="0" w:after="0" w:afterAutospacing="0" w:line="180" w:lineRule="exact"/>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rPr>
              <w:t>　</w:t>
            </w:r>
          </w:p>
        </w:tc>
      </w:tr>
      <w:tr w14:paraId="7BD5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0" w:type="pct"/>
            <w:tcBorders>
              <w:top w:val="nil"/>
              <w:left w:val="single" w:color="000000" w:sz="4" w:space="0"/>
              <w:bottom w:val="single" w:color="000000" w:sz="4" w:space="0"/>
              <w:right w:val="single" w:color="000000" w:sz="4" w:space="0"/>
            </w:tcBorders>
            <w:shd w:val="clear" w:color="auto" w:fill="auto"/>
            <w:vAlign w:val="center"/>
          </w:tcPr>
          <w:p w14:paraId="4A5C0B64">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rPr>
              <w:t>评价结论</w:t>
            </w:r>
          </w:p>
        </w:tc>
        <w:tc>
          <w:tcPr>
            <w:tcW w:w="4609" w:type="pct"/>
            <w:gridSpan w:val="10"/>
            <w:tcBorders>
              <w:top w:val="single" w:color="000000" w:sz="4" w:space="0"/>
              <w:left w:val="nil"/>
              <w:bottom w:val="single" w:color="000000" w:sz="4" w:space="0"/>
              <w:right w:val="single" w:color="000000" w:sz="4" w:space="0"/>
            </w:tcBorders>
            <w:shd w:val="clear" w:color="auto" w:fill="auto"/>
            <w:vAlign w:val="center"/>
          </w:tcPr>
          <w:p w14:paraId="5B91D19D">
            <w:pPr>
              <w:keepNext w:val="0"/>
              <w:keepLines w:val="0"/>
              <w:widowControl/>
              <w:suppressLineNumbers w:val="0"/>
              <w:spacing w:before="0" w:beforeAutospacing="0" w:after="0" w:afterAutospacing="0" w:line="180" w:lineRule="exact"/>
              <w:ind w:left="0" w:right="0"/>
              <w:jc w:val="left"/>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本项目在推进凉山州科协天府科技云工作、深化科技云服务内容方面取得了显著成效，全面完成了设定的绩效目标，且部分指标超额完成。建议继续加大投入，优化服务流程，提升服务质量，进一步推动凉山科协工作再上新台阶。从产出、效益、满意度指标等进行了以上打分，预算执行率</w:t>
            </w:r>
            <w:r>
              <w:rPr>
                <w:rFonts w:hint="eastAsia" w:ascii="微软雅黑" w:hAnsi="微软雅黑" w:eastAsia="微软雅黑" w:cs="宋体"/>
                <w:i/>
                <w:iCs/>
                <w:kern w:val="0"/>
                <w:sz w:val="15"/>
                <w:szCs w:val="15"/>
                <w:lang w:val="en-US"/>
              </w:rPr>
              <w:t>100%</w:t>
            </w:r>
            <w:r>
              <w:rPr>
                <w:rFonts w:hint="eastAsia" w:ascii="微软雅黑" w:hAnsi="微软雅黑" w:eastAsia="微软雅黑" w:cs="宋体"/>
                <w:i/>
                <w:iCs/>
                <w:kern w:val="0"/>
                <w:sz w:val="15"/>
                <w:szCs w:val="15"/>
              </w:rPr>
              <w:t>，执行情况良好，保姆更换频率高，业务熟练程度不高，自评扣</w:t>
            </w:r>
            <w:r>
              <w:rPr>
                <w:rFonts w:hint="eastAsia" w:ascii="微软雅黑" w:hAnsi="微软雅黑" w:eastAsia="微软雅黑" w:cs="宋体"/>
                <w:i/>
                <w:iCs/>
                <w:kern w:val="0"/>
                <w:sz w:val="15"/>
                <w:szCs w:val="15"/>
                <w:lang w:val="en-US"/>
              </w:rPr>
              <w:t>2</w:t>
            </w:r>
            <w:r>
              <w:rPr>
                <w:rFonts w:hint="eastAsia" w:ascii="微软雅黑" w:hAnsi="微软雅黑" w:eastAsia="微软雅黑" w:cs="宋体"/>
                <w:i/>
                <w:iCs/>
                <w:kern w:val="0"/>
                <w:sz w:val="15"/>
                <w:szCs w:val="15"/>
              </w:rPr>
              <w:t>分。最后得分</w:t>
            </w:r>
            <w:r>
              <w:rPr>
                <w:rFonts w:hint="eastAsia" w:ascii="微软雅黑" w:hAnsi="微软雅黑" w:eastAsia="微软雅黑" w:cs="宋体"/>
                <w:i/>
                <w:iCs/>
                <w:kern w:val="0"/>
                <w:sz w:val="15"/>
                <w:szCs w:val="15"/>
                <w:lang w:val="en-US"/>
              </w:rPr>
              <w:t>98</w:t>
            </w:r>
            <w:r>
              <w:rPr>
                <w:rFonts w:hint="eastAsia" w:ascii="微软雅黑" w:hAnsi="微软雅黑" w:eastAsia="微软雅黑" w:cs="宋体"/>
                <w:i/>
                <w:iCs/>
                <w:kern w:val="0"/>
                <w:sz w:val="15"/>
                <w:szCs w:val="15"/>
              </w:rPr>
              <w:t>分。</w:t>
            </w:r>
          </w:p>
        </w:tc>
      </w:tr>
      <w:tr w14:paraId="37B5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90" w:type="pct"/>
            <w:tcBorders>
              <w:top w:val="nil"/>
              <w:left w:val="single" w:color="000000" w:sz="4" w:space="0"/>
              <w:bottom w:val="single" w:color="000000" w:sz="4" w:space="0"/>
              <w:right w:val="single" w:color="000000" w:sz="4" w:space="0"/>
            </w:tcBorders>
            <w:shd w:val="clear" w:color="auto" w:fill="auto"/>
            <w:vAlign w:val="center"/>
          </w:tcPr>
          <w:p w14:paraId="1446356F">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rPr>
              <w:t>存在问题</w:t>
            </w:r>
          </w:p>
        </w:tc>
        <w:tc>
          <w:tcPr>
            <w:tcW w:w="4609" w:type="pct"/>
            <w:gridSpan w:val="10"/>
            <w:tcBorders>
              <w:top w:val="single" w:color="000000" w:sz="4" w:space="0"/>
              <w:left w:val="nil"/>
              <w:bottom w:val="single" w:color="000000" w:sz="4" w:space="0"/>
              <w:right w:val="single" w:color="000000" w:sz="4" w:space="0"/>
            </w:tcBorders>
            <w:shd w:val="clear" w:color="auto" w:fill="auto"/>
            <w:vAlign w:val="center"/>
          </w:tcPr>
          <w:p w14:paraId="6F1F7260">
            <w:pPr>
              <w:keepNext w:val="0"/>
              <w:keepLines w:val="0"/>
              <w:widowControl/>
              <w:suppressLineNumbers w:val="0"/>
              <w:spacing w:before="0" w:beforeAutospacing="0" w:after="0" w:afterAutospacing="0" w:line="180" w:lineRule="exact"/>
              <w:ind w:left="0" w:right="0"/>
              <w:jc w:val="left"/>
              <w:rPr>
                <w:rFonts w:hint="eastAsia" w:ascii="微软雅黑" w:hAnsi="微软雅黑" w:eastAsia="微软雅黑" w:cs="宋体"/>
                <w:i/>
                <w:iCs/>
                <w:kern w:val="0"/>
                <w:sz w:val="15"/>
                <w:szCs w:val="15"/>
                <w:lang w:val="en-US"/>
              </w:rPr>
            </w:pPr>
            <w:r>
              <w:rPr>
                <w:rFonts w:hint="eastAsia" w:ascii="微软雅黑" w:hAnsi="微软雅黑" w:eastAsia="微软雅黑" w:cs="宋体"/>
                <w:i/>
                <w:iCs/>
                <w:kern w:val="0"/>
                <w:sz w:val="15"/>
                <w:szCs w:val="15"/>
              </w:rPr>
              <w:t>保姆更换频率高，业务熟练程度不高</w:t>
            </w:r>
          </w:p>
        </w:tc>
      </w:tr>
      <w:tr w14:paraId="3D9E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390" w:type="pct"/>
            <w:tcBorders>
              <w:top w:val="nil"/>
              <w:left w:val="single" w:color="000000" w:sz="4" w:space="0"/>
              <w:bottom w:val="single" w:color="000000" w:sz="4" w:space="0"/>
              <w:right w:val="single" w:color="000000" w:sz="4" w:space="0"/>
            </w:tcBorders>
            <w:shd w:val="clear" w:color="auto" w:fill="auto"/>
            <w:vAlign w:val="center"/>
          </w:tcPr>
          <w:p w14:paraId="7F3ECED2">
            <w:pPr>
              <w:keepNext w:val="0"/>
              <w:keepLines w:val="0"/>
              <w:widowControl/>
              <w:suppressLineNumbers w:val="0"/>
              <w:spacing w:before="0" w:beforeAutospacing="0" w:after="0" w:afterAutospacing="0" w:line="180" w:lineRule="exact"/>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rPr>
              <w:t>改进措施</w:t>
            </w:r>
          </w:p>
        </w:tc>
        <w:tc>
          <w:tcPr>
            <w:tcW w:w="4609" w:type="pct"/>
            <w:gridSpan w:val="10"/>
            <w:tcBorders>
              <w:top w:val="single" w:color="000000" w:sz="4" w:space="0"/>
              <w:left w:val="nil"/>
              <w:bottom w:val="single" w:color="000000" w:sz="4" w:space="0"/>
              <w:right w:val="single" w:color="000000" w:sz="4" w:space="0"/>
            </w:tcBorders>
            <w:shd w:val="clear" w:color="auto" w:fill="auto"/>
            <w:vAlign w:val="center"/>
          </w:tcPr>
          <w:p w14:paraId="55970299">
            <w:pPr>
              <w:keepNext w:val="0"/>
              <w:keepLines w:val="0"/>
              <w:widowControl/>
              <w:suppressLineNumbers w:val="0"/>
              <w:spacing w:before="0" w:beforeAutospacing="0" w:after="0" w:afterAutospacing="0" w:line="180" w:lineRule="exact"/>
              <w:ind w:left="0" w:right="0"/>
              <w:jc w:val="left"/>
              <w:rPr>
                <w:rFonts w:hint="eastAsia" w:ascii="微软雅黑" w:hAnsi="微软雅黑" w:eastAsia="微软雅黑" w:cs="宋体"/>
                <w:i/>
                <w:iCs/>
                <w:color w:val="000000"/>
                <w:kern w:val="0"/>
                <w:sz w:val="15"/>
                <w:szCs w:val="15"/>
                <w:lang w:val="en-US"/>
              </w:rPr>
            </w:pPr>
            <w:r>
              <w:rPr>
                <w:rFonts w:hint="eastAsia" w:ascii="微软雅黑" w:hAnsi="微软雅黑" w:eastAsia="微软雅黑" w:cs="宋体"/>
                <w:i/>
                <w:iCs/>
                <w:color w:val="000000"/>
                <w:kern w:val="0"/>
                <w:sz w:val="15"/>
                <w:szCs w:val="15"/>
              </w:rPr>
              <w:t>加强对保姆的培训和管理，建立完善的激励和考核机制，提高他们的工作积极性和服务质量。（</w:t>
            </w:r>
            <w:r>
              <w:rPr>
                <w:rFonts w:hint="eastAsia" w:ascii="微软雅黑" w:hAnsi="微软雅黑" w:eastAsia="微软雅黑" w:cs="宋体"/>
                <w:i/>
                <w:iCs/>
                <w:color w:val="000000"/>
                <w:kern w:val="0"/>
                <w:sz w:val="15"/>
                <w:szCs w:val="15"/>
                <w:lang w:val="en-US"/>
              </w:rPr>
              <w:t>200</w:t>
            </w:r>
            <w:r>
              <w:rPr>
                <w:rFonts w:hint="eastAsia" w:ascii="微软雅黑" w:hAnsi="微软雅黑" w:eastAsia="微软雅黑" w:cs="宋体"/>
                <w:i/>
                <w:iCs/>
                <w:color w:val="000000"/>
                <w:kern w:val="0"/>
                <w:sz w:val="15"/>
                <w:szCs w:val="15"/>
              </w:rPr>
              <w:t>字以内）</w:t>
            </w:r>
          </w:p>
        </w:tc>
      </w:tr>
      <w:tr w14:paraId="6CE0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23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3B6FCB">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rPr>
              <w:t>项目负责人：余敏</w:t>
            </w:r>
          </w:p>
        </w:tc>
        <w:tc>
          <w:tcPr>
            <w:tcW w:w="2611" w:type="pct"/>
            <w:gridSpan w:val="6"/>
            <w:tcBorders>
              <w:top w:val="single" w:color="000000" w:sz="4" w:space="0"/>
              <w:left w:val="nil"/>
              <w:bottom w:val="single" w:color="000000" w:sz="4" w:space="0"/>
              <w:right w:val="single" w:color="000000" w:sz="4" w:space="0"/>
            </w:tcBorders>
            <w:shd w:val="clear" w:color="auto" w:fill="auto"/>
            <w:vAlign w:val="center"/>
          </w:tcPr>
          <w:p w14:paraId="0D33A957">
            <w:pPr>
              <w:keepNext w:val="0"/>
              <w:keepLines w:val="0"/>
              <w:widowControl/>
              <w:suppressLineNumbers w:val="0"/>
              <w:spacing w:before="0" w:beforeAutospacing="0" w:after="0" w:afterAutospacing="0" w:line="180" w:lineRule="exact"/>
              <w:ind w:left="0" w:right="0"/>
              <w:jc w:val="left"/>
              <w:rPr>
                <w:rFonts w:hint="default" w:ascii="Courier New" w:hAnsi="Courier New" w:cs="Courier New"/>
                <w:color w:val="000000"/>
                <w:kern w:val="0"/>
                <w:sz w:val="15"/>
                <w:szCs w:val="15"/>
                <w:lang w:val="en-US"/>
              </w:rPr>
            </w:pPr>
            <w:r>
              <w:rPr>
                <w:rFonts w:hint="eastAsia" w:ascii="Courier New" w:hAnsi="Courier New" w:eastAsia="宋体" w:cs="Courier New"/>
                <w:color w:val="000000"/>
                <w:kern w:val="0"/>
                <w:sz w:val="15"/>
                <w:szCs w:val="15"/>
              </w:rPr>
              <w:t>财务负责人：毛正华</w:t>
            </w:r>
          </w:p>
        </w:tc>
      </w:tr>
    </w:tbl>
    <w:p w14:paraId="21D4BF2B">
      <w:pPr>
        <w:pStyle w:val="2"/>
        <w:jc w:val="both"/>
        <w:rPr>
          <w:rFonts w:hint="eastAsia" w:ascii="黑体" w:hAnsi="黑体" w:eastAsia="黑体"/>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63007D29">
      <w:pPr>
        <w:pStyle w:val="2"/>
        <w:ind w:firstLine="2650" w:firstLineChars="600"/>
        <w:jc w:val="both"/>
        <w:rPr>
          <w:rFonts w:ascii="黑体" w:hAnsi="黑体" w:eastAsia="黑体"/>
        </w:rPr>
      </w:pPr>
      <w:r>
        <w:rPr>
          <w:rFonts w:hint="eastAsia" w:ascii="黑体" w:hAnsi="黑体" w:eastAsia="黑体"/>
        </w:rPr>
        <w:t>第五部分 附表</w:t>
      </w:r>
    </w:p>
    <w:p w14:paraId="3C6FBC28">
      <w:pPr>
        <w:rPr>
          <w:rFonts w:ascii="仿宋" w:hAnsi="仿宋" w:eastAsia="仿宋"/>
          <w:sz w:val="32"/>
          <w:szCs w:val="32"/>
        </w:rPr>
      </w:pPr>
      <w:r>
        <w:rPr>
          <w:rFonts w:hint="eastAsia" w:ascii="仿宋" w:hAnsi="仿宋" w:eastAsia="仿宋"/>
          <w:sz w:val="32"/>
          <w:szCs w:val="32"/>
        </w:rPr>
        <w:t>一、收入支出决算总表</w:t>
      </w:r>
    </w:p>
    <w:p w14:paraId="05742FC9">
      <w:pPr>
        <w:rPr>
          <w:rFonts w:ascii="仿宋" w:hAnsi="仿宋" w:eastAsia="仿宋"/>
          <w:sz w:val="32"/>
          <w:szCs w:val="32"/>
        </w:rPr>
      </w:pPr>
      <w:r>
        <w:rPr>
          <w:rFonts w:hint="eastAsia" w:ascii="仿宋" w:hAnsi="仿宋" w:eastAsia="仿宋"/>
          <w:sz w:val="32"/>
          <w:szCs w:val="32"/>
        </w:rPr>
        <w:t>二、收入决算表</w:t>
      </w:r>
    </w:p>
    <w:p w14:paraId="3C5A13D8">
      <w:pPr>
        <w:rPr>
          <w:rFonts w:ascii="仿宋" w:hAnsi="仿宋" w:eastAsia="仿宋"/>
          <w:sz w:val="32"/>
          <w:szCs w:val="32"/>
        </w:rPr>
      </w:pPr>
      <w:r>
        <w:rPr>
          <w:rFonts w:hint="eastAsia" w:ascii="仿宋" w:hAnsi="仿宋" w:eastAsia="仿宋"/>
          <w:sz w:val="32"/>
          <w:szCs w:val="32"/>
        </w:rPr>
        <w:t>三、支出决算表</w:t>
      </w:r>
    </w:p>
    <w:p w14:paraId="07E330DD">
      <w:pPr>
        <w:rPr>
          <w:rFonts w:ascii="仿宋" w:hAnsi="仿宋" w:eastAsia="仿宋"/>
          <w:sz w:val="32"/>
          <w:szCs w:val="32"/>
        </w:rPr>
      </w:pPr>
      <w:r>
        <w:rPr>
          <w:rFonts w:hint="eastAsia" w:ascii="仿宋" w:hAnsi="仿宋" w:eastAsia="仿宋"/>
          <w:sz w:val="32"/>
          <w:szCs w:val="32"/>
        </w:rPr>
        <w:t>四、财政拨款收入支出决算总表</w:t>
      </w:r>
    </w:p>
    <w:p w14:paraId="198A233C">
      <w:pPr>
        <w:rPr>
          <w:rFonts w:ascii="仿宋" w:hAnsi="仿宋" w:eastAsia="仿宋"/>
          <w:sz w:val="32"/>
          <w:szCs w:val="32"/>
        </w:rPr>
      </w:pPr>
      <w:r>
        <w:rPr>
          <w:rFonts w:hint="eastAsia" w:ascii="仿宋" w:hAnsi="仿宋" w:eastAsia="仿宋"/>
          <w:sz w:val="32"/>
          <w:szCs w:val="32"/>
        </w:rPr>
        <w:t>五、财政拨款支出决算明细表</w:t>
      </w:r>
    </w:p>
    <w:p w14:paraId="602F8293">
      <w:pPr>
        <w:rPr>
          <w:rFonts w:ascii="仿宋" w:hAnsi="仿宋" w:eastAsia="仿宋"/>
          <w:sz w:val="32"/>
          <w:szCs w:val="32"/>
        </w:rPr>
      </w:pPr>
      <w:r>
        <w:rPr>
          <w:rFonts w:hint="eastAsia" w:ascii="仿宋" w:hAnsi="仿宋" w:eastAsia="仿宋"/>
          <w:sz w:val="32"/>
          <w:szCs w:val="32"/>
        </w:rPr>
        <w:t>六、一般公共预算财政拨款支出决算表</w:t>
      </w:r>
    </w:p>
    <w:p w14:paraId="6FED8A35">
      <w:pPr>
        <w:rPr>
          <w:rFonts w:ascii="仿宋" w:hAnsi="仿宋" w:eastAsia="仿宋"/>
          <w:sz w:val="32"/>
          <w:szCs w:val="32"/>
        </w:rPr>
      </w:pPr>
      <w:r>
        <w:rPr>
          <w:rFonts w:hint="eastAsia" w:ascii="仿宋" w:hAnsi="仿宋" w:eastAsia="仿宋"/>
          <w:sz w:val="32"/>
          <w:szCs w:val="32"/>
        </w:rPr>
        <w:t>七、一般公共预算财政拨款支出决算明细表</w:t>
      </w:r>
    </w:p>
    <w:p w14:paraId="4769D9F3">
      <w:pPr>
        <w:rPr>
          <w:rFonts w:ascii="仿宋" w:hAnsi="仿宋" w:eastAsia="仿宋"/>
          <w:sz w:val="32"/>
          <w:szCs w:val="32"/>
        </w:rPr>
      </w:pPr>
      <w:r>
        <w:rPr>
          <w:rFonts w:hint="eastAsia" w:ascii="仿宋" w:hAnsi="仿宋" w:eastAsia="仿宋"/>
          <w:sz w:val="32"/>
          <w:szCs w:val="32"/>
        </w:rPr>
        <w:t>八、一般公共预算财政拨款基本支出决算表</w:t>
      </w:r>
    </w:p>
    <w:p w14:paraId="763C88DE">
      <w:pPr>
        <w:rPr>
          <w:rFonts w:ascii="仿宋" w:hAnsi="仿宋" w:eastAsia="仿宋"/>
          <w:sz w:val="32"/>
          <w:szCs w:val="32"/>
        </w:rPr>
      </w:pPr>
      <w:r>
        <w:rPr>
          <w:rFonts w:hint="eastAsia" w:ascii="仿宋" w:hAnsi="仿宋" w:eastAsia="仿宋"/>
          <w:sz w:val="32"/>
          <w:szCs w:val="32"/>
        </w:rPr>
        <w:t>九、一般公共预算财政拨款项目支出决算表</w:t>
      </w:r>
    </w:p>
    <w:p w14:paraId="6125BAAE">
      <w:pPr>
        <w:rPr>
          <w:rFonts w:ascii="仿宋" w:hAnsi="仿宋" w:eastAsia="仿宋"/>
          <w:sz w:val="32"/>
          <w:szCs w:val="32"/>
        </w:rPr>
      </w:pPr>
      <w:r>
        <w:rPr>
          <w:rFonts w:hint="eastAsia" w:ascii="仿宋" w:hAnsi="仿宋" w:eastAsia="仿宋"/>
          <w:sz w:val="32"/>
          <w:szCs w:val="32"/>
        </w:rPr>
        <w:t>十、政府性基金预算财政拨款收入支出决算表</w:t>
      </w:r>
    </w:p>
    <w:p w14:paraId="1CAADC45">
      <w:pPr>
        <w:rPr>
          <w:rFonts w:ascii="仿宋" w:hAnsi="仿宋" w:eastAsia="仿宋"/>
          <w:sz w:val="32"/>
          <w:szCs w:val="32"/>
        </w:rPr>
      </w:pPr>
      <w:r>
        <w:rPr>
          <w:rFonts w:hint="eastAsia" w:ascii="仿宋" w:hAnsi="仿宋" w:eastAsia="仿宋"/>
          <w:sz w:val="32"/>
          <w:szCs w:val="32"/>
        </w:rPr>
        <w:t>十一、国有资本经营预算财政拨款收入支出决算表</w:t>
      </w:r>
    </w:p>
    <w:p w14:paraId="188C0874">
      <w:pPr>
        <w:rPr>
          <w:rFonts w:ascii="仿宋" w:hAnsi="仿宋" w:eastAsia="仿宋"/>
          <w:sz w:val="32"/>
          <w:szCs w:val="32"/>
        </w:rPr>
      </w:pPr>
      <w:r>
        <w:rPr>
          <w:rFonts w:hint="eastAsia" w:ascii="仿宋" w:hAnsi="仿宋" w:eastAsia="仿宋"/>
          <w:sz w:val="32"/>
          <w:szCs w:val="32"/>
        </w:rPr>
        <w:t>十二、国有资本经营预算财政拨款支出决算表</w:t>
      </w:r>
    </w:p>
    <w:p w14:paraId="654F6D50">
      <w:pPr>
        <w:rPr>
          <w:rFonts w:ascii="仿宋" w:hAnsi="仿宋" w:eastAsia="仿宋"/>
          <w:sz w:val="32"/>
          <w:szCs w:val="32"/>
        </w:rPr>
      </w:pPr>
      <w:r>
        <w:rPr>
          <w:rFonts w:hint="eastAsia" w:ascii="仿宋" w:hAnsi="仿宋" w:eastAsia="仿宋"/>
          <w:sz w:val="32"/>
          <w:szCs w:val="32"/>
        </w:rPr>
        <w:t>十三、财政拨款“三公”经费支出决算表</w:t>
      </w:r>
    </w:p>
    <w:sectPr>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79FEC">
    <w:pPr>
      <w:pStyle w:val="12"/>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82569"/>
                </w:sdtPr>
                <w:sdtContent>
                  <w:p w14:paraId="4133E098">
                    <w:pPr>
                      <w:pStyle w:val="12"/>
                      <w:jc w:val="center"/>
                    </w:pP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22</w:t>
                    </w:r>
                    <w:r>
                      <w:rPr>
                        <w:sz w:val="30"/>
                        <w:szCs w:val="30"/>
                      </w:rPr>
                      <w:fldChar w:fldCharType="end"/>
                    </w:r>
                  </w:p>
                </w:sdtContent>
              </w:sdt>
              <w:p w14:paraId="6D2A1E83"/>
            </w:txbxContent>
          </v:textbox>
        </v:shape>
      </w:pict>
    </w:r>
  </w:p>
  <w:p w14:paraId="74A9ADC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349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9A0EE"/>
    <w:multiLevelType w:val="singleLevel"/>
    <w:tmpl w:val="ED19A0EE"/>
    <w:lvl w:ilvl="0" w:tentative="0">
      <w:start w:val="2"/>
      <w:numFmt w:val="chineseCounting"/>
      <w:suff w:val="nothing"/>
      <w:lvlText w:val="（%1）"/>
      <w:lvlJc w:val="left"/>
      <w:rPr>
        <w:rFonts w:hint="eastAsia"/>
        <w:color w:val="auto"/>
      </w:rPr>
    </w:lvl>
  </w:abstractNum>
  <w:abstractNum w:abstractNumId="1">
    <w:nsid w:val="F5A6C1C4"/>
    <w:multiLevelType w:val="singleLevel"/>
    <w:tmpl w:val="F5A6C1C4"/>
    <w:lvl w:ilvl="0" w:tentative="0">
      <w:start w:val="4"/>
      <w:numFmt w:val="decimal"/>
      <w:lvlText w:val="%1."/>
      <w:lvlJc w:val="left"/>
      <w:pPr>
        <w:tabs>
          <w:tab w:val="left" w:pos="312"/>
        </w:tabs>
      </w:pPr>
    </w:lvl>
  </w:abstractNum>
  <w:abstractNum w:abstractNumId="2">
    <w:nsid w:val="0F350B0D"/>
    <w:multiLevelType w:val="multilevel"/>
    <w:tmpl w:val="0F350B0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2763447"/>
    <w:multiLevelType w:val="singleLevel"/>
    <w:tmpl w:val="12763447"/>
    <w:lvl w:ilvl="0" w:tentative="0">
      <w:start w:val="2"/>
      <w:numFmt w:val="chineseCounting"/>
      <w:suff w:val="nothing"/>
      <w:lvlText w:val="（%1）"/>
      <w:lvlJc w:val="left"/>
      <w:pPr>
        <w:ind w:left="-643"/>
      </w:pPr>
      <w:rPr>
        <w:rFonts w:hint="eastAsia"/>
        <w:color w:val="auto"/>
      </w:rPr>
    </w:lvl>
  </w:abstractNum>
  <w:abstractNum w:abstractNumId="5">
    <w:nsid w:val="455D79F7"/>
    <w:multiLevelType w:val="singleLevel"/>
    <w:tmpl w:val="455D79F7"/>
    <w:lvl w:ilvl="0" w:tentative="0">
      <w:start w:val="3"/>
      <w:numFmt w:val="decimal"/>
      <w:lvlText w:val="%1."/>
      <w:lvlJc w:val="left"/>
      <w:pPr>
        <w:tabs>
          <w:tab w:val="left" w:pos="312"/>
        </w:tabs>
      </w:pPr>
    </w:lvl>
  </w:abstractNum>
  <w:abstractNum w:abstractNumId="6">
    <w:nsid w:val="5464ECEA"/>
    <w:multiLevelType w:val="singleLevel"/>
    <w:tmpl w:val="5464ECEA"/>
    <w:lvl w:ilvl="0" w:tentative="0">
      <w:start w:val="5"/>
      <w:numFmt w:val="decimal"/>
      <w:lvlText w:val="%1."/>
      <w:lvlJc w:val="left"/>
      <w:pPr>
        <w:tabs>
          <w:tab w:val="left" w:pos="312"/>
        </w:tabs>
      </w:pPr>
    </w:lvl>
  </w:abstractNum>
  <w:abstractNum w:abstractNumId="7">
    <w:nsid w:val="6385B1ED"/>
    <w:multiLevelType w:val="singleLevel"/>
    <w:tmpl w:val="6385B1ED"/>
    <w:lvl w:ilvl="0" w:tentative="0">
      <w:start w:val="1"/>
      <w:numFmt w:val="chineseCounting"/>
      <w:suff w:val="nothing"/>
      <w:lvlText w:val="%1、"/>
      <w:lvlJc w:val="left"/>
      <w:rPr>
        <w:rFonts w:hint="eastAsia"/>
      </w:rPr>
    </w:lvl>
  </w:abstractNum>
  <w:num w:numId="1">
    <w:abstractNumId w:val="7"/>
  </w:num>
  <w:num w:numId="2">
    <w:abstractNumId w:val="3"/>
  </w:num>
  <w:num w:numId="3">
    <w:abstractNumId w:val="2"/>
  </w:num>
  <w:num w:numId="4">
    <w:abstractNumId w:val="1"/>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TZlYjE1M2I5MzVkZjBlNWExN2E1ZWVkYzM0ZGNiMzE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0A10"/>
    <w:rsid w:val="001654D1"/>
    <w:rsid w:val="00167723"/>
    <w:rsid w:val="001730E5"/>
    <w:rsid w:val="00174518"/>
    <w:rsid w:val="0018106D"/>
    <w:rsid w:val="001877A7"/>
    <w:rsid w:val="00191536"/>
    <w:rsid w:val="00196687"/>
    <w:rsid w:val="001C0962"/>
    <w:rsid w:val="001C2738"/>
    <w:rsid w:val="001D73E7"/>
    <w:rsid w:val="001D7531"/>
    <w:rsid w:val="001E737D"/>
    <w:rsid w:val="001F0592"/>
    <w:rsid w:val="001F6419"/>
    <w:rsid w:val="001F7506"/>
    <w:rsid w:val="002006CD"/>
    <w:rsid w:val="00202B36"/>
    <w:rsid w:val="00204B7A"/>
    <w:rsid w:val="00204CDE"/>
    <w:rsid w:val="0021101A"/>
    <w:rsid w:val="00220536"/>
    <w:rsid w:val="00235629"/>
    <w:rsid w:val="00243BBA"/>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C7888"/>
    <w:rsid w:val="002D6D05"/>
    <w:rsid w:val="002F1818"/>
    <w:rsid w:val="002F5109"/>
    <w:rsid w:val="002F567B"/>
    <w:rsid w:val="00310028"/>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0D8C"/>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0"/>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2E12"/>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0159"/>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144"/>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2AAA"/>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C1D33"/>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4809FD"/>
    <w:rsid w:val="015975B8"/>
    <w:rsid w:val="01846C0E"/>
    <w:rsid w:val="01B224A6"/>
    <w:rsid w:val="01F23928"/>
    <w:rsid w:val="02555ED9"/>
    <w:rsid w:val="029B05E5"/>
    <w:rsid w:val="029F53A6"/>
    <w:rsid w:val="02B96468"/>
    <w:rsid w:val="02C95F7F"/>
    <w:rsid w:val="02FEBE30"/>
    <w:rsid w:val="030963D1"/>
    <w:rsid w:val="036F8141"/>
    <w:rsid w:val="039842CF"/>
    <w:rsid w:val="057228FE"/>
    <w:rsid w:val="06456265"/>
    <w:rsid w:val="066E0107"/>
    <w:rsid w:val="06C278B5"/>
    <w:rsid w:val="075F7A5B"/>
    <w:rsid w:val="076A5F83"/>
    <w:rsid w:val="07701168"/>
    <w:rsid w:val="07750DC9"/>
    <w:rsid w:val="07852830"/>
    <w:rsid w:val="07996F6E"/>
    <w:rsid w:val="07DFD8BA"/>
    <w:rsid w:val="080F1ABD"/>
    <w:rsid w:val="08846FB4"/>
    <w:rsid w:val="09085B18"/>
    <w:rsid w:val="09DB4F16"/>
    <w:rsid w:val="09F75AC8"/>
    <w:rsid w:val="0A2032A3"/>
    <w:rsid w:val="0A4A3E4A"/>
    <w:rsid w:val="0A4E7E88"/>
    <w:rsid w:val="0AF73FD1"/>
    <w:rsid w:val="0B98468D"/>
    <w:rsid w:val="0C8547E8"/>
    <w:rsid w:val="0CC04897"/>
    <w:rsid w:val="0CF34DD5"/>
    <w:rsid w:val="0D35B1ED"/>
    <w:rsid w:val="0D5374B9"/>
    <w:rsid w:val="0E403CDA"/>
    <w:rsid w:val="0E7ED1F5"/>
    <w:rsid w:val="0F042DBA"/>
    <w:rsid w:val="0F632C2C"/>
    <w:rsid w:val="0F6A1BB8"/>
    <w:rsid w:val="0F98263C"/>
    <w:rsid w:val="101860EC"/>
    <w:rsid w:val="10765998"/>
    <w:rsid w:val="10C055FF"/>
    <w:rsid w:val="10F44B0F"/>
    <w:rsid w:val="117C0FF8"/>
    <w:rsid w:val="118107EC"/>
    <w:rsid w:val="11EE262F"/>
    <w:rsid w:val="126D2DCB"/>
    <w:rsid w:val="12902616"/>
    <w:rsid w:val="13B30CB1"/>
    <w:rsid w:val="13D50BC4"/>
    <w:rsid w:val="13F5616D"/>
    <w:rsid w:val="147C10A3"/>
    <w:rsid w:val="150A4901"/>
    <w:rsid w:val="15B2751F"/>
    <w:rsid w:val="16200C19"/>
    <w:rsid w:val="16BB723D"/>
    <w:rsid w:val="176919D6"/>
    <w:rsid w:val="17F9714D"/>
    <w:rsid w:val="1803088A"/>
    <w:rsid w:val="18521D6E"/>
    <w:rsid w:val="189B2264"/>
    <w:rsid w:val="189F1804"/>
    <w:rsid w:val="1918F934"/>
    <w:rsid w:val="193455D9"/>
    <w:rsid w:val="19500998"/>
    <w:rsid w:val="197B5DCD"/>
    <w:rsid w:val="19871BE1"/>
    <w:rsid w:val="19F142E2"/>
    <w:rsid w:val="1A2C356C"/>
    <w:rsid w:val="1A3955F2"/>
    <w:rsid w:val="1AB65DDE"/>
    <w:rsid w:val="1AF54CC5"/>
    <w:rsid w:val="1BB06CCC"/>
    <w:rsid w:val="1BE8440E"/>
    <w:rsid w:val="1D135919"/>
    <w:rsid w:val="1D155CEE"/>
    <w:rsid w:val="1D547061"/>
    <w:rsid w:val="1DFBC4B3"/>
    <w:rsid w:val="1E4C5F8A"/>
    <w:rsid w:val="1E740ACF"/>
    <w:rsid w:val="1F19C781"/>
    <w:rsid w:val="1F1A7324"/>
    <w:rsid w:val="1F33FCE5"/>
    <w:rsid w:val="1F525822"/>
    <w:rsid w:val="1F7F7398"/>
    <w:rsid w:val="1FD2DB6F"/>
    <w:rsid w:val="1FF35744"/>
    <w:rsid w:val="1FF6BC77"/>
    <w:rsid w:val="1FF9236D"/>
    <w:rsid w:val="201E3957"/>
    <w:rsid w:val="2021710B"/>
    <w:rsid w:val="206A6B9C"/>
    <w:rsid w:val="209B4FA7"/>
    <w:rsid w:val="225C60C1"/>
    <w:rsid w:val="226A5F11"/>
    <w:rsid w:val="2292790A"/>
    <w:rsid w:val="22DB5B2F"/>
    <w:rsid w:val="23042AD1"/>
    <w:rsid w:val="2333840E"/>
    <w:rsid w:val="23411E36"/>
    <w:rsid w:val="23860B96"/>
    <w:rsid w:val="23CB5BA3"/>
    <w:rsid w:val="23CD0024"/>
    <w:rsid w:val="240371BF"/>
    <w:rsid w:val="24056F84"/>
    <w:rsid w:val="242E3ACF"/>
    <w:rsid w:val="24D9609E"/>
    <w:rsid w:val="24E30305"/>
    <w:rsid w:val="24F133E8"/>
    <w:rsid w:val="251D5997"/>
    <w:rsid w:val="25746BE8"/>
    <w:rsid w:val="257C638F"/>
    <w:rsid w:val="25AC5366"/>
    <w:rsid w:val="26B66697"/>
    <w:rsid w:val="27050DA1"/>
    <w:rsid w:val="277A7AB2"/>
    <w:rsid w:val="28B135BA"/>
    <w:rsid w:val="28D126FD"/>
    <w:rsid w:val="28DD7743"/>
    <w:rsid w:val="29676040"/>
    <w:rsid w:val="29FD04D3"/>
    <w:rsid w:val="2A5C4DCB"/>
    <w:rsid w:val="2A6D3510"/>
    <w:rsid w:val="2A704DAF"/>
    <w:rsid w:val="2AF91248"/>
    <w:rsid w:val="2BAD11C0"/>
    <w:rsid w:val="2BFF7BC6"/>
    <w:rsid w:val="2C31056E"/>
    <w:rsid w:val="2C8A61B5"/>
    <w:rsid w:val="2CD59C95"/>
    <w:rsid w:val="2DB11743"/>
    <w:rsid w:val="2DF04E50"/>
    <w:rsid w:val="2EFD05E5"/>
    <w:rsid w:val="2F040D46"/>
    <w:rsid w:val="2F4F95CE"/>
    <w:rsid w:val="2FACAFDD"/>
    <w:rsid w:val="2FAE5751"/>
    <w:rsid w:val="2FB1A395"/>
    <w:rsid w:val="2FC00586"/>
    <w:rsid w:val="2FCF0B76"/>
    <w:rsid w:val="2FD9A7D8"/>
    <w:rsid w:val="306727B0"/>
    <w:rsid w:val="31276D09"/>
    <w:rsid w:val="312B1250"/>
    <w:rsid w:val="314F3DCD"/>
    <w:rsid w:val="31523460"/>
    <w:rsid w:val="3163566D"/>
    <w:rsid w:val="319F7F4E"/>
    <w:rsid w:val="31E63BA8"/>
    <w:rsid w:val="3234700A"/>
    <w:rsid w:val="3304709D"/>
    <w:rsid w:val="33DE0FDB"/>
    <w:rsid w:val="33DE1C53"/>
    <w:rsid w:val="33EF0EE7"/>
    <w:rsid w:val="340D366E"/>
    <w:rsid w:val="34362BC5"/>
    <w:rsid w:val="348D06FD"/>
    <w:rsid w:val="34991F21"/>
    <w:rsid w:val="34B4262E"/>
    <w:rsid w:val="35487054"/>
    <w:rsid w:val="3555351F"/>
    <w:rsid w:val="35E57F39"/>
    <w:rsid w:val="36483138"/>
    <w:rsid w:val="36AA5135"/>
    <w:rsid w:val="36BE0DA7"/>
    <w:rsid w:val="37133692"/>
    <w:rsid w:val="376B6AA6"/>
    <w:rsid w:val="376D39B2"/>
    <w:rsid w:val="37E16F03"/>
    <w:rsid w:val="37F53A3B"/>
    <w:rsid w:val="38D469F0"/>
    <w:rsid w:val="38E5105E"/>
    <w:rsid w:val="38F78389"/>
    <w:rsid w:val="390D133D"/>
    <w:rsid w:val="397BAF1F"/>
    <w:rsid w:val="39E7B272"/>
    <w:rsid w:val="39F620C1"/>
    <w:rsid w:val="39F7642F"/>
    <w:rsid w:val="39FF7B37"/>
    <w:rsid w:val="3A00614F"/>
    <w:rsid w:val="3A0379ED"/>
    <w:rsid w:val="3A3739CF"/>
    <w:rsid w:val="3AAB46ED"/>
    <w:rsid w:val="3AB79AF3"/>
    <w:rsid w:val="3AFDCB77"/>
    <w:rsid w:val="3B095AAC"/>
    <w:rsid w:val="3B7EF35A"/>
    <w:rsid w:val="3B911029"/>
    <w:rsid w:val="3B9FDB6C"/>
    <w:rsid w:val="3BF5BC2F"/>
    <w:rsid w:val="3BF7C23A"/>
    <w:rsid w:val="3BFF223E"/>
    <w:rsid w:val="3C1729E6"/>
    <w:rsid w:val="3C1852A6"/>
    <w:rsid w:val="3C6EC0A1"/>
    <w:rsid w:val="3CDB0824"/>
    <w:rsid w:val="3CEBA265"/>
    <w:rsid w:val="3CFE449C"/>
    <w:rsid w:val="3D6A7F9F"/>
    <w:rsid w:val="3D7E7F4D"/>
    <w:rsid w:val="3D98207C"/>
    <w:rsid w:val="3D9CF30A"/>
    <w:rsid w:val="3DFF5A3E"/>
    <w:rsid w:val="3E78745D"/>
    <w:rsid w:val="3E866D53"/>
    <w:rsid w:val="3E9B4698"/>
    <w:rsid w:val="3EAA0C92"/>
    <w:rsid w:val="3EAE30F0"/>
    <w:rsid w:val="3EEE77E9"/>
    <w:rsid w:val="3F394AF5"/>
    <w:rsid w:val="3FBE5714"/>
    <w:rsid w:val="3FD81BE8"/>
    <w:rsid w:val="3FDD8615"/>
    <w:rsid w:val="3FDFB2FF"/>
    <w:rsid w:val="3FF4CAE0"/>
    <w:rsid w:val="3FF75FAF"/>
    <w:rsid w:val="3FF7B227"/>
    <w:rsid w:val="40096C2B"/>
    <w:rsid w:val="411419E3"/>
    <w:rsid w:val="411A3B22"/>
    <w:rsid w:val="41847666"/>
    <w:rsid w:val="42D96239"/>
    <w:rsid w:val="433429C6"/>
    <w:rsid w:val="43FB7987"/>
    <w:rsid w:val="44473A29"/>
    <w:rsid w:val="448E07FB"/>
    <w:rsid w:val="44E268DA"/>
    <w:rsid w:val="457F4F6B"/>
    <w:rsid w:val="45A73923"/>
    <w:rsid w:val="46F42025"/>
    <w:rsid w:val="47290367"/>
    <w:rsid w:val="4737FB58"/>
    <w:rsid w:val="477D5002"/>
    <w:rsid w:val="47ECCB02"/>
    <w:rsid w:val="47FA6A3F"/>
    <w:rsid w:val="487E46E3"/>
    <w:rsid w:val="49351245"/>
    <w:rsid w:val="498867F3"/>
    <w:rsid w:val="49920446"/>
    <w:rsid w:val="49D7AE48"/>
    <w:rsid w:val="4A0A26D2"/>
    <w:rsid w:val="4A3F6C7E"/>
    <w:rsid w:val="4A5061C2"/>
    <w:rsid w:val="4A510301"/>
    <w:rsid w:val="4A5635EC"/>
    <w:rsid w:val="4A627F82"/>
    <w:rsid w:val="4A880D35"/>
    <w:rsid w:val="4B0E749A"/>
    <w:rsid w:val="4B4F25DA"/>
    <w:rsid w:val="4BBB4781"/>
    <w:rsid w:val="4BBF74EC"/>
    <w:rsid w:val="4BD709A5"/>
    <w:rsid w:val="4BDD9BFF"/>
    <w:rsid w:val="4BE068DB"/>
    <w:rsid w:val="4D006DCC"/>
    <w:rsid w:val="4D2C73DC"/>
    <w:rsid w:val="4D4D1254"/>
    <w:rsid w:val="4D577224"/>
    <w:rsid w:val="4DBF1CEB"/>
    <w:rsid w:val="4DBF6A6B"/>
    <w:rsid w:val="4DF6A672"/>
    <w:rsid w:val="4E2B70BB"/>
    <w:rsid w:val="4E335704"/>
    <w:rsid w:val="4E577EB0"/>
    <w:rsid w:val="4E86609F"/>
    <w:rsid w:val="4EAB630A"/>
    <w:rsid w:val="4ECE2238"/>
    <w:rsid w:val="4F7EA413"/>
    <w:rsid w:val="4F9111A0"/>
    <w:rsid w:val="4FAB812F"/>
    <w:rsid w:val="4FE9BD67"/>
    <w:rsid w:val="4FEB6B02"/>
    <w:rsid w:val="4FEE4C07"/>
    <w:rsid w:val="4FFB052F"/>
    <w:rsid w:val="50813118"/>
    <w:rsid w:val="513E2C61"/>
    <w:rsid w:val="51C63383"/>
    <w:rsid w:val="51E7619B"/>
    <w:rsid w:val="52C12376"/>
    <w:rsid w:val="532F6FE7"/>
    <w:rsid w:val="537E6D0A"/>
    <w:rsid w:val="53AB6B88"/>
    <w:rsid w:val="53F74C96"/>
    <w:rsid w:val="54B24092"/>
    <w:rsid w:val="55404C55"/>
    <w:rsid w:val="5583522D"/>
    <w:rsid w:val="55AE2AAB"/>
    <w:rsid w:val="56024BA5"/>
    <w:rsid w:val="56051FA0"/>
    <w:rsid w:val="562B51ED"/>
    <w:rsid w:val="56B75990"/>
    <w:rsid w:val="573C5E95"/>
    <w:rsid w:val="57AC6B77"/>
    <w:rsid w:val="57BD3DD4"/>
    <w:rsid w:val="57F9CD1E"/>
    <w:rsid w:val="58960D51"/>
    <w:rsid w:val="58A61A68"/>
    <w:rsid w:val="58EA204C"/>
    <w:rsid w:val="59751723"/>
    <w:rsid w:val="59771406"/>
    <w:rsid w:val="5A4F5EDF"/>
    <w:rsid w:val="5A673229"/>
    <w:rsid w:val="5AB126F6"/>
    <w:rsid w:val="5AF84792"/>
    <w:rsid w:val="5AF92295"/>
    <w:rsid w:val="5AF9D8E9"/>
    <w:rsid w:val="5AFC7FBA"/>
    <w:rsid w:val="5B215ACE"/>
    <w:rsid w:val="5B737EC3"/>
    <w:rsid w:val="5BA312A3"/>
    <w:rsid w:val="5BBF6411"/>
    <w:rsid w:val="5BDD38BD"/>
    <w:rsid w:val="5BDD79E6"/>
    <w:rsid w:val="5BEFC772"/>
    <w:rsid w:val="5BFF5DFC"/>
    <w:rsid w:val="5C4C0928"/>
    <w:rsid w:val="5CD71FC4"/>
    <w:rsid w:val="5D1F11B5"/>
    <w:rsid w:val="5D3647F9"/>
    <w:rsid w:val="5DA644D4"/>
    <w:rsid w:val="5DAE1B18"/>
    <w:rsid w:val="5DE7D9E5"/>
    <w:rsid w:val="5E785D0C"/>
    <w:rsid w:val="5ECEC941"/>
    <w:rsid w:val="5EFF8FC6"/>
    <w:rsid w:val="5F0934E8"/>
    <w:rsid w:val="5F5BA39A"/>
    <w:rsid w:val="5F7D3B79"/>
    <w:rsid w:val="5F7F4610"/>
    <w:rsid w:val="5F8A40E9"/>
    <w:rsid w:val="5FBF9FF3"/>
    <w:rsid w:val="5FC4123E"/>
    <w:rsid w:val="5FCD4E2C"/>
    <w:rsid w:val="5FE70BD8"/>
    <w:rsid w:val="5FEF394A"/>
    <w:rsid w:val="5FF67715"/>
    <w:rsid w:val="600056E2"/>
    <w:rsid w:val="60714E01"/>
    <w:rsid w:val="60DD5056"/>
    <w:rsid w:val="616E35A5"/>
    <w:rsid w:val="61CA71D5"/>
    <w:rsid w:val="61CD390C"/>
    <w:rsid w:val="61E909C7"/>
    <w:rsid w:val="62084BB7"/>
    <w:rsid w:val="6263077A"/>
    <w:rsid w:val="627EE9EA"/>
    <w:rsid w:val="63163A3E"/>
    <w:rsid w:val="634520A2"/>
    <w:rsid w:val="639E415F"/>
    <w:rsid w:val="63B23AA5"/>
    <w:rsid w:val="6421269A"/>
    <w:rsid w:val="647F5392"/>
    <w:rsid w:val="64A137DB"/>
    <w:rsid w:val="64E322C4"/>
    <w:rsid w:val="65A63EDC"/>
    <w:rsid w:val="65FB93B9"/>
    <w:rsid w:val="66154481"/>
    <w:rsid w:val="6633C463"/>
    <w:rsid w:val="66D87988"/>
    <w:rsid w:val="67D55B77"/>
    <w:rsid w:val="67EE7F84"/>
    <w:rsid w:val="685E3EBD"/>
    <w:rsid w:val="686F5F53"/>
    <w:rsid w:val="6914022D"/>
    <w:rsid w:val="69584DB0"/>
    <w:rsid w:val="696F3CB8"/>
    <w:rsid w:val="69A30B33"/>
    <w:rsid w:val="6A8219B9"/>
    <w:rsid w:val="6AAD4680"/>
    <w:rsid w:val="6AEA1A38"/>
    <w:rsid w:val="6AFFCEAF"/>
    <w:rsid w:val="6B361121"/>
    <w:rsid w:val="6B44313C"/>
    <w:rsid w:val="6B6317EA"/>
    <w:rsid w:val="6B96E9E6"/>
    <w:rsid w:val="6BCE57B5"/>
    <w:rsid w:val="6BFEA4DB"/>
    <w:rsid w:val="6BFFB662"/>
    <w:rsid w:val="6C066D46"/>
    <w:rsid w:val="6C4A05C8"/>
    <w:rsid w:val="6CFF4FB8"/>
    <w:rsid w:val="6D6BD6E0"/>
    <w:rsid w:val="6D77E73C"/>
    <w:rsid w:val="6D7D4DE5"/>
    <w:rsid w:val="6D9209E8"/>
    <w:rsid w:val="6DBF5E93"/>
    <w:rsid w:val="6DC42A14"/>
    <w:rsid w:val="6DCA0B2C"/>
    <w:rsid w:val="6DFF077E"/>
    <w:rsid w:val="6E217E67"/>
    <w:rsid w:val="6E22598D"/>
    <w:rsid w:val="6E352BE2"/>
    <w:rsid w:val="6E4A6CB3"/>
    <w:rsid w:val="6E7206C2"/>
    <w:rsid w:val="6E7E3605"/>
    <w:rsid w:val="6E7FDCC7"/>
    <w:rsid w:val="6E971ED7"/>
    <w:rsid w:val="6EBC7B8F"/>
    <w:rsid w:val="6EBC7BBF"/>
    <w:rsid w:val="6ED6A62E"/>
    <w:rsid w:val="6EDA396D"/>
    <w:rsid w:val="6EE00B15"/>
    <w:rsid w:val="6EE737B2"/>
    <w:rsid w:val="6EEB2329"/>
    <w:rsid w:val="6EECE67A"/>
    <w:rsid w:val="6F1632A2"/>
    <w:rsid w:val="6F6F90A8"/>
    <w:rsid w:val="6F6FB3EB"/>
    <w:rsid w:val="6F8731EA"/>
    <w:rsid w:val="6FBC2ADD"/>
    <w:rsid w:val="6FD57C00"/>
    <w:rsid w:val="6FEFFFD8"/>
    <w:rsid w:val="6FF5CC65"/>
    <w:rsid w:val="6FFB47EC"/>
    <w:rsid w:val="6FFF034A"/>
    <w:rsid w:val="70820965"/>
    <w:rsid w:val="70832927"/>
    <w:rsid w:val="70AB7EBB"/>
    <w:rsid w:val="70B14DA6"/>
    <w:rsid w:val="70C955ED"/>
    <w:rsid w:val="70DD7023"/>
    <w:rsid w:val="712A28F1"/>
    <w:rsid w:val="712B7944"/>
    <w:rsid w:val="715C0E4B"/>
    <w:rsid w:val="715F7D32"/>
    <w:rsid w:val="718C1A9B"/>
    <w:rsid w:val="71924BD7"/>
    <w:rsid w:val="71AD7C63"/>
    <w:rsid w:val="71FFD401"/>
    <w:rsid w:val="72233669"/>
    <w:rsid w:val="72734D90"/>
    <w:rsid w:val="72744794"/>
    <w:rsid w:val="72B37FC3"/>
    <w:rsid w:val="72BF6C9F"/>
    <w:rsid w:val="72DD00D4"/>
    <w:rsid w:val="72DE7E33"/>
    <w:rsid w:val="72E64027"/>
    <w:rsid w:val="732D7940"/>
    <w:rsid w:val="7332FE48"/>
    <w:rsid w:val="73AD73D5"/>
    <w:rsid w:val="73B6EB34"/>
    <w:rsid w:val="73E7745D"/>
    <w:rsid w:val="73FA497D"/>
    <w:rsid w:val="744731E5"/>
    <w:rsid w:val="74BBD01D"/>
    <w:rsid w:val="74ED5379"/>
    <w:rsid w:val="750C4DA2"/>
    <w:rsid w:val="75232716"/>
    <w:rsid w:val="7553467E"/>
    <w:rsid w:val="755D53DF"/>
    <w:rsid w:val="75C842CE"/>
    <w:rsid w:val="75DEEEC2"/>
    <w:rsid w:val="767F479D"/>
    <w:rsid w:val="76C3673C"/>
    <w:rsid w:val="76E3355F"/>
    <w:rsid w:val="76F742AF"/>
    <w:rsid w:val="76F7BE7D"/>
    <w:rsid w:val="76FF5125"/>
    <w:rsid w:val="773570D3"/>
    <w:rsid w:val="77597F31"/>
    <w:rsid w:val="776F6FFA"/>
    <w:rsid w:val="7777A522"/>
    <w:rsid w:val="77858688"/>
    <w:rsid w:val="778769C8"/>
    <w:rsid w:val="779733A7"/>
    <w:rsid w:val="77CB741A"/>
    <w:rsid w:val="77D7BE3A"/>
    <w:rsid w:val="77DC22F5"/>
    <w:rsid w:val="78136137"/>
    <w:rsid w:val="78870226"/>
    <w:rsid w:val="78D37D30"/>
    <w:rsid w:val="78EE6B97"/>
    <w:rsid w:val="79153478"/>
    <w:rsid w:val="797E3A6C"/>
    <w:rsid w:val="79CF70E2"/>
    <w:rsid w:val="79D7FD79"/>
    <w:rsid w:val="79E75806"/>
    <w:rsid w:val="79EE5BA4"/>
    <w:rsid w:val="7A4B6AC4"/>
    <w:rsid w:val="7A53759E"/>
    <w:rsid w:val="7A641148"/>
    <w:rsid w:val="7A6F8BF5"/>
    <w:rsid w:val="7A8550AF"/>
    <w:rsid w:val="7A894339"/>
    <w:rsid w:val="7ACF82B5"/>
    <w:rsid w:val="7AFF28C9"/>
    <w:rsid w:val="7AFF72A0"/>
    <w:rsid w:val="7AFF7572"/>
    <w:rsid w:val="7B30793B"/>
    <w:rsid w:val="7B6C7DFB"/>
    <w:rsid w:val="7B7517F2"/>
    <w:rsid w:val="7B7D76A7"/>
    <w:rsid w:val="7B971768"/>
    <w:rsid w:val="7BAE2FE2"/>
    <w:rsid w:val="7BAF6951"/>
    <w:rsid w:val="7BBFBED0"/>
    <w:rsid w:val="7BC3E394"/>
    <w:rsid w:val="7BF3FE4C"/>
    <w:rsid w:val="7BFB5035"/>
    <w:rsid w:val="7BFDE17E"/>
    <w:rsid w:val="7CBFC87B"/>
    <w:rsid w:val="7CFE0F48"/>
    <w:rsid w:val="7D1F7C67"/>
    <w:rsid w:val="7D242473"/>
    <w:rsid w:val="7D3DE31C"/>
    <w:rsid w:val="7D6E28DE"/>
    <w:rsid w:val="7D7EC23E"/>
    <w:rsid w:val="7D7F8A13"/>
    <w:rsid w:val="7D9F2B56"/>
    <w:rsid w:val="7DBBCB01"/>
    <w:rsid w:val="7DC765D0"/>
    <w:rsid w:val="7DDB0EE0"/>
    <w:rsid w:val="7DFF51D8"/>
    <w:rsid w:val="7E634199"/>
    <w:rsid w:val="7E8835EA"/>
    <w:rsid w:val="7E8ADEBF"/>
    <w:rsid w:val="7EEF11D3"/>
    <w:rsid w:val="7EF78C20"/>
    <w:rsid w:val="7F0C5FC9"/>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next w:val="1"/>
    <w:qFormat/>
    <w:uiPriority w:val="0"/>
    <w:pPr>
      <w:ind w:firstLine="680"/>
    </w:pPr>
    <w:rPr>
      <w:rFonts w:eastAsia="宋体"/>
      <w:szCs w:val="24"/>
    </w:rPr>
  </w:style>
  <w:style w:type="paragraph" w:styleId="6">
    <w:name w:val="index 6"/>
    <w:basedOn w:val="1"/>
    <w:next w:val="1"/>
    <w:qFormat/>
    <w:uiPriority w:val="99"/>
    <w:pPr>
      <w:ind w:left="2100"/>
    </w:pPr>
    <w:rPr>
      <w:rFonts w:eastAsia="黑体"/>
    </w:rPr>
  </w:style>
  <w:style w:type="paragraph" w:styleId="7">
    <w:name w:val="Body Text"/>
    <w:basedOn w:val="1"/>
    <w:link w:val="28"/>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99"/>
    <w:rPr>
      <w:rFonts w:ascii="宋体" w:hAnsi="Courier New"/>
      <w:szCs w:val="21"/>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8"/>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3"/>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2"/>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2"/>
    <w:qFormat/>
    <w:uiPriority w:val="9"/>
    <w:rPr>
      <w:rFonts w:ascii="Times New Roman" w:hAnsi="Times New Roman"/>
      <w:b/>
      <w:bCs/>
      <w:kern w:val="44"/>
      <w:sz w:val="44"/>
      <w:szCs w:val="44"/>
    </w:rPr>
  </w:style>
  <w:style w:type="character" w:customStyle="1" w:styleId="32">
    <w:name w:val="标题 2 Char"/>
    <w:basedOn w:val="19"/>
    <w:link w:val="3"/>
    <w:qFormat/>
    <w:uiPriority w:val="9"/>
    <w:rPr>
      <w:rFonts w:asciiTheme="majorHAnsi" w:hAnsiTheme="majorHAnsi" w:eastAsiaTheme="majorEastAsia" w:cstheme="majorBidi"/>
      <w:b/>
      <w:bCs/>
      <w:kern w:val="2"/>
      <w:sz w:val="32"/>
      <w:szCs w:val="32"/>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9"/>
    <w:link w:val="11"/>
    <w:semiHidden/>
    <w:qFormat/>
    <w:uiPriority w:val="99"/>
    <w:rPr>
      <w:rFonts w:ascii="Times New Roman" w:hAnsi="Times New Roman"/>
      <w:kern w:val="2"/>
      <w:sz w:val="18"/>
      <w:szCs w:val="18"/>
    </w:rPr>
  </w:style>
  <w:style w:type="character" w:customStyle="1" w:styleId="35">
    <w:name w:val="标题 3 Char"/>
    <w:basedOn w:val="19"/>
    <w:link w:val="4"/>
    <w:qFormat/>
    <w:uiPriority w:val="9"/>
    <w:rPr>
      <w:rFonts w:ascii="Times New Roman" w:hAnsi="Times New Roman"/>
      <w:b/>
      <w:bCs/>
      <w:kern w:val="2"/>
      <w:sz w:val="32"/>
      <w:szCs w:val="32"/>
    </w:rPr>
  </w:style>
  <w:style w:type="paragraph" w:customStyle="1" w:styleId="3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正文2"/>
    <w:basedOn w:val="1"/>
    <w:next w:val="1"/>
    <w:qFormat/>
    <w:uiPriority w:val="0"/>
    <w:rPr>
      <w:rFonts w:ascii="仿宋_GB2312" w:eastAsia="仿宋_GB2312"/>
      <w:sz w:val="32"/>
      <w:szCs w:val="20"/>
    </w:rPr>
  </w:style>
  <w:style w:type="character" w:customStyle="1" w:styleId="39">
    <w:name w:val="Subtle Emphasis"/>
    <w:qFormat/>
    <w:uiPriority w:val="19"/>
    <w:rPr>
      <w:i/>
      <w:iCs/>
      <w:color w:val="808080"/>
    </w:rPr>
  </w:style>
  <w:style w:type="paragraph" w:customStyle="1" w:styleId="40">
    <w:name w:val="常用样式（方正仿宋简）"/>
    <w:basedOn w:val="1"/>
    <w:next w:val="6"/>
    <w:qFormat/>
    <w:uiPriority w:val="99"/>
    <w:pPr>
      <w:spacing w:line="560" w:lineRule="exact"/>
      <w:ind w:firstLine="200" w:firstLineChars="200"/>
    </w:pPr>
    <w:rPr>
      <w:rFonts w:eastAsia="方正仿宋简体"/>
      <w:sz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4920;%20&#22312;%20&#21046;&#20316;&#20915;&#31639;&#22270;%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图1：收、支决算总计变动情况</a:t>
            </a:r>
          </a:p>
        </c:rich>
      </c:tx>
      <c:layout/>
      <c:overlay val="0"/>
      <c:spPr>
        <a:noFill/>
        <a:ln>
          <a:noFill/>
        </a:ln>
        <a:effectLst/>
      </c:spPr>
    </c:title>
    <c:autoTitleDeleted val="0"/>
    <c:plotArea>
      <c:layout>
        <c:manualLayout>
          <c:layoutTarget val="inner"/>
          <c:xMode val="edge"/>
          <c:yMode val="edge"/>
          <c:x val="0.0692"/>
          <c:y val="0.1225"/>
          <c:w val="0.905175"/>
          <c:h val="0.7164"/>
        </c:manualLayout>
      </c:layout>
      <c:barChart>
        <c:barDir val="col"/>
        <c:grouping val="clustered"/>
        <c:varyColors val="0"/>
        <c:ser>
          <c:idx val="0"/>
          <c:order val="0"/>
          <c:tx>
            <c:strRef>
              <c:f>Sheet1!$B$1</c:f>
              <c:strCache>
                <c:ptCount val="1"/>
                <c:pt idx="0">
                  <c:v>2022年</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877.47</c:v>
                </c:pt>
              </c:numCache>
            </c:numRef>
          </c:val>
        </c:ser>
        <c:ser>
          <c:idx val="1"/>
          <c:order val="1"/>
          <c:tx>
            <c:strRef>
              <c:f>Sheet1!$C$1</c:f>
              <c:strCache>
                <c:ptCount val="1"/>
                <c:pt idx="0">
                  <c:v>2023年</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874.05</c:v>
                </c:pt>
              </c:numCache>
            </c:numRef>
          </c:val>
        </c:ser>
        <c:dLbls>
          <c:showLegendKey val="0"/>
          <c:showVal val="0"/>
          <c:showCatName val="0"/>
          <c:showSerName val="0"/>
          <c:showPercent val="0"/>
          <c:showBubbleSize val="0"/>
        </c:dLbls>
        <c:gapWidth val="246"/>
        <c:overlap val="-28"/>
        <c:axId val="809874696"/>
        <c:axId val="87235809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invertIfNegative val="0"/>
                <c:dLbls>
                  <c:delete val="1"/>
                </c:dLbls>
                <c:cat>
                  <c:numRef>
                    <c:extLst>
                      <c:ext uri="{02D57815-91ED-43cb-92C2-25804820EDAC}">
                        <c15:fullRef>
                          <c15:sqref/>
                        </c15:fullRef>
                        <c15:formulaRef>
                          <c15:sqref>Sheet1!$A$2</c15:sqref>
                        </c15:formulaRef>
                      </c:ext>
                    </c:extLst>
                    <c:numCache>
                      <c:formatCode>General</c:formatCode>
                      <c:ptCount val="1"/>
                    </c:numCache>
                  </c:numRef>
                </c:cat>
              </c15:ser>
            </c15:filteredBarSeries>
          </c:ext>
        </c:extLst>
      </c:barChart>
      <c:catAx>
        <c:axId val="8098746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58098"/>
        <c:crosses val="autoZero"/>
        <c:auto val="1"/>
        <c:lblAlgn val="ctr"/>
        <c:lblOffset val="100"/>
        <c:noMultiLvlLbl val="0"/>
      </c:catAx>
      <c:valAx>
        <c:axId val="87235809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8746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图表2：收入决算结构图</a:t>
            </a:r>
          </a:p>
        </c:rich>
      </c:tx>
      <c:layout>
        <c:manualLayout>
          <c:xMode val="edge"/>
          <c:yMode val="edge"/>
          <c:x val="0.314279955228014"/>
          <c:y val="0.035637166224311"/>
        </c:manualLayout>
      </c:layout>
      <c:overlay val="0"/>
      <c:spPr>
        <a:noFill/>
        <a:ln>
          <a:noFill/>
        </a:ln>
        <a:effectLst/>
      </c:spPr>
    </c:title>
    <c:autoTitleDeleted val="0"/>
    <c:plotArea>
      <c:layout/>
      <c:pieChart>
        <c:varyColors val="1"/>
        <c:ser>
          <c:idx val="0"/>
          <c:order val="0"/>
          <c:tx>
            <c:strRef>
              <c:f>'[工作表 在 制作决算图 工作表.xlsx]Sheet1'!$B$1</c:f>
              <c:strCache>
                <c:ptCount val="1"/>
                <c:pt idx="0">
                  <c:v>列1</c:v>
                </c:pt>
              </c:strCache>
            </c:strRef>
          </c:tx>
          <c:spPr/>
          <c:explosion val="0"/>
          <c:dPt>
            <c:idx val="0"/>
            <c:bubble3D val="0"/>
            <c:explosion val="0"/>
            <c:spPr>
              <a:solidFill>
                <a:schemeClr val="accent1">
                  <a:shade val="76667"/>
                </a:schemeClr>
              </a:solidFill>
              <a:ln w="19050">
                <a:solidFill>
                  <a:schemeClr val="lt1"/>
                </a:solidFill>
              </a:ln>
              <a:effectLst/>
            </c:spPr>
          </c:dPt>
          <c:dPt>
            <c:idx val="1"/>
            <c:bubble3D val="0"/>
            <c:explosion val="0"/>
            <c:spPr>
              <a:solidFill>
                <a:schemeClr val="accent2">
                  <a:shade val="76667"/>
                </a:schemeClr>
              </a:solidFill>
              <a:ln w="19050">
                <a:solidFill>
                  <a:schemeClr val="lt1"/>
                </a:solidFill>
              </a:ln>
              <a:effectLst/>
            </c:spPr>
          </c:dPt>
          <c:dPt>
            <c:idx val="2"/>
            <c:bubble3D val="0"/>
            <c:explosion val="0"/>
            <c:spPr>
              <a:solidFill>
                <a:schemeClr val="accent3">
                  <a:shade val="76667"/>
                </a:schemeClr>
              </a:solidFill>
              <a:ln w="19050">
                <a:solidFill>
                  <a:schemeClr val="lt1"/>
                </a:solidFill>
              </a:ln>
              <a:effectLst/>
            </c:spPr>
          </c:dPt>
          <c:dPt>
            <c:idx val="3"/>
            <c:bubble3D val="0"/>
            <c:explosion val="0"/>
            <c:spPr>
              <a:solidFill>
                <a:schemeClr val="accent4">
                  <a:shade val="76667"/>
                </a:schemeClr>
              </a:solidFill>
              <a:ln w="19050">
                <a:solidFill>
                  <a:schemeClr val="lt1"/>
                </a:solidFill>
              </a:ln>
              <a:effectLst/>
            </c:spPr>
          </c:dPt>
          <c:dPt>
            <c:idx val="4"/>
            <c:bubble3D val="0"/>
            <c:explosion val="0"/>
            <c:spPr>
              <a:solidFill>
                <a:schemeClr val="accent5">
                  <a:shade val="76667"/>
                </a:schemeClr>
              </a:solidFill>
              <a:ln w="19050">
                <a:solidFill>
                  <a:schemeClr val="lt1"/>
                </a:solidFill>
              </a:ln>
              <a:effectLst/>
            </c:spPr>
          </c:dPt>
          <c:dPt>
            <c:idx val="5"/>
            <c:bubble3D val="0"/>
            <c:explosion val="0"/>
            <c:spPr>
              <a:solidFill>
                <a:schemeClr val="accent6">
                  <a:shade val="76667"/>
                </a:schemeClr>
              </a:solidFill>
              <a:ln w="19050">
                <a:solidFill>
                  <a:schemeClr val="lt1"/>
                </a:solidFill>
              </a:ln>
              <a:effectLst/>
            </c:spPr>
          </c:dPt>
          <c:dPt>
            <c:idx val="6"/>
            <c:bubble3D val="0"/>
            <c:explosion val="0"/>
            <c:spPr>
              <a:solidFill>
                <a:schemeClr val="accent1">
                  <a:tint val="76667"/>
                </a:schemeClr>
              </a:solidFill>
              <a:ln w="19050">
                <a:solidFill>
                  <a:schemeClr val="lt1"/>
                </a:solidFill>
              </a:ln>
              <a:effectLst/>
            </c:spPr>
          </c:dPt>
          <c:dPt>
            <c:idx val="7"/>
            <c:bubble3D val="0"/>
            <c:explosion val="0"/>
            <c:spPr>
              <a:solidFill>
                <a:schemeClr val="accent2">
                  <a:tint val="76667"/>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874.05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[01956a3f1]Sheet1!$A$2:$A$9</c:f>
              <c:strCache>
                <c:ptCount val="8"/>
                <c:pt idx="0">
                  <c:v>一般公共预算财政收入</c:v>
                </c:pt>
                <c:pt idx="1">
                  <c:v>政府性基金预算财政拨款收入</c:v>
                </c:pt>
                <c:pt idx="2">
                  <c:v>国有资本经营预算财政收入</c:v>
                </c:pt>
                <c:pt idx="3">
                  <c:v>上级补助收入</c:v>
                </c:pt>
                <c:pt idx="4">
                  <c:v>事业收入</c:v>
                </c:pt>
                <c:pt idx="5">
                  <c:v>经营收入</c:v>
                </c:pt>
                <c:pt idx="6">
                  <c:v>附属单位上缴收入</c:v>
                </c:pt>
                <c:pt idx="7">
                  <c:v>其他收入</c:v>
                </c:pt>
              </c:strCache>
            </c:strRef>
          </c:cat>
          <c:val>
            <c:numRef>
              <c:f>[01956a3f1]Sheet1!$B$2:$B$9</c:f>
              <c:numCache>
                <c:formatCode>General</c:formatCode>
                <c:ptCount val="8"/>
                <c:pt idx="0">
                  <c:v>616.54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478624535315985"/>
          <c:y val="0.767694697137786"/>
          <c:w val="0.904275092936803"/>
          <c:h val="0.1468826270246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t>：支出决算结构图</a:t>
            </a:r>
          </a:p>
        </c:rich>
      </c:tx>
      <c:layout>
        <c:manualLayout>
          <c:xMode val="edge"/>
          <c:yMode val="edge"/>
          <c:x val="0.36175"/>
          <c:y val="0.0325"/>
        </c:manualLayout>
      </c:layout>
      <c:overlay val="0"/>
      <c:spPr>
        <a:noFill/>
        <a:ln>
          <a:noFill/>
        </a:ln>
        <a:effectLst/>
      </c:spPr>
    </c:title>
    <c:autoTitleDeleted val="0"/>
    <c:plotArea>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468.99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938404057861275"/>
                  <c:y val="0.0064886864668847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405.06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397.52</c:v>
                </c:pt>
                <c:pt idx="1">
                  <c:v>281.57</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t>：财政拨款收、支决算总计变动情况</a:t>
            </a:r>
          </a:p>
        </c:rich>
      </c:tx>
      <c:layout>
        <c:manualLayout>
          <c:xMode val="edge"/>
          <c:yMode val="edge"/>
          <c:x val="0.164250037255284"/>
          <c:y val="0.00740269410410885"/>
        </c:manualLayout>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2022年</c:v>
                </c:pt>
                <c:pt idx="1">
                  <c:v>2023年</c:v>
                </c:pt>
              </c:strCache>
            </c:strRef>
          </c:cat>
          <c:val>
            <c:numRef>
              <c:f>Sheet1!$B$1:$B$2</c:f>
              <c:numCache>
                <c:formatCode>General</c:formatCode>
                <c:ptCount val="2"/>
                <c:pt idx="0">
                  <c:v>877.47</c:v>
                </c:pt>
                <c:pt idx="1">
                  <c:v>874.05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Sheet1!$A$1:$A$2</c:f>
              <c:strCache>
                <c:ptCount val="2"/>
                <c:pt idx="0">
                  <c:v>2022年</c:v>
                </c:pt>
                <c:pt idx="1">
                  <c:v>2023年</c:v>
                </c:pt>
              </c:strCache>
            </c:strRef>
          </c:cat>
          <c:val>
            <c:numRef>
              <c:f>Sheet1!$C$1:$C$2</c:f>
              <c:numCache>
                <c:formatCode>General</c:formatCode>
                <c:ptCount val="2"/>
              </c:numCache>
            </c:numRef>
          </c:val>
        </c:ser>
        <c:dLbls>
          <c:showLegendKey val="0"/>
          <c:showVal val="0"/>
          <c:showCatName val="0"/>
          <c:showSerName val="0"/>
          <c:showPercent val="0"/>
          <c:showBubbleSize val="0"/>
        </c:dLbls>
        <c:gapWidth val="219"/>
        <c:overlap val="-27"/>
        <c:axId val="36403487"/>
        <c:axId val="17459576"/>
      </c:barChart>
      <c:catAx>
        <c:axId val="364034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59576"/>
        <c:crosses val="autoZero"/>
        <c:auto val="1"/>
        <c:lblAlgn val="ctr"/>
        <c:lblOffset val="100"/>
        <c:noMultiLvlLbl val="0"/>
      </c:catAx>
      <c:valAx>
        <c:axId val="17459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40348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t>：一般公共预算财政拨款支出决算变动情况</a:t>
            </a:r>
          </a:p>
        </c:rich>
      </c:tx>
      <c:layout>
        <c:manualLayout>
          <c:xMode val="edge"/>
          <c:yMode val="edge"/>
          <c:x val="0.164250037255284"/>
          <c:y val="0.00740269410410885"/>
        </c:manualLayout>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2022年一般公共预算财政拨款支出</c:v>
                </c:pt>
                <c:pt idx="1">
                  <c:v>2023年一般公共预算财政拨款支出</c:v>
                </c:pt>
              </c:strCache>
            </c:strRef>
          </c:cat>
          <c:val>
            <c:numRef>
              <c:f>Sheet1!$B$1:$B$2</c:f>
              <c:numCache>
                <c:formatCode>General</c:formatCode>
                <c:ptCount val="2"/>
                <c:pt idx="0">
                  <c:v>877.47</c:v>
                </c:pt>
                <c:pt idx="1">
                  <c:v>874.05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Sheet1!$A$1:$A$2</c:f>
              <c:strCache>
                <c:ptCount val="2"/>
                <c:pt idx="0">
                  <c:v>2022年一般公共预算财政拨款支出</c:v>
                </c:pt>
                <c:pt idx="1">
                  <c:v>2023年一般公共预算财政拨款支出</c:v>
                </c:pt>
              </c:strCache>
            </c:strRef>
          </c:cat>
          <c:val>
            <c:numRef>
              <c:f>Sheet1!$C$1:$C$2</c:f>
              <c:numCache>
                <c:formatCode>General</c:formatCode>
                <c:ptCount val="2"/>
              </c:numCache>
            </c:numRef>
          </c:val>
        </c:ser>
        <c:dLbls>
          <c:showLegendKey val="0"/>
          <c:showVal val="0"/>
          <c:showCatName val="0"/>
          <c:showSerName val="0"/>
          <c:showPercent val="0"/>
          <c:showBubbleSize val="0"/>
        </c:dLbls>
        <c:gapWidth val="219"/>
        <c:overlap val="-27"/>
        <c:axId val="36403487"/>
        <c:axId val="17459576"/>
      </c:barChart>
      <c:catAx>
        <c:axId val="364034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59576"/>
        <c:crosses val="autoZero"/>
        <c:auto val="1"/>
        <c:lblAlgn val="ctr"/>
        <c:lblOffset val="100"/>
        <c:noMultiLvlLbl val="0"/>
      </c:catAx>
      <c:valAx>
        <c:axId val="17459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40348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t>：一般公共预算财政拨款支出决算结构</a:t>
            </a:r>
          </a:p>
        </c:rich>
      </c:tx>
      <c:layout/>
      <c:overlay val="0"/>
      <c:spPr>
        <a:noFill/>
        <a:ln>
          <a:noFill/>
        </a:ln>
        <a:effectLst/>
      </c:spPr>
    </c:title>
    <c:autoTitleDeleted val="0"/>
    <c:plotArea>
      <c:layout>
        <c:manualLayout>
          <c:layoutTarget val="inner"/>
          <c:xMode val="edge"/>
          <c:yMode val="edge"/>
          <c:x val="0.28059"/>
          <c:y val="0.169453333333333"/>
          <c:w val="0.44132"/>
          <c:h val="0.588426666666667"/>
        </c:manualLayout>
      </c:layout>
      <c:pieChart>
        <c:varyColors val="1"/>
        <c:ser>
          <c:idx val="0"/>
          <c:order val="0"/>
          <c:tx>
            <c:strRef>
              <c:f>Sheet1!$B$1</c:f>
              <c:strCache>
                <c:ptCount val="1"/>
                <c:pt idx="0">
                  <c:v>列1</c:v>
                </c:pt>
              </c:strCache>
            </c:strRef>
          </c:tx>
          <c:spPr/>
          <c:explosion val="0"/>
          <c:dPt>
            <c:idx val="0"/>
            <c:bubble3D val="0"/>
            <c:spPr>
              <a:solidFill>
                <a:schemeClr val="accent6"/>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1">
                  <a:lumMod val="75000"/>
                </a:schemeClr>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1375"/>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701.17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125.26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0491723675441716"/>
                  <c:y val="-0.01090362165210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21.88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0906375356788899"/>
                  <c:y val="-0.02165623463647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89397129281689"/>
                  <c:y val="-0.012610736827029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25.74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一般公共服务类支出</c:v>
                </c:pt>
                <c:pt idx="1">
                  <c:v>教育支出</c:v>
                </c:pt>
                <c:pt idx="2">
                  <c:v>科学技术类支出</c:v>
                </c:pt>
                <c:pt idx="3">
                  <c:v>社会保障和就业支出</c:v>
                </c:pt>
                <c:pt idx="4">
                  <c:v>卫生与健康支出</c:v>
                </c:pt>
                <c:pt idx="5">
                  <c:v>国土海洋气象等支出</c:v>
                </c:pt>
                <c:pt idx="6">
                  <c:v>住房保障支出</c:v>
                </c:pt>
              </c:strCache>
            </c:strRef>
          </c:cat>
          <c:val>
            <c:numRef>
              <c:f>Sheet1!$B$2:$B$8</c:f>
              <c:numCache>
                <c:formatCode>General</c:formatCode>
                <c:ptCount val="7"/>
                <c:pt idx="2">
                  <c:v>707.91</c:v>
                </c:pt>
                <c:pt idx="3">
                  <c:v>128.01</c:v>
                </c:pt>
                <c:pt idx="4">
                  <c:v>19.61</c:v>
                </c:pt>
                <c:pt idx="6">
                  <c:v>21.94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7</a:t>
            </a:r>
            <a:r>
              <a:t>：“三公”经费财政拨款支出结构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0338954111150804"/>
                  <c:y val="-0.0089381878043524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7.41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因公出国（镜）</c:v>
                </c:pt>
                <c:pt idx="1">
                  <c:v>公务用车购置费</c:v>
                </c:pt>
                <c:pt idx="2">
                  <c:v>公务用车运行维护费</c:v>
                </c:pt>
                <c:pt idx="3">
                  <c:v>公务接待费</c:v>
                </c:pt>
              </c:strCache>
            </c:strRef>
          </c:cat>
          <c:val>
            <c:numRef>
              <c:f>Sheet1!$B$2:$B$5</c:f>
              <c:numCache>
                <c:formatCode>General</c:formatCode>
                <c:ptCount val="4"/>
                <c:pt idx="1">
                  <c:v>0</c:v>
                </c:pt>
                <c:pt idx="2">
                  <c:v>0.19</c:v>
                </c:pt>
                <c:pt idx="3">
                  <c:v>0.15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96</Pages>
  <Words>55098</Words>
  <Characters>59745</Characters>
  <Lines>100</Lines>
  <Paragraphs>28</Paragraphs>
  <TotalTime>3</TotalTime>
  <ScaleCrop>false</ScaleCrop>
  <LinksUpToDate>false</LinksUpToDate>
  <CharactersWithSpaces>60091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塞下曲</cp:lastModifiedBy>
  <cp:lastPrinted>2024-10-09T03:23:12Z</cp:lastPrinted>
  <dcterms:modified xsi:type="dcterms:W3CDTF">2024-10-09T03:39:07Z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712410361A684511A2E6DBF56EA70593_12</vt:lpwstr>
  </property>
</Properties>
</file>