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26CC5">
      <w:pPr>
        <w:spacing w:line="600" w:lineRule="exact"/>
        <w:jc w:val="center"/>
        <w:outlineLvl w:val="9"/>
        <w:rPr>
          <w:rFonts w:ascii="方正小标宋简体" w:hAnsi="宋体" w:eastAsia="方正小标宋简体"/>
          <w:sz w:val="72"/>
          <w:szCs w:val="72"/>
        </w:rPr>
      </w:pPr>
      <w:bookmarkStart w:id="0" w:name="_Toc15377193"/>
      <w:bookmarkStart w:id="1" w:name="_Toc15396597"/>
      <w:bookmarkStart w:id="2" w:name="_Toc15378441"/>
      <w:bookmarkStart w:id="3" w:name="_Toc15377425"/>
      <w:bookmarkStart w:id="4" w:name="_Toc15396475"/>
      <w:bookmarkStart w:id="5" w:name="_Toc15306267"/>
    </w:p>
    <w:p w14:paraId="27EA0C8A">
      <w:pPr>
        <w:pStyle w:val="2"/>
        <w:spacing w:before="93"/>
      </w:pPr>
    </w:p>
    <w:p w14:paraId="40F18DB0">
      <w:pPr>
        <w:spacing w:line="600" w:lineRule="exact"/>
        <w:jc w:val="center"/>
        <w:outlineLvl w:val="9"/>
        <w:rPr>
          <w:rFonts w:ascii="方正小标宋简体" w:hAnsi="宋体" w:eastAsia="方正小标宋简体"/>
          <w:sz w:val="72"/>
          <w:szCs w:val="72"/>
        </w:rPr>
      </w:pPr>
    </w:p>
    <w:p w14:paraId="4F1F05D0">
      <w:pPr>
        <w:spacing w:line="600" w:lineRule="exact"/>
        <w:jc w:val="center"/>
        <w:outlineLvl w:val="9"/>
        <w:rPr>
          <w:rFonts w:ascii="方正小标宋简体" w:hAnsi="宋体" w:eastAsia="方正小标宋简体"/>
          <w:sz w:val="72"/>
          <w:szCs w:val="72"/>
        </w:rPr>
      </w:pPr>
    </w:p>
    <w:p w14:paraId="6857C7A2">
      <w:pPr>
        <w:adjustRightInd w:val="0"/>
        <w:snapToGrid w:val="0"/>
        <w:spacing w:line="360" w:lineRule="auto"/>
        <w:jc w:val="center"/>
        <w:outlineLvl w:val="9"/>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2024</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14:paraId="05C8344E">
      <w:pPr>
        <w:adjustRightInd w:val="0"/>
        <w:snapToGrid w:val="0"/>
        <w:spacing w:line="360" w:lineRule="auto"/>
        <w:jc w:val="center"/>
        <w:outlineLvl w:val="9"/>
        <w:rPr>
          <w:rFonts w:ascii="方正小标宋简体" w:hAnsi="方正小标宋简体" w:eastAsia="方正小标宋简体" w:cs="方正小标宋简体"/>
          <w:sz w:val="72"/>
          <w:szCs w:val="72"/>
        </w:rPr>
      </w:pPr>
      <w:bookmarkStart w:id="6" w:name="_Toc15378442"/>
      <w:bookmarkStart w:id="7" w:name="_Toc15396476"/>
      <w:bookmarkStart w:id="8" w:name="_Toc15377194"/>
      <w:bookmarkStart w:id="9" w:name="_Toc15306268"/>
      <w:bookmarkStart w:id="10" w:name="_Toc15377426"/>
      <w:bookmarkStart w:id="11" w:name="_Toc15396598"/>
      <w:r>
        <w:rPr>
          <w:rFonts w:hint="eastAsia" w:ascii="方正小标宋简体" w:hAnsi="方正小标宋简体" w:eastAsia="方正小标宋简体" w:cs="方正小标宋简体"/>
          <w:sz w:val="72"/>
          <w:szCs w:val="72"/>
          <w:lang w:eastAsia="zh-CN"/>
        </w:rPr>
        <w:t>凉山州科学技术协会</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14:paraId="41AAB890">
      <w:pPr>
        <w:widowControl/>
        <w:jc w:val="center"/>
        <w:rPr>
          <w:rFonts w:ascii="方正小标宋简体" w:hAnsi="宋体" w:eastAsia="方正小标宋简体"/>
          <w:sz w:val="36"/>
          <w:szCs w:val="36"/>
        </w:rPr>
        <w:sectPr>
          <w:headerReference r:id="rId3" w:type="default"/>
          <w:footerReference r:id="rId4" w:type="default"/>
          <w:pgSz w:w="11906" w:h="16838"/>
          <w:pgMar w:top="1213" w:right="1179" w:bottom="1213" w:left="1349" w:header="851" w:footer="992" w:gutter="0"/>
          <w:pgNumType w:fmt="decimal" w:start="1"/>
          <w:cols w:space="0" w:num="1"/>
          <w:titlePg/>
          <w:rtlGutter w:val="0"/>
          <w:docGrid w:type="lines" w:linePitch="312" w:charSpace="0"/>
        </w:sectPr>
      </w:pPr>
    </w:p>
    <w:p w14:paraId="591F6433">
      <w:pPr>
        <w:widowControl/>
        <w:jc w:val="center"/>
        <w:rPr>
          <w:rFonts w:ascii="方正小标宋简体" w:hAnsi="宋体" w:eastAsia="方正小标宋简体"/>
          <w:sz w:val="36"/>
          <w:szCs w:val="36"/>
        </w:rPr>
        <w:sectPr>
          <w:pgSz w:w="11906" w:h="16838"/>
          <w:pgMar w:top="1213" w:right="1179" w:bottom="1213" w:left="1349" w:header="851" w:footer="992" w:gutter="0"/>
          <w:pgNumType w:fmt="decimal" w:start="1"/>
          <w:cols w:space="0" w:num="1"/>
          <w:titlePg/>
          <w:rtlGutter w:val="0"/>
          <w:docGrid w:type="lines" w:linePitch="312" w:charSpace="0"/>
        </w:sectPr>
      </w:pPr>
      <w:bookmarkStart w:id="88" w:name="_GoBack"/>
      <w:bookmarkEnd w:id="88"/>
    </w:p>
    <w:p w14:paraId="3772C3AC">
      <w:pPr>
        <w:widowControl/>
        <w:jc w:val="center"/>
        <w:rPr>
          <w:rFonts w:ascii="方正小标宋简体" w:hAnsi="宋体" w:eastAsia="方正小标宋简体"/>
          <w:sz w:val="36"/>
          <w:szCs w:val="36"/>
        </w:rPr>
      </w:pPr>
      <w:r>
        <w:rPr>
          <w:rFonts w:ascii="方正小标宋简体" w:hAnsi="宋体" w:eastAsia="方正小标宋简体"/>
          <w:sz w:val="36"/>
          <w:szCs w:val="36"/>
        </w:rPr>
        <w:br w:type="page"/>
      </w:r>
    </w:p>
    <w:sdt>
      <w:sdtPr>
        <w:rPr>
          <w:rFonts w:ascii="宋体" w:hAnsi="宋体" w:eastAsia="宋体" w:cs="Times New Roman"/>
          <w:kern w:val="2"/>
          <w:sz w:val="44"/>
          <w:szCs w:val="52"/>
          <w:lang w:val="en-US" w:eastAsia="zh-CN" w:bidi="ar-SA"/>
        </w:rPr>
        <w:id w:val="147453496"/>
        <w15:color w:val="DBDBDB"/>
        <w:docPartObj>
          <w:docPartGallery w:val="Table of Contents"/>
          <w:docPartUnique/>
        </w:docPartObj>
      </w:sdtPr>
      <w:sdtEndPr>
        <w:rPr>
          <w:rFonts w:ascii="仿宋_GB2312" w:hAnsi="Times New Roman" w:eastAsia="仿宋_GB2312" w:cs="Times New Roman"/>
          <w:kern w:val="0"/>
          <w:sz w:val="30"/>
          <w:szCs w:val="24"/>
          <w:lang w:val="en-US" w:eastAsia="zh-CN" w:bidi="ar-SA"/>
        </w:rPr>
      </w:sdtEndPr>
      <w:sdtContent>
        <w:p w14:paraId="3AD0FDB3">
          <w:pPr>
            <w:spacing w:before="0" w:beforeLines="0" w:after="0" w:afterLines="0" w:line="240" w:lineRule="auto"/>
            <w:ind w:left="0" w:leftChars="0" w:right="0" w:rightChars="0" w:firstLine="0" w:firstLineChars="0"/>
            <w:jc w:val="center"/>
            <w:rPr>
              <w:rFonts w:ascii="宋体" w:hAnsi="宋体" w:eastAsia="宋体"/>
              <w:sz w:val="44"/>
              <w:szCs w:val="52"/>
            </w:rPr>
          </w:pPr>
          <w:r>
            <w:rPr>
              <w:rFonts w:ascii="宋体" w:hAnsi="宋体" w:eastAsia="宋体"/>
              <w:sz w:val="44"/>
              <w:szCs w:val="52"/>
            </w:rPr>
            <w:t>目录</w:t>
          </w:r>
        </w:p>
        <w:p w14:paraId="2EF8E948">
          <w:pPr>
            <w:pStyle w:val="14"/>
          </w:pPr>
          <w:r>
            <w:rPr>
              <w:rFonts w:hint="eastAsia"/>
            </w:rPr>
            <w:t>公开时间：202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19</w:t>
          </w:r>
          <w:r>
            <w:rPr>
              <w:rFonts w:hint="eastAsia"/>
            </w:rPr>
            <w:t>日</w:t>
          </w:r>
        </w:p>
        <w:p w14:paraId="73F45FF6">
          <w:pPr>
            <w:pStyle w:val="14"/>
            <w:tabs>
              <w:tab w:val="right" w:leader="dot" w:pos="9378"/>
              <w:tab w:val="clear" w:pos="8296"/>
            </w:tabs>
          </w:pPr>
          <w:r>
            <w:fldChar w:fldCharType="begin"/>
          </w:r>
          <w:r>
            <w:instrText xml:space="preserve">TOC \o "1-1" \h \u </w:instrText>
          </w:r>
          <w:r>
            <w:fldChar w:fldCharType="separate"/>
          </w:r>
          <w:r>
            <w:fldChar w:fldCharType="begin"/>
          </w:r>
          <w:r>
            <w:instrText xml:space="preserve"> HYPERLINK \l _Toc16894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_Toc16894 \h </w:instrText>
          </w:r>
          <w:r>
            <w:fldChar w:fldCharType="separate"/>
          </w:r>
          <w:r>
            <w:t>1</w:t>
          </w:r>
          <w:r>
            <w:fldChar w:fldCharType="end"/>
          </w:r>
          <w:r>
            <w:fldChar w:fldCharType="end"/>
          </w:r>
        </w:p>
        <w:p w14:paraId="612FA5AD">
          <w:pPr>
            <w:pStyle w:val="14"/>
            <w:tabs>
              <w:tab w:val="right" w:leader="dot" w:pos="9378"/>
              <w:tab w:val="clear" w:pos="8296"/>
            </w:tabs>
          </w:pPr>
          <w:r>
            <w:fldChar w:fldCharType="begin"/>
          </w:r>
          <w:r>
            <w:instrText xml:space="preserve"> HYPERLINK \l _Toc9509 </w:instrText>
          </w:r>
          <w:r>
            <w:fldChar w:fldCharType="separate"/>
          </w:r>
          <w:r>
            <w:rPr>
              <w:rFonts w:hint="eastAsia" w:ascii="黑体" w:hAnsi="黑体" w:eastAsia="黑体"/>
            </w:rPr>
            <w:t>一、 部门职责</w:t>
          </w:r>
          <w:r>
            <w:tab/>
          </w:r>
          <w:r>
            <w:fldChar w:fldCharType="begin"/>
          </w:r>
          <w:r>
            <w:instrText xml:space="preserve"> PAGEREF _Toc9509 \h </w:instrText>
          </w:r>
          <w:r>
            <w:fldChar w:fldCharType="separate"/>
          </w:r>
          <w:r>
            <w:t>1</w:t>
          </w:r>
          <w:r>
            <w:fldChar w:fldCharType="end"/>
          </w:r>
          <w:r>
            <w:fldChar w:fldCharType="end"/>
          </w:r>
        </w:p>
        <w:p w14:paraId="44EA7595">
          <w:pPr>
            <w:pStyle w:val="14"/>
            <w:tabs>
              <w:tab w:val="right" w:leader="dot" w:pos="9378"/>
              <w:tab w:val="clear" w:pos="8296"/>
            </w:tabs>
          </w:pPr>
          <w:r>
            <w:fldChar w:fldCharType="begin"/>
          </w:r>
          <w:r>
            <w:instrText xml:space="preserve"> HYPERLINK \l _Toc29437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_Toc29437 \h </w:instrText>
          </w:r>
          <w:r>
            <w:fldChar w:fldCharType="separate"/>
          </w:r>
          <w:r>
            <w:t>1</w:t>
          </w:r>
          <w:r>
            <w:fldChar w:fldCharType="end"/>
          </w:r>
          <w:r>
            <w:fldChar w:fldCharType="end"/>
          </w:r>
        </w:p>
        <w:p w14:paraId="26B19D38">
          <w:pPr>
            <w:pStyle w:val="14"/>
            <w:tabs>
              <w:tab w:val="right" w:leader="dot" w:pos="9378"/>
              <w:tab w:val="clear" w:pos="8296"/>
            </w:tabs>
          </w:pPr>
          <w:r>
            <w:fldChar w:fldCharType="begin"/>
          </w:r>
          <w:r>
            <w:instrText xml:space="preserve"> HYPERLINK \l _Toc31423 </w:instrText>
          </w:r>
          <w:r>
            <w:fldChar w:fldCharType="separate"/>
          </w:r>
          <w:r>
            <w:rPr>
              <w:rFonts w:hint="eastAsia" w:ascii="黑体" w:hAnsi="黑体" w:eastAsia="黑体"/>
              <w:bCs/>
            </w:rPr>
            <w:t xml:space="preserve">第二部分 </w:t>
          </w:r>
          <w:r>
            <w:rPr>
              <w:rFonts w:hint="eastAsia" w:ascii="黑体" w:hAnsi="黑体" w:eastAsia="黑体"/>
              <w:bCs/>
              <w:lang w:val="en-US" w:eastAsia="zh-CN"/>
            </w:rPr>
            <w:t>2024</w:t>
          </w:r>
          <w:r>
            <w:rPr>
              <w:rFonts w:hint="eastAsia" w:ascii="黑体" w:hAnsi="黑体" w:eastAsia="黑体"/>
              <w:bCs/>
            </w:rPr>
            <w:t>年度部门决算情况说明</w:t>
          </w:r>
          <w:r>
            <w:tab/>
          </w:r>
          <w:r>
            <w:fldChar w:fldCharType="begin"/>
          </w:r>
          <w:r>
            <w:instrText xml:space="preserve"> PAGEREF _Toc31423 \h </w:instrText>
          </w:r>
          <w:r>
            <w:fldChar w:fldCharType="separate"/>
          </w:r>
          <w:r>
            <w:t>2</w:t>
          </w:r>
          <w:r>
            <w:fldChar w:fldCharType="end"/>
          </w:r>
          <w:r>
            <w:fldChar w:fldCharType="end"/>
          </w:r>
        </w:p>
        <w:p w14:paraId="43F51FE4">
          <w:pPr>
            <w:pStyle w:val="14"/>
            <w:tabs>
              <w:tab w:val="right" w:leader="dot" w:pos="9378"/>
              <w:tab w:val="clear" w:pos="8296"/>
            </w:tabs>
          </w:pPr>
          <w:r>
            <w:fldChar w:fldCharType="begin"/>
          </w:r>
          <w:r>
            <w:instrText xml:space="preserve"> HYPERLINK \l _Toc18951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_Toc18951 \h </w:instrText>
          </w:r>
          <w:r>
            <w:fldChar w:fldCharType="separate"/>
          </w:r>
          <w:r>
            <w:t>2</w:t>
          </w:r>
          <w:r>
            <w:fldChar w:fldCharType="end"/>
          </w:r>
          <w:r>
            <w:fldChar w:fldCharType="end"/>
          </w:r>
        </w:p>
        <w:p w14:paraId="2E0F73D0">
          <w:pPr>
            <w:pStyle w:val="14"/>
            <w:tabs>
              <w:tab w:val="right" w:leader="dot" w:pos="9378"/>
              <w:tab w:val="clear" w:pos="8296"/>
            </w:tabs>
          </w:pPr>
          <w:r>
            <w:fldChar w:fldCharType="begin"/>
          </w:r>
          <w:r>
            <w:instrText xml:space="preserve"> HYPERLINK \l _Toc14650 </w:instrText>
          </w:r>
          <w:r>
            <w:fldChar w:fldCharType="separate"/>
          </w:r>
          <w:r>
            <w:rPr>
              <w:rFonts w:hint="eastAsia" w:ascii="黑体" w:hAnsi="黑体" w:eastAsia="黑体"/>
              <w:szCs w:val="32"/>
              <w:lang w:eastAsia="zh-CN"/>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_Toc14650 \h </w:instrText>
          </w:r>
          <w:r>
            <w:fldChar w:fldCharType="separate"/>
          </w:r>
          <w:r>
            <w:t>2</w:t>
          </w:r>
          <w:r>
            <w:fldChar w:fldCharType="end"/>
          </w:r>
          <w:r>
            <w:fldChar w:fldCharType="end"/>
          </w:r>
        </w:p>
        <w:p w14:paraId="6441C0E5">
          <w:pPr>
            <w:pStyle w:val="14"/>
            <w:tabs>
              <w:tab w:val="right" w:leader="dot" w:pos="9378"/>
              <w:tab w:val="clear" w:pos="8296"/>
            </w:tabs>
          </w:pPr>
          <w:r>
            <w:fldChar w:fldCharType="begin"/>
          </w:r>
          <w:r>
            <w:instrText xml:space="preserve"> HYPERLINK \l _Toc25201 </w:instrText>
          </w:r>
          <w:r>
            <w:fldChar w:fldCharType="separate"/>
          </w:r>
          <w:r>
            <w:rPr>
              <w:rFonts w:hint="eastAsia" w:ascii="黑体" w:hAnsi="黑体" w:eastAsia="黑体"/>
              <w:szCs w:val="32"/>
              <w:lang w:eastAsia="zh-CN"/>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_Toc25201 \h </w:instrText>
          </w:r>
          <w:r>
            <w:fldChar w:fldCharType="separate"/>
          </w:r>
          <w:r>
            <w:t>3</w:t>
          </w:r>
          <w:r>
            <w:fldChar w:fldCharType="end"/>
          </w:r>
          <w:r>
            <w:fldChar w:fldCharType="end"/>
          </w:r>
        </w:p>
        <w:p w14:paraId="59D95D3A">
          <w:pPr>
            <w:pStyle w:val="14"/>
            <w:tabs>
              <w:tab w:val="right" w:leader="dot" w:pos="9378"/>
              <w:tab w:val="clear" w:pos="8296"/>
            </w:tabs>
          </w:pPr>
          <w:r>
            <w:fldChar w:fldCharType="begin"/>
          </w:r>
          <w:r>
            <w:instrText xml:space="preserve"> HYPERLINK \l _Toc6285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_Toc6285 \h </w:instrText>
          </w:r>
          <w:r>
            <w:fldChar w:fldCharType="separate"/>
          </w:r>
          <w:r>
            <w:t>4</w:t>
          </w:r>
          <w:r>
            <w:fldChar w:fldCharType="end"/>
          </w:r>
          <w:r>
            <w:fldChar w:fldCharType="end"/>
          </w:r>
        </w:p>
        <w:p w14:paraId="39175C23">
          <w:pPr>
            <w:pStyle w:val="14"/>
            <w:tabs>
              <w:tab w:val="right" w:leader="dot" w:pos="9378"/>
              <w:tab w:val="clear" w:pos="8296"/>
            </w:tabs>
          </w:pPr>
          <w:r>
            <w:fldChar w:fldCharType="begin"/>
          </w:r>
          <w:r>
            <w:instrText xml:space="preserve"> HYPERLINK \l _Toc24167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_Toc24167 \h </w:instrText>
          </w:r>
          <w:r>
            <w:fldChar w:fldCharType="separate"/>
          </w:r>
          <w:r>
            <w:t>4</w:t>
          </w:r>
          <w:r>
            <w:fldChar w:fldCharType="end"/>
          </w:r>
          <w:r>
            <w:fldChar w:fldCharType="end"/>
          </w:r>
        </w:p>
        <w:p w14:paraId="45CDABA9">
          <w:pPr>
            <w:pStyle w:val="14"/>
            <w:tabs>
              <w:tab w:val="right" w:leader="dot" w:pos="9378"/>
              <w:tab w:val="clear" w:pos="8296"/>
            </w:tabs>
          </w:pPr>
          <w:r>
            <w:fldChar w:fldCharType="begin"/>
          </w:r>
          <w:r>
            <w:instrText xml:space="preserve"> HYPERLINK \l _Toc7166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_Toc7166 \h </w:instrText>
          </w:r>
          <w:r>
            <w:fldChar w:fldCharType="separate"/>
          </w:r>
          <w:r>
            <w:t>7</w:t>
          </w:r>
          <w:r>
            <w:fldChar w:fldCharType="end"/>
          </w:r>
          <w:r>
            <w:fldChar w:fldCharType="end"/>
          </w:r>
        </w:p>
        <w:p w14:paraId="72E99D07">
          <w:pPr>
            <w:pStyle w:val="14"/>
            <w:tabs>
              <w:tab w:val="right" w:leader="dot" w:pos="9378"/>
              <w:tab w:val="clear" w:pos="8296"/>
            </w:tabs>
          </w:pPr>
          <w:r>
            <w:fldChar w:fldCharType="begin"/>
          </w:r>
          <w:r>
            <w:instrText xml:space="preserve"> HYPERLINK \l _Toc7865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_Toc7865 \h </w:instrText>
          </w:r>
          <w:r>
            <w:fldChar w:fldCharType="separate"/>
          </w:r>
          <w:r>
            <w:t>8</w:t>
          </w:r>
          <w:r>
            <w:fldChar w:fldCharType="end"/>
          </w:r>
          <w:r>
            <w:fldChar w:fldCharType="end"/>
          </w:r>
        </w:p>
        <w:p w14:paraId="7BA455AA">
          <w:pPr>
            <w:pStyle w:val="14"/>
            <w:tabs>
              <w:tab w:val="right" w:leader="dot" w:pos="9378"/>
              <w:tab w:val="clear" w:pos="8296"/>
            </w:tabs>
          </w:pPr>
          <w:r>
            <w:fldChar w:fldCharType="begin"/>
          </w:r>
          <w:r>
            <w:instrText xml:space="preserve"> HYPERLINK \l _Toc26937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_Toc26937 \h </w:instrText>
          </w:r>
          <w:r>
            <w:fldChar w:fldCharType="separate"/>
          </w:r>
          <w:r>
            <w:t>9</w:t>
          </w:r>
          <w:r>
            <w:fldChar w:fldCharType="end"/>
          </w:r>
          <w:r>
            <w:fldChar w:fldCharType="end"/>
          </w:r>
        </w:p>
        <w:p w14:paraId="7CC6095B">
          <w:pPr>
            <w:pStyle w:val="14"/>
            <w:tabs>
              <w:tab w:val="right" w:leader="dot" w:pos="9378"/>
              <w:tab w:val="clear" w:pos="8296"/>
            </w:tabs>
          </w:pPr>
          <w:r>
            <w:fldChar w:fldCharType="begin"/>
          </w:r>
          <w:r>
            <w:instrText xml:space="preserve"> HYPERLINK \l _Toc16915 </w:instrText>
          </w:r>
          <w:r>
            <w:fldChar w:fldCharType="separate"/>
          </w:r>
          <w:r>
            <w:rPr>
              <w:rFonts w:hint="eastAsia" w:ascii="黑体" w:hAnsi="黑体" w:eastAsia="黑体"/>
              <w:lang w:eastAsia="zh-CN"/>
            </w:rPr>
            <w:t>九、</w:t>
          </w:r>
          <w:r>
            <w:rPr>
              <w:rFonts w:hint="eastAsia" w:ascii="黑体" w:hAnsi="黑体" w:eastAsia="黑体"/>
            </w:rPr>
            <w:t>国有资本经营预算支出决算情况说明</w:t>
          </w:r>
          <w:r>
            <w:tab/>
          </w:r>
          <w:r>
            <w:fldChar w:fldCharType="begin"/>
          </w:r>
          <w:r>
            <w:instrText xml:space="preserve"> PAGEREF _Toc16915 \h </w:instrText>
          </w:r>
          <w:r>
            <w:fldChar w:fldCharType="separate"/>
          </w:r>
          <w:r>
            <w:t>10</w:t>
          </w:r>
          <w:r>
            <w:fldChar w:fldCharType="end"/>
          </w:r>
          <w:r>
            <w:fldChar w:fldCharType="end"/>
          </w:r>
        </w:p>
        <w:p w14:paraId="1F4FE613">
          <w:pPr>
            <w:pStyle w:val="14"/>
            <w:tabs>
              <w:tab w:val="right" w:leader="dot" w:pos="9378"/>
              <w:tab w:val="clear" w:pos="8296"/>
            </w:tabs>
          </w:pPr>
          <w:r>
            <w:fldChar w:fldCharType="begin"/>
          </w:r>
          <w:r>
            <w:instrText xml:space="preserve"> HYPERLINK \l _Toc15650 </w:instrText>
          </w:r>
          <w:r>
            <w:fldChar w:fldCharType="separate"/>
          </w:r>
          <w:r>
            <w:rPr>
              <w:rFonts w:hint="eastAsia" w:ascii="黑体" w:hAnsi="黑体" w:eastAsia="黑体"/>
              <w:lang w:eastAsia="zh-CN"/>
            </w:rPr>
            <w:t>十、</w:t>
          </w:r>
          <w:r>
            <w:rPr>
              <w:rFonts w:hint="eastAsia" w:ascii="黑体" w:hAnsi="黑体" w:eastAsia="黑体"/>
            </w:rPr>
            <w:t>其他重要事项的情况说明</w:t>
          </w:r>
          <w:r>
            <w:tab/>
          </w:r>
          <w:r>
            <w:fldChar w:fldCharType="begin"/>
          </w:r>
          <w:r>
            <w:instrText xml:space="preserve"> PAGEREF _Toc15650 \h </w:instrText>
          </w:r>
          <w:r>
            <w:fldChar w:fldCharType="separate"/>
          </w:r>
          <w:r>
            <w:t>10</w:t>
          </w:r>
          <w:r>
            <w:fldChar w:fldCharType="end"/>
          </w:r>
          <w:r>
            <w:fldChar w:fldCharType="end"/>
          </w:r>
        </w:p>
        <w:p w14:paraId="5E46D66F">
          <w:pPr>
            <w:pStyle w:val="14"/>
            <w:tabs>
              <w:tab w:val="right" w:leader="dot" w:pos="9378"/>
              <w:tab w:val="clear" w:pos="8296"/>
            </w:tabs>
          </w:pPr>
          <w:r>
            <w:fldChar w:fldCharType="begin"/>
          </w:r>
          <w:r>
            <w:instrText xml:space="preserve"> HYPERLINK \l _Toc28433 </w:instrText>
          </w:r>
          <w:r>
            <w:fldChar w:fldCharType="separate"/>
          </w:r>
          <w:r>
            <w:rPr>
              <w:rFonts w:hint="eastAsia"/>
              <w:bCs w:val="0"/>
            </w:rPr>
            <w:t>第三部分 名词解释</w:t>
          </w:r>
          <w:r>
            <w:tab/>
          </w:r>
          <w:r>
            <w:fldChar w:fldCharType="begin"/>
          </w:r>
          <w:r>
            <w:instrText xml:space="preserve"> PAGEREF _Toc28433 \h </w:instrText>
          </w:r>
          <w:r>
            <w:fldChar w:fldCharType="separate"/>
          </w:r>
          <w:r>
            <w:t>16</w:t>
          </w:r>
          <w:r>
            <w:fldChar w:fldCharType="end"/>
          </w:r>
          <w:r>
            <w:fldChar w:fldCharType="end"/>
          </w:r>
        </w:p>
        <w:p w14:paraId="48348294">
          <w:pPr>
            <w:pStyle w:val="14"/>
            <w:tabs>
              <w:tab w:val="right" w:leader="dot" w:pos="9378"/>
              <w:tab w:val="clear" w:pos="8296"/>
            </w:tabs>
          </w:pPr>
          <w:r>
            <w:fldChar w:fldCharType="begin"/>
          </w:r>
          <w:r>
            <w:instrText xml:space="preserve"> HYPERLINK \l _Toc5153 </w:instrText>
          </w:r>
          <w:r>
            <w:fldChar w:fldCharType="separate"/>
          </w:r>
          <w:r>
            <w:rPr>
              <w:rFonts w:hint="eastAsia" w:ascii="黑体" w:hAnsi="黑体" w:eastAsia="黑体"/>
              <w:szCs w:val="52"/>
            </w:rPr>
            <w:t>第四部分 附件</w:t>
          </w:r>
          <w:r>
            <w:tab/>
          </w:r>
          <w:r>
            <w:fldChar w:fldCharType="begin"/>
          </w:r>
          <w:r>
            <w:instrText xml:space="preserve"> PAGEREF _Toc5153 \h </w:instrText>
          </w:r>
          <w:r>
            <w:fldChar w:fldCharType="separate"/>
          </w:r>
          <w:r>
            <w:t>20</w:t>
          </w:r>
          <w:r>
            <w:fldChar w:fldCharType="end"/>
          </w:r>
          <w:r>
            <w:fldChar w:fldCharType="end"/>
          </w:r>
        </w:p>
        <w:p w14:paraId="66162F34">
          <w:pPr>
            <w:pStyle w:val="14"/>
            <w:tabs>
              <w:tab w:val="right" w:leader="dot" w:pos="9378"/>
              <w:tab w:val="clear" w:pos="8296"/>
            </w:tabs>
          </w:pPr>
          <w:r>
            <w:fldChar w:fldCharType="begin"/>
          </w:r>
          <w:r>
            <w:instrText xml:space="preserve"> HYPERLINK \l _Toc18376 </w:instrText>
          </w:r>
          <w:r>
            <w:fldChar w:fldCharType="separate"/>
          </w:r>
          <w:r>
            <w:rPr>
              <w:rFonts w:hint="eastAsia" w:ascii="黑体" w:hAnsi="黑体" w:eastAsia="黑体"/>
              <w:szCs w:val="32"/>
            </w:rPr>
            <w:t>附件1</w:t>
          </w:r>
          <w:r>
            <w:rPr>
              <w:rFonts w:hint="eastAsia" w:ascii="黑体" w:hAnsi="黑体" w:eastAsia="黑体"/>
              <w:szCs w:val="32"/>
              <w:lang w:val="en-US" w:eastAsia="zh-CN"/>
            </w:rPr>
            <w:t>-1</w:t>
          </w:r>
          <w:r>
            <w:tab/>
          </w:r>
          <w:r>
            <w:fldChar w:fldCharType="begin"/>
          </w:r>
          <w:r>
            <w:instrText xml:space="preserve"> PAGEREF _Toc18376 \h </w:instrText>
          </w:r>
          <w:r>
            <w:fldChar w:fldCharType="separate"/>
          </w:r>
          <w:r>
            <w:t>20</w:t>
          </w:r>
          <w:r>
            <w:fldChar w:fldCharType="end"/>
          </w:r>
          <w:r>
            <w:fldChar w:fldCharType="end"/>
          </w:r>
        </w:p>
        <w:p w14:paraId="0A4380B6">
          <w:pPr>
            <w:pStyle w:val="14"/>
            <w:tabs>
              <w:tab w:val="right" w:leader="dot" w:pos="9378"/>
              <w:tab w:val="clear" w:pos="8296"/>
            </w:tabs>
          </w:pPr>
          <w:r>
            <w:fldChar w:fldCharType="begin"/>
          </w:r>
          <w:r>
            <w:instrText xml:space="preserve"> HYPERLINK \l _Toc2561 </w:instrText>
          </w:r>
          <w:r>
            <w:fldChar w:fldCharType="separate"/>
          </w:r>
          <w:r>
            <w:rPr>
              <w:rFonts w:hint="eastAsia" w:ascii="仿宋_GB2312" w:hAnsi="仿宋_GB2312" w:eastAsia="仿宋_GB2312" w:cs="仿宋_GB2312"/>
              <w:kern w:val="0"/>
              <w:position w:val="0"/>
              <w:szCs w:val="32"/>
              <w:lang w:val="en-US" w:eastAsia="zh-CN" w:bidi="ar-SA"/>
            </w:rPr>
            <w:t>附件2-1</w:t>
          </w:r>
          <w:r>
            <w:tab/>
          </w:r>
          <w:r>
            <w:fldChar w:fldCharType="begin"/>
          </w:r>
          <w:r>
            <w:instrText xml:space="preserve"> PAGEREF _Toc2561 \h </w:instrText>
          </w:r>
          <w:r>
            <w:fldChar w:fldCharType="separate"/>
          </w:r>
          <w:r>
            <w:t>35</w:t>
          </w:r>
          <w:r>
            <w:fldChar w:fldCharType="end"/>
          </w:r>
          <w:r>
            <w:fldChar w:fldCharType="end"/>
          </w:r>
        </w:p>
        <w:p w14:paraId="1875D36C">
          <w:pPr>
            <w:pStyle w:val="14"/>
            <w:tabs>
              <w:tab w:val="right" w:leader="dot" w:pos="9378"/>
              <w:tab w:val="clear" w:pos="8296"/>
            </w:tabs>
          </w:pPr>
          <w:r>
            <w:fldChar w:fldCharType="begin"/>
          </w:r>
          <w:r>
            <w:instrText xml:space="preserve"> HYPERLINK \l _Toc6840 </w:instrText>
          </w:r>
          <w:r>
            <w:fldChar w:fldCharType="separate"/>
          </w:r>
          <w:r>
            <w:rPr>
              <w:rFonts w:hint="default" w:ascii="Times New Roman" w:hAnsi="Times New Roman" w:eastAsia="仿宋_GB2312" w:cs="Times New Roman"/>
              <w:bCs w:val="0"/>
              <w:kern w:val="2"/>
              <w:szCs w:val="32"/>
              <w:lang w:val="zh-CN" w:eastAsia="zh-CN" w:bidi="ar-SA"/>
            </w:rPr>
            <w:t>附</w:t>
          </w:r>
          <w:r>
            <w:rPr>
              <w:rFonts w:hint="eastAsia" w:ascii="Times New Roman" w:hAnsi="Times New Roman" w:eastAsia="仿宋_GB2312" w:cs="Times New Roman"/>
              <w:bCs w:val="0"/>
              <w:kern w:val="2"/>
              <w:szCs w:val="32"/>
              <w:lang w:val="zh-CN" w:eastAsia="zh-CN" w:bidi="ar-SA"/>
            </w:rPr>
            <w:t>件</w:t>
          </w:r>
          <w:r>
            <w:rPr>
              <w:rFonts w:hint="eastAsia" w:ascii="Times New Roman" w:hAnsi="Times New Roman" w:eastAsia="仿宋_GB2312" w:cs="Times New Roman"/>
              <w:bCs w:val="0"/>
              <w:kern w:val="2"/>
              <w:szCs w:val="32"/>
              <w:lang w:val="en-US" w:eastAsia="zh-CN" w:bidi="ar-SA"/>
            </w:rPr>
            <w:t>2-2</w:t>
          </w:r>
          <w:r>
            <w:tab/>
          </w:r>
          <w:r>
            <w:fldChar w:fldCharType="begin"/>
          </w:r>
          <w:r>
            <w:instrText xml:space="preserve"> PAGEREF _Toc6840 \h </w:instrText>
          </w:r>
          <w:r>
            <w:fldChar w:fldCharType="separate"/>
          </w:r>
          <w:r>
            <w:t>44</w:t>
          </w:r>
          <w:r>
            <w:fldChar w:fldCharType="end"/>
          </w:r>
          <w:r>
            <w:fldChar w:fldCharType="end"/>
          </w:r>
        </w:p>
        <w:p w14:paraId="3626EEED">
          <w:pPr>
            <w:pStyle w:val="14"/>
            <w:tabs>
              <w:tab w:val="right" w:leader="dot" w:pos="9378"/>
              <w:tab w:val="clear" w:pos="8296"/>
            </w:tabs>
          </w:pPr>
          <w:r>
            <w:fldChar w:fldCharType="begin"/>
          </w:r>
          <w:r>
            <w:instrText xml:space="preserve"> HYPERLINK \l _Toc21915 </w:instrText>
          </w:r>
          <w:r>
            <w:fldChar w:fldCharType="separate"/>
          </w:r>
          <w:r>
            <w:rPr>
              <w:rFonts w:hint="eastAsia" w:eastAsia="黑体"/>
              <w:bCs w:val="0"/>
              <w:kern w:val="0"/>
              <w:szCs w:val="30"/>
              <w:shd w:val="clear" w:color="auto" w:fill="FFFFFF"/>
              <w:lang w:val="zh-CN" w:eastAsia="zh-CN"/>
            </w:rPr>
            <w:t>附件</w:t>
          </w:r>
          <w:r>
            <w:rPr>
              <w:rFonts w:hint="eastAsia" w:eastAsia="黑体"/>
              <w:bCs w:val="0"/>
              <w:kern w:val="0"/>
              <w:szCs w:val="30"/>
              <w:shd w:val="clear" w:color="auto" w:fill="FFFFFF"/>
              <w:lang w:val="en-US" w:eastAsia="zh-CN"/>
            </w:rPr>
            <w:t>2-3</w:t>
          </w:r>
          <w:r>
            <w:tab/>
          </w:r>
          <w:r>
            <w:fldChar w:fldCharType="begin"/>
          </w:r>
          <w:r>
            <w:instrText xml:space="preserve"> PAGEREF _Toc21915 \h </w:instrText>
          </w:r>
          <w:r>
            <w:fldChar w:fldCharType="separate"/>
          </w:r>
          <w:r>
            <w:t>49</w:t>
          </w:r>
          <w:r>
            <w:fldChar w:fldCharType="end"/>
          </w:r>
          <w:r>
            <w:fldChar w:fldCharType="end"/>
          </w:r>
        </w:p>
        <w:p w14:paraId="596EDE52">
          <w:pPr>
            <w:pStyle w:val="14"/>
            <w:tabs>
              <w:tab w:val="right" w:leader="dot" w:pos="9378"/>
              <w:tab w:val="clear" w:pos="8296"/>
            </w:tabs>
          </w:pPr>
          <w:r>
            <w:fldChar w:fldCharType="begin"/>
          </w:r>
          <w:r>
            <w:instrText xml:space="preserve"> HYPERLINK \l _Toc17484 </w:instrText>
          </w:r>
          <w:r>
            <w:fldChar w:fldCharType="separate"/>
          </w:r>
          <w:r>
            <w:rPr>
              <w:rFonts w:hint="eastAsia" w:ascii="方正公文小标宋" w:hAnsi="方正公文小标宋" w:eastAsia="方正公文小标宋" w:cs="方正公文小标宋"/>
              <w:bCs/>
              <w:szCs w:val="30"/>
              <w:lang w:val="en-US" w:eastAsia="zh-CN"/>
            </w:rPr>
            <w:t>附件2-4</w:t>
          </w:r>
          <w:r>
            <w:tab/>
          </w:r>
          <w:r>
            <w:fldChar w:fldCharType="begin"/>
          </w:r>
          <w:r>
            <w:instrText xml:space="preserve"> PAGEREF _Toc17484 \h </w:instrText>
          </w:r>
          <w:r>
            <w:fldChar w:fldCharType="separate"/>
          </w:r>
          <w:r>
            <w:t>54</w:t>
          </w:r>
          <w:r>
            <w:fldChar w:fldCharType="end"/>
          </w:r>
          <w:r>
            <w:fldChar w:fldCharType="end"/>
          </w:r>
        </w:p>
        <w:p w14:paraId="51196D17">
          <w:pPr>
            <w:pStyle w:val="14"/>
            <w:tabs>
              <w:tab w:val="right" w:leader="dot" w:pos="9378"/>
              <w:tab w:val="clear" w:pos="8296"/>
            </w:tabs>
          </w:pPr>
          <w:r>
            <w:fldChar w:fldCharType="begin"/>
          </w:r>
          <w:r>
            <w:instrText xml:space="preserve"> HYPERLINK \l _Toc9943 </w:instrText>
          </w:r>
          <w:r>
            <w:fldChar w:fldCharType="separate"/>
          </w:r>
          <w:r>
            <w:rPr>
              <w:rFonts w:hint="eastAsia" w:ascii="黑体" w:hAnsi="黑体" w:eastAsia="黑体"/>
            </w:rPr>
            <w:t>第五部分 附表</w:t>
          </w:r>
          <w:r>
            <w:tab/>
          </w:r>
          <w:r>
            <w:fldChar w:fldCharType="begin"/>
          </w:r>
          <w:r>
            <w:instrText xml:space="preserve"> PAGEREF _Toc9943 \h </w:instrText>
          </w:r>
          <w:r>
            <w:fldChar w:fldCharType="separate"/>
          </w:r>
          <w:r>
            <w:t>98</w:t>
          </w:r>
          <w:r>
            <w:fldChar w:fldCharType="end"/>
          </w:r>
          <w:r>
            <w:fldChar w:fldCharType="end"/>
          </w:r>
        </w:p>
        <w:p w14:paraId="27837708">
          <w:pPr>
            <w:pStyle w:val="2"/>
          </w:pPr>
          <w:r>
            <w:fldChar w:fldCharType="end"/>
          </w:r>
        </w:p>
        <w:p w14:paraId="193992F8">
          <w:pPr>
            <w:pStyle w:val="2"/>
            <w:rPr>
              <w:rFonts w:ascii="仿宋_GB2312" w:hAnsi="Times New Roman" w:eastAsia="仿宋_GB2312" w:cs="Times New Roman"/>
              <w:kern w:val="0"/>
              <w:sz w:val="30"/>
              <w:szCs w:val="24"/>
              <w:lang w:val="en-US" w:eastAsia="zh-CN" w:bidi="ar-SA"/>
            </w:rPr>
          </w:pPr>
        </w:p>
      </w:sdtContent>
    </w:sdt>
    <w:p w14:paraId="66A1451F"/>
    <w:p w14:paraId="067A20F6">
      <w:pPr>
        <w:widowControl/>
        <w:jc w:val="center"/>
        <w:rPr>
          <w:rFonts w:hint="eastAsia" w:ascii="黑体" w:hAnsi="黑体" w:eastAsia="黑体"/>
          <w:sz w:val="48"/>
          <w:szCs w:val="48"/>
        </w:rPr>
      </w:pPr>
    </w:p>
    <w:p w14:paraId="1D3A565B">
      <w:pPr>
        <w:widowControl/>
        <w:jc w:val="center"/>
        <w:rPr>
          <w:rFonts w:hint="eastAsia" w:ascii="黑体" w:hAnsi="黑体" w:eastAsia="黑体"/>
          <w:sz w:val="48"/>
          <w:szCs w:val="48"/>
        </w:rPr>
      </w:pPr>
    </w:p>
    <w:p w14:paraId="741DFA0C">
      <w:pPr>
        <w:widowControl/>
        <w:jc w:val="center"/>
        <w:rPr>
          <w:rFonts w:hint="eastAsia" w:ascii="黑体" w:hAnsi="黑体" w:eastAsia="黑体"/>
          <w:sz w:val="48"/>
          <w:szCs w:val="48"/>
        </w:rPr>
      </w:pPr>
    </w:p>
    <w:p w14:paraId="248B50A8">
      <w:pPr>
        <w:widowControl/>
        <w:jc w:val="center"/>
        <w:rPr>
          <w:rFonts w:hint="eastAsia" w:ascii="黑体" w:hAnsi="黑体" w:eastAsia="黑体"/>
          <w:sz w:val="48"/>
          <w:szCs w:val="48"/>
        </w:rPr>
      </w:pPr>
    </w:p>
    <w:p w14:paraId="40008678">
      <w:pPr>
        <w:widowControl/>
        <w:jc w:val="center"/>
        <w:rPr>
          <w:rFonts w:hint="eastAsia" w:ascii="黑体" w:hAnsi="黑体" w:eastAsia="黑体"/>
          <w:sz w:val="48"/>
          <w:szCs w:val="48"/>
        </w:rPr>
      </w:pPr>
    </w:p>
    <w:p w14:paraId="0537753E">
      <w:pPr>
        <w:widowControl/>
        <w:jc w:val="center"/>
        <w:rPr>
          <w:rFonts w:hint="eastAsia" w:ascii="黑体" w:hAnsi="黑体" w:eastAsia="黑体"/>
          <w:sz w:val="48"/>
          <w:szCs w:val="48"/>
        </w:rPr>
      </w:pPr>
    </w:p>
    <w:p w14:paraId="5B2C24D0">
      <w:pPr>
        <w:widowControl/>
        <w:jc w:val="center"/>
        <w:rPr>
          <w:rFonts w:hint="eastAsia" w:ascii="黑体" w:hAnsi="黑体" w:eastAsia="黑体"/>
          <w:sz w:val="48"/>
          <w:szCs w:val="48"/>
        </w:rPr>
      </w:pPr>
    </w:p>
    <w:p w14:paraId="1F6AAF1A">
      <w:pPr>
        <w:widowControl/>
        <w:jc w:val="center"/>
        <w:rPr>
          <w:rFonts w:hint="eastAsia" w:ascii="黑体" w:hAnsi="黑体" w:eastAsia="黑体"/>
          <w:sz w:val="48"/>
          <w:szCs w:val="48"/>
        </w:rPr>
      </w:pPr>
    </w:p>
    <w:p w14:paraId="39A15AD4">
      <w:pPr>
        <w:widowControl/>
        <w:jc w:val="center"/>
        <w:rPr>
          <w:rFonts w:hint="eastAsia" w:ascii="黑体" w:hAnsi="黑体" w:eastAsia="黑体"/>
          <w:sz w:val="48"/>
          <w:szCs w:val="48"/>
        </w:rPr>
      </w:pPr>
    </w:p>
    <w:p w14:paraId="677C66D4">
      <w:pPr>
        <w:widowControl/>
        <w:jc w:val="center"/>
        <w:rPr>
          <w:rFonts w:hint="eastAsia" w:ascii="黑体" w:hAnsi="黑体" w:eastAsia="黑体"/>
          <w:sz w:val="48"/>
          <w:szCs w:val="48"/>
        </w:rPr>
      </w:pPr>
    </w:p>
    <w:p w14:paraId="49FC0D56">
      <w:pPr>
        <w:widowControl/>
        <w:jc w:val="center"/>
        <w:rPr>
          <w:rFonts w:hint="eastAsia" w:ascii="黑体" w:hAnsi="黑体" w:eastAsia="黑体"/>
          <w:sz w:val="48"/>
          <w:szCs w:val="48"/>
        </w:rPr>
      </w:pPr>
    </w:p>
    <w:p w14:paraId="1BD158DA">
      <w:pPr>
        <w:widowControl/>
        <w:jc w:val="center"/>
        <w:rPr>
          <w:rFonts w:hint="eastAsia" w:ascii="黑体" w:hAnsi="黑体" w:eastAsia="黑体"/>
          <w:sz w:val="48"/>
          <w:szCs w:val="48"/>
        </w:rPr>
      </w:pPr>
    </w:p>
    <w:p w14:paraId="28428422">
      <w:pPr>
        <w:widowControl/>
        <w:jc w:val="center"/>
        <w:rPr>
          <w:rFonts w:hint="eastAsia" w:ascii="黑体" w:hAnsi="黑体" w:eastAsia="黑体"/>
          <w:sz w:val="48"/>
          <w:szCs w:val="48"/>
        </w:rPr>
      </w:pPr>
    </w:p>
    <w:p w14:paraId="406EAE8C">
      <w:pPr>
        <w:widowControl/>
        <w:jc w:val="center"/>
        <w:rPr>
          <w:rFonts w:hint="eastAsia" w:ascii="黑体" w:hAnsi="黑体" w:eastAsia="黑体"/>
          <w:sz w:val="48"/>
          <w:szCs w:val="48"/>
        </w:rPr>
      </w:pPr>
    </w:p>
    <w:p w14:paraId="7D8A9DAA">
      <w:pPr>
        <w:widowControl/>
        <w:jc w:val="both"/>
        <w:rPr>
          <w:rFonts w:hint="eastAsia" w:ascii="黑体" w:hAnsi="黑体" w:eastAsia="黑体"/>
          <w:sz w:val="48"/>
          <w:szCs w:val="48"/>
        </w:rPr>
      </w:pPr>
    </w:p>
    <w:p w14:paraId="58AC8579">
      <w:pPr>
        <w:pStyle w:val="3"/>
        <w:jc w:val="center"/>
        <w:rPr>
          <w:rFonts w:hint="eastAsia" w:ascii="黑体" w:hAnsi="黑体" w:eastAsia="黑体"/>
          <w:b w:val="0"/>
        </w:rPr>
        <w:sectPr>
          <w:pgSz w:w="11906" w:h="16838"/>
          <w:pgMar w:top="1213" w:right="1179" w:bottom="1213" w:left="1349" w:header="851" w:footer="992" w:gutter="0"/>
          <w:pgNumType w:fmt="decimal" w:start="1"/>
          <w:cols w:space="0" w:num="1"/>
          <w:titlePg/>
          <w:rtlGutter w:val="0"/>
          <w:docGrid w:type="lines" w:linePitch="312" w:charSpace="0"/>
        </w:sectPr>
      </w:pPr>
      <w:bookmarkStart w:id="12" w:name="_Toc16894"/>
      <w:bookmarkStart w:id="13" w:name="_Toc15377196"/>
      <w:bookmarkStart w:id="14" w:name="_Toc15396599"/>
    </w:p>
    <w:p w14:paraId="6E9D755B">
      <w:pPr>
        <w:pStyle w:val="3"/>
        <w:jc w:val="center"/>
        <w:rPr>
          <w:rFonts w:ascii="黑体" w:eastAsia="黑体"/>
          <w:sz w:val="32"/>
          <w:szCs w:val="32"/>
        </w:rPr>
      </w:pPr>
      <w:r>
        <w:rPr>
          <w:rFonts w:hint="eastAsia" w:ascii="黑体" w:hAnsi="黑体" w:eastAsia="黑体"/>
          <w:b w:val="0"/>
        </w:rPr>
        <w:t xml:space="preserve">第一部分 </w:t>
      </w:r>
      <w:r>
        <w:rPr>
          <w:rStyle w:val="31"/>
          <w:rFonts w:hint="eastAsia" w:ascii="黑体" w:hAnsi="黑体" w:eastAsia="黑体"/>
          <w:b w:val="0"/>
          <w:bCs w:val="0"/>
        </w:rPr>
        <w:t>部门概况</w:t>
      </w:r>
      <w:bookmarkEnd w:id="12"/>
      <w:bookmarkEnd w:id="13"/>
      <w:bookmarkEnd w:id="14"/>
    </w:p>
    <w:p w14:paraId="1F45B119">
      <w:pPr>
        <w:pStyle w:val="4"/>
        <w:numPr>
          <w:ilvl w:val="0"/>
          <w:numId w:val="1"/>
        </w:numPr>
        <w:outlineLvl w:val="0"/>
        <w:rPr>
          <w:rFonts w:ascii="黑体" w:hAnsi="黑体" w:eastAsia="黑体"/>
          <w:b w:val="0"/>
        </w:rPr>
      </w:pPr>
      <w:bookmarkStart w:id="15" w:name="_Toc9509"/>
      <w:r>
        <w:rPr>
          <w:rFonts w:hint="eastAsia" w:ascii="黑体" w:hAnsi="黑体" w:eastAsia="黑体"/>
          <w:b w:val="0"/>
        </w:rPr>
        <w:t>部门职责</w:t>
      </w:r>
      <w:bookmarkEnd w:id="15"/>
    </w:p>
    <w:p w14:paraId="74A0E754">
      <w:pPr>
        <w:pStyle w:val="4"/>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一是开展学</w:t>
      </w:r>
      <w:bookmarkStart w:id="16" w:name="OLE_LINK62"/>
      <w:r>
        <w:rPr>
          <w:rFonts w:hint="eastAsia" w:ascii="仿宋_GB2312" w:hAnsi="仿宋_GB2312" w:eastAsia="仿宋_GB2312" w:cs="仿宋_GB2312"/>
          <w:b w:val="0"/>
          <w:bCs w:val="0"/>
          <w:kern w:val="2"/>
          <w:sz w:val="32"/>
          <w:szCs w:val="32"/>
          <w:lang w:val="en-US" w:eastAsia="zh-CN" w:bidi="ar-SA"/>
        </w:rPr>
        <w:t>术交流，活跃学术思想</w:t>
      </w:r>
      <w:bookmarkEnd w:id="16"/>
      <w:r>
        <w:rPr>
          <w:rFonts w:hint="eastAsia" w:ascii="仿宋_GB2312" w:hAnsi="仿宋_GB2312" w:eastAsia="仿宋_GB2312" w:cs="仿宋_GB2312"/>
          <w:b w:val="0"/>
          <w:bCs w:val="0"/>
          <w:kern w:val="2"/>
          <w:sz w:val="32"/>
          <w:szCs w:val="32"/>
          <w:lang w:val="en-US" w:eastAsia="zh-CN" w:bidi="ar-SA"/>
        </w:rPr>
        <w:t>，促进学科发展，推动决策的科学化和民主化；二是弘扬科学精神，普及科学技术知识，推广先进技术，开展青少年科技教育活动，提高全民族科学文化素质；三是维护科技工作者的合法权益，为科技团体和科技工作者服务，表彰和奖励优秀科技工作者，举荐人才。组织科技工作者参与科技政策、法规制定和政治协商、科学决策、民主监督工作。四是开展技术培训、技术咨询服务，进行咨询服务行业管理。推动科技成果向现实生产力的转化，接受委托承担项目评估，成果鉴定，专业技术职务评审等任务。五是开展国际民间科技交流活动，发展同国外的科学技术团体和科技工作者的友好交往。六是开展继续教育和培训工作，兴办符合科协综旨的社会公益性事业。七是对直属州级学会、协会、研究会进行管理，对县、市科协和基层组织进行业务指导。八是承担州委、州政府和省科协交办的其他事项。</w:t>
      </w:r>
    </w:p>
    <w:p w14:paraId="52ADA085">
      <w:pPr>
        <w:pStyle w:val="4"/>
        <w:outlineLvl w:val="0"/>
        <w:rPr>
          <w:rStyle w:val="32"/>
          <w:b w:val="0"/>
          <w:bCs w:val="0"/>
        </w:rPr>
      </w:pPr>
      <w:bookmarkStart w:id="17" w:name="_Toc15377200"/>
      <w:bookmarkStart w:id="18" w:name="_Toc15396601"/>
      <w:bookmarkStart w:id="19" w:name="_Toc29437"/>
      <w:r>
        <w:rPr>
          <w:rFonts w:hint="eastAsia" w:ascii="黑体" w:eastAsia="黑体"/>
          <w:b w:val="0"/>
        </w:rPr>
        <w:t>二、</w:t>
      </w:r>
      <w:r>
        <w:rPr>
          <w:rFonts w:hint="eastAsia" w:ascii="黑体" w:hAnsi="黑体" w:eastAsia="黑体"/>
          <w:b w:val="0"/>
        </w:rPr>
        <w:t>机</w:t>
      </w:r>
      <w:r>
        <w:rPr>
          <w:rStyle w:val="32"/>
          <w:rFonts w:hint="eastAsia" w:ascii="黑体" w:hAnsi="黑体" w:eastAsia="黑体"/>
          <w:b w:val="0"/>
          <w:bCs w:val="0"/>
        </w:rPr>
        <w:t>构设置</w:t>
      </w:r>
      <w:bookmarkEnd w:id="17"/>
      <w:bookmarkEnd w:id="18"/>
      <w:bookmarkEnd w:id="19"/>
    </w:p>
    <w:p w14:paraId="047CAF1E">
      <w:pPr>
        <w:ind w:firstLine="800" w:firstLineChars="25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凉山州科学技术协会下属二级预算单位1个，其中行政单位0个，参照公务员法管理的事业单位0个，其他事业单位1个。</w:t>
      </w:r>
    </w:p>
    <w:p w14:paraId="74A7AA18">
      <w:pPr>
        <w:pStyle w:val="2"/>
        <w:adjustRightInd w:val="0"/>
        <w:snapToGrid w:val="0"/>
        <w:spacing w:before="93" w:line="600" w:lineRule="exact"/>
        <w:ind w:firstLine="672" w:firstLineChars="21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纳入凉山州科学技术协会2023年度部门决算编制范围的二级预算单位包括：</w:t>
      </w:r>
    </w:p>
    <w:p w14:paraId="67AFF521">
      <w:pPr>
        <w:ind w:firstLine="640" w:firstLineChars="200"/>
        <w:rPr>
          <w:rFonts w:hint="eastAsia" w:ascii="仿宋_GB2312" w:hAnsi="仿宋_GB2312" w:eastAsia="仿宋_GB2312" w:cs="仿宋_GB2312"/>
          <w:b w:val="0"/>
          <w:bCs w:val="0"/>
          <w:kern w:val="2"/>
          <w:sz w:val="32"/>
          <w:szCs w:val="32"/>
          <w:lang w:val="en-US" w:eastAsia="zh-CN" w:bidi="ar-SA"/>
        </w:rPr>
      </w:pPr>
      <w:bookmarkStart w:id="20" w:name="_Toc15377433"/>
      <w:bookmarkStart w:id="21" w:name="_Toc15306276"/>
      <w:bookmarkStart w:id="22" w:name="_Toc15378449"/>
      <w:bookmarkStart w:id="23" w:name="_Toc15377202"/>
      <w:r>
        <w:rPr>
          <w:rFonts w:hint="eastAsia" w:ascii="仿宋_GB2312" w:hAnsi="仿宋_GB2312" w:eastAsia="仿宋_GB2312" w:cs="仿宋_GB2312"/>
          <w:b w:val="0"/>
          <w:bCs w:val="0"/>
          <w:kern w:val="2"/>
          <w:sz w:val="32"/>
          <w:szCs w:val="32"/>
          <w:lang w:val="en-US" w:eastAsia="zh-CN" w:bidi="ar-SA"/>
        </w:rPr>
        <w:t>1.凉山州青少年科技活动中心。</w:t>
      </w:r>
    </w:p>
    <w:bookmarkEnd w:id="20"/>
    <w:bookmarkEnd w:id="21"/>
    <w:bookmarkEnd w:id="22"/>
    <w:bookmarkEnd w:id="23"/>
    <w:p w14:paraId="1842E0D2">
      <w:pPr>
        <w:pStyle w:val="2"/>
        <w:adjustRightInd w:val="0"/>
        <w:snapToGrid w:val="0"/>
        <w:spacing w:before="93" w:line="600" w:lineRule="exact"/>
        <w:ind w:left="672"/>
        <w:outlineLvl w:val="9"/>
        <w:rPr>
          <w:rFonts w:ascii="仿宋" w:hAnsi="仿宋" w:eastAsia="仿宋"/>
          <w:sz w:val="32"/>
          <w:szCs w:val="32"/>
        </w:rPr>
      </w:pPr>
    </w:p>
    <w:p w14:paraId="22F42A30">
      <w:pPr>
        <w:widowControl/>
        <w:jc w:val="left"/>
        <w:outlineLvl w:val="0"/>
        <w:rPr>
          <w:rStyle w:val="31"/>
          <w:rFonts w:hint="eastAsia" w:ascii="黑体" w:hAnsi="黑体" w:eastAsia="黑体"/>
          <w:b w:val="0"/>
          <w:bCs/>
        </w:rPr>
      </w:pPr>
      <w:bookmarkStart w:id="24" w:name="_Toc15377204"/>
      <w:bookmarkStart w:id="25" w:name="_Toc15396602"/>
      <w:bookmarkStart w:id="26" w:name="_Toc31423"/>
      <w:r>
        <w:rPr>
          <w:rStyle w:val="31"/>
          <w:rFonts w:hint="eastAsia" w:ascii="黑体" w:hAnsi="黑体" w:eastAsia="黑体"/>
          <w:b w:val="0"/>
          <w:bCs/>
        </w:rPr>
        <w:t xml:space="preserve">第二部分 </w:t>
      </w:r>
      <w:r>
        <w:rPr>
          <w:rStyle w:val="31"/>
          <w:rFonts w:hint="eastAsia" w:ascii="黑体" w:hAnsi="黑体" w:eastAsia="黑体"/>
          <w:b w:val="0"/>
          <w:bCs/>
          <w:lang w:val="en-US" w:eastAsia="zh-CN"/>
        </w:rPr>
        <w:t>2024</w:t>
      </w:r>
      <w:r>
        <w:rPr>
          <w:rStyle w:val="31"/>
          <w:rFonts w:hint="eastAsia" w:ascii="黑体" w:hAnsi="黑体" w:eastAsia="黑体"/>
          <w:b w:val="0"/>
          <w:bCs/>
        </w:rPr>
        <w:t>年度部门决算情况说明</w:t>
      </w:r>
      <w:bookmarkEnd w:id="24"/>
      <w:bookmarkEnd w:id="25"/>
      <w:bookmarkEnd w:id="26"/>
    </w:p>
    <w:p w14:paraId="7D537E58"/>
    <w:p w14:paraId="2A2DA1F5">
      <w:pPr>
        <w:pStyle w:val="30"/>
        <w:numPr>
          <w:ilvl w:val="0"/>
          <w:numId w:val="2"/>
        </w:numPr>
        <w:spacing w:line="600" w:lineRule="exact"/>
        <w:ind w:left="1360" w:leftChars="0" w:hanging="720" w:firstLineChars="0"/>
        <w:outlineLvl w:val="0"/>
        <w:rPr>
          <w:rStyle w:val="32"/>
          <w:rFonts w:ascii="黑体" w:hAnsi="黑体" w:eastAsia="黑体"/>
          <w:b w:val="0"/>
        </w:rPr>
      </w:pPr>
      <w:bookmarkStart w:id="27" w:name="_Toc15396603"/>
      <w:bookmarkStart w:id="28" w:name="_Toc18951"/>
      <w:bookmarkStart w:id="29" w:name="_Toc15377205"/>
      <w:r>
        <w:rPr>
          <w:rFonts w:hint="eastAsia" w:ascii="黑体" w:hAnsi="黑体" w:eastAsia="黑体"/>
          <w:sz w:val="32"/>
          <w:szCs w:val="32"/>
        </w:rPr>
        <w:t>收</w:t>
      </w:r>
      <w:r>
        <w:rPr>
          <w:rStyle w:val="32"/>
          <w:rFonts w:hint="eastAsia" w:ascii="黑体" w:hAnsi="黑体" w:eastAsia="黑体"/>
          <w:b w:val="0"/>
        </w:rPr>
        <w:t>入支出决算总体情况说明</w:t>
      </w:r>
      <w:bookmarkEnd w:id="27"/>
      <w:bookmarkEnd w:id="28"/>
      <w:bookmarkEnd w:id="29"/>
    </w:p>
    <w:p w14:paraId="6DF17801">
      <w:pPr>
        <w:ind w:firstLine="800" w:firstLineChars="25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2024年度收、支总计均为</w:t>
      </w:r>
      <w:bookmarkStart w:id="30" w:name="OLE_LINK43"/>
      <w:r>
        <w:rPr>
          <w:rFonts w:hint="eastAsia" w:ascii="仿宋_GB2312" w:hAnsi="仿宋_GB2312" w:eastAsia="仿宋_GB2312" w:cs="仿宋_GB2312"/>
          <w:b w:val="0"/>
          <w:bCs w:val="0"/>
          <w:kern w:val="2"/>
          <w:sz w:val="32"/>
          <w:szCs w:val="32"/>
          <w:lang w:val="en-US" w:eastAsia="zh-CN" w:bidi="ar-SA"/>
        </w:rPr>
        <w:t>934.86(</w:t>
      </w:r>
      <w:bookmarkEnd w:id="30"/>
      <w:r>
        <w:rPr>
          <w:rFonts w:hint="eastAsia" w:ascii="仿宋_GB2312" w:hAnsi="仿宋_GB2312" w:eastAsia="仿宋_GB2312" w:cs="仿宋_GB2312"/>
          <w:b w:val="0"/>
          <w:bCs w:val="0"/>
          <w:kern w:val="2"/>
          <w:sz w:val="32"/>
          <w:szCs w:val="32"/>
          <w:lang w:val="en-US" w:eastAsia="zh-CN" w:bidi="ar-SA"/>
        </w:rPr>
        <w:t>874.05万元。与2023年度相比，收、支总计各增加60.81万元，增加7%。主要变动原因是总体增加科普项目资金拨入所致。</w:t>
      </w:r>
    </w:p>
    <w:p w14:paraId="24326FC4">
      <w:pPr>
        <w:ind w:firstLine="800" w:firstLineChars="25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（图1：收、支决算总计变动情况图）（柱状图）</w:t>
      </w:r>
      <w:r>
        <w:rPr>
          <w:rFonts w:hint="eastAsia" w:ascii="仿宋_GB2312" w:hAnsi="仿宋_GB2312" w:eastAsia="仿宋_GB2312" w:cs="仿宋_GB2312"/>
          <w:b w:val="0"/>
          <w:bCs w:val="0"/>
          <w:kern w:val="2"/>
          <w:sz w:val="32"/>
          <w:szCs w:val="32"/>
          <w:lang w:val="en-US" w:eastAsia="zh-CN" w:bidi="ar-SA"/>
        </w:rPr>
        <w:tab/>
      </w:r>
    </w:p>
    <w:p w14:paraId="794AC961">
      <w:pPr>
        <w:tabs>
          <w:tab w:val="right" w:pos="7666"/>
        </w:tabs>
        <w:spacing w:line="600" w:lineRule="exact"/>
        <w:rPr>
          <w:rFonts w:hint="eastAsia" w:ascii="仿宋" w:hAnsi="仿宋" w:eastAsia="仿宋"/>
          <w:sz w:val="32"/>
          <w:szCs w:val="32"/>
          <w:lang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133350</wp:posOffset>
            </wp:positionH>
            <wp:positionV relativeFrom="paragraph">
              <wp:posOffset>307975</wp:posOffset>
            </wp:positionV>
            <wp:extent cx="4884420" cy="2800350"/>
            <wp:effectExtent l="4445" t="4445" r="6985"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3D0CCF4">
      <w:pPr>
        <w:spacing w:line="600" w:lineRule="exact"/>
        <w:ind w:firstLine="640" w:firstLineChars="200"/>
        <w:jc w:val="left"/>
        <w:rPr>
          <w:rFonts w:ascii="仿宋_GB2312" w:eastAsia="仿宋_GB2312"/>
          <w:sz w:val="32"/>
          <w:szCs w:val="32"/>
        </w:rPr>
      </w:pPr>
    </w:p>
    <w:p w14:paraId="3DC6741A">
      <w:pPr>
        <w:spacing w:line="600" w:lineRule="exact"/>
        <w:ind w:firstLine="640" w:firstLineChars="200"/>
        <w:jc w:val="left"/>
        <w:rPr>
          <w:rFonts w:ascii="仿宋_GB2312" w:eastAsia="仿宋_GB2312"/>
          <w:sz w:val="32"/>
          <w:szCs w:val="32"/>
        </w:rPr>
      </w:pPr>
    </w:p>
    <w:p w14:paraId="7F1B8A92">
      <w:pPr>
        <w:spacing w:line="600" w:lineRule="exact"/>
        <w:ind w:firstLine="640" w:firstLineChars="200"/>
        <w:jc w:val="left"/>
        <w:rPr>
          <w:rFonts w:ascii="仿宋_GB2312" w:eastAsia="仿宋_GB2312"/>
          <w:sz w:val="32"/>
          <w:szCs w:val="32"/>
        </w:rPr>
      </w:pPr>
    </w:p>
    <w:p w14:paraId="14648D4A">
      <w:pPr>
        <w:spacing w:line="600" w:lineRule="exact"/>
        <w:ind w:firstLine="640" w:firstLineChars="200"/>
        <w:jc w:val="left"/>
        <w:rPr>
          <w:rFonts w:ascii="仿宋_GB2312" w:eastAsia="仿宋_GB2312"/>
          <w:sz w:val="32"/>
          <w:szCs w:val="32"/>
        </w:rPr>
      </w:pPr>
    </w:p>
    <w:p w14:paraId="3BA86427">
      <w:pPr>
        <w:spacing w:line="600" w:lineRule="exact"/>
        <w:ind w:firstLine="640" w:firstLineChars="200"/>
        <w:jc w:val="left"/>
        <w:rPr>
          <w:rFonts w:ascii="仿宋_GB2312" w:eastAsia="仿宋_GB2312"/>
          <w:sz w:val="32"/>
          <w:szCs w:val="32"/>
        </w:rPr>
      </w:pPr>
    </w:p>
    <w:p w14:paraId="5400D666">
      <w:pPr>
        <w:pStyle w:val="30"/>
        <w:numPr>
          <w:ilvl w:val="0"/>
          <w:numId w:val="0"/>
        </w:numPr>
        <w:spacing w:line="600" w:lineRule="exact"/>
        <w:ind w:left="640" w:leftChars="0"/>
        <w:outlineLvl w:val="9"/>
        <w:rPr>
          <w:rFonts w:hint="eastAsia" w:ascii="黑体" w:hAnsi="黑体" w:eastAsia="黑体"/>
          <w:sz w:val="32"/>
          <w:szCs w:val="32"/>
        </w:rPr>
      </w:pPr>
      <w:bookmarkStart w:id="31" w:name="_Toc15396604"/>
      <w:bookmarkStart w:id="32" w:name="_Toc15377206"/>
    </w:p>
    <w:p w14:paraId="17A8537A">
      <w:pPr>
        <w:pStyle w:val="30"/>
        <w:numPr>
          <w:ilvl w:val="0"/>
          <w:numId w:val="0"/>
        </w:numPr>
        <w:spacing w:line="600" w:lineRule="exact"/>
        <w:ind w:left="640" w:leftChars="0"/>
        <w:outlineLvl w:val="9"/>
        <w:rPr>
          <w:rFonts w:hint="eastAsia" w:ascii="黑体" w:hAnsi="黑体" w:eastAsia="黑体"/>
          <w:sz w:val="32"/>
          <w:szCs w:val="32"/>
        </w:rPr>
      </w:pPr>
    </w:p>
    <w:p w14:paraId="3E453665">
      <w:pPr>
        <w:pStyle w:val="30"/>
        <w:numPr>
          <w:ilvl w:val="0"/>
          <w:numId w:val="0"/>
        </w:numPr>
        <w:spacing w:line="600" w:lineRule="exact"/>
        <w:ind w:left="640" w:leftChars="0"/>
        <w:outlineLvl w:val="9"/>
        <w:rPr>
          <w:rFonts w:hint="eastAsia" w:ascii="黑体" w:hAnsi="黑体" w:eastAsia="黑体"/>
          <w:sz w:val="32"/>
          <w:szCs w:val="32"/>
        </w:rPr>
      </w:pPr>
    </w:p>
    <w:p w14:paraId="42E101F4">
      <w:pPr>
        <w:pStyle w:val="30"/>
        <w:numPr>
          <w:ilvl w:val="0"/>
          <w:numId w:val="0"/>
        </w:numPr>
        <w:spacing w:line="600" w:lineRule="exact"/>
        <w:ind w:left="640" w:leftChars="0" w:firstLine="0" w:firstLineChars="0"/>
        <w:outlineLvl w:val="0"/>
        <w:rPr>
          <w:rStyle w:val="32"/>
          <w:rFonts w:ascii="黑体" w:hAnsi="黑体" w:eastAsia="黑体"/>
          <w:b w:val="0"/>
        </w:rPr>
      </w:pPr>
      <w:bookmarkStart w:id="33" w:name="_Toc14650"/>
      <w:r>
        <w:rPr>
          <w:rFonts w:hint="eastAsia" w:ascii="黑体" w:hAnsi="黑体" w:eastAsia="黑体"/>
          <w:sz w:val="32"/>
          <w:szCs w:val="32"/>
          <w:lang w:eastAsia="zh-CN"/>
        </w:rPr>
        <w:t>二、</w:t>
      </w:r>
      <w:r>
        <w:rPr>
          <w:rFonts w:hint="eastAsia" w:ascii="黑体" w:hAnsi="黑体" w:eastAsia="黑体"/>
          <w:sz w:val="32"/>
          <w:szCs w:val="32"/>
        </w:rPr>
        <w:t>收</w:t>
      </w:r>
      <w:r>
        <w:rPr>
          <w:rStyle w:val="32"/>
          <w:rFonts w:hint="eastAsia" w:ascii="黑体" w:hAnsi="黑体" w:eastAsia="黑体"/>
          <w:b w:val="0"/>
        </w:rPr>
        <w:t>入决算情况说明</w:t>
      </w:r>
      <w:bookmarkEnd w:id="31"/>
      <w:bookmarkEnd w:id="32"/>
      <w:bookmarkEnd w:id="33"/>
    </w:p>
    <w:p w14:paraId="4545B288">
      <w:pPr>
        <w:spacing w:line="600" w:lineRule="exact"/>
        <w:ind w:firstLine="640" w:firstLineChars="200"/>
        <w:jc w:val="left"/>
        <w:outlineLvl w:val="9"/>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年度本年收入合计934.86</w:t>
      </w:r>
      <w:r>
        <w:rPr>
          <w:rFonts w:hint="eastAsia" w:ascii="仿宋" w:hAnsi="仿宋" w:eastAsia="仿宋"/>
          <w:sz w:val="32"/>
          <w:szCs w:val="32"/>
          <w:lang w:val="en-US" w:eastAsia="zh-CN"/>
        </w:rPr>
        <w:t>(</w:t>
      </w:r>
      <w:r>
        <w:rPr>
          <w:sz w:val="32"/>
          <w:szCs w:val="32"/>
        </w:rPr>
        <w:t>874.05</w:t>
      </w:r>
      <w:r>
        <w:rPr>
          <w:rFonts w:hint="eastAsia" w:ascii="仿宋" w:hAnsi="仿宋" w:eastAsia="仿宋"/>
          <w:sz w:val="32"/>
          <w:szCs w:val="32"/>
        </w:rPr>
        <w:t>万元，其中：一般公共预算财政拨款收入934.86万元，占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1E596C7D">
      <w:pPr>
        <w:spacing w:line="600" w:lineRule="exact"/>
        <w:ind w:firstLine="640" w:firstLineChars="200"/>
        <w:outlineLvl w:val="9"/>
        <w:rPr>
          <w:rFonts w:hint="eastAsia" w:ascii="仿宋" w:hAnsi="仿宋" w:eastAsia="仿宋"/>
          <w:sz w:val="32"/>
          <w:szCs w:val="32"/>
        </w:rPr>
      </w:pPr>
      <w:r>
        <w:rPr>
          <w:rFonts w:hint="eastAsia" w:ascii="仿宋" w:hAnsi="仿宋" w:eastAsia="仿宋"/>
          <w:sz w:val="32"/>
          <w:szCs w:val="32"/>
        </w:rPr>
        <w:t>（图2：收入决算结构图）（饼状图）</w:t>
      </w:r>
    </w:p>
    <w:p w14:paraId="2E8D0DAB">
      <w:pPr>
        <w:spacing w:line="600" w:lineRule="exact"/>
        <w:ind w:firstLine="420" w:firstLineChars="200"/>
        <w:rPr>
          <w:rFonts w:ascii="仿宋_GB2312" w:eastAsia="仿宋_GB2312"/>
          <w:sz w:val="32"/>
          <w:szCs w:val="32"/>
        </w:rPr>
      </w:pPr>
      <w:r>
        <w:drawing>
          <wp:anchor distT="0" distB="0" distL="114300" distR="114300" simplePos="0" relativeHeight="251662336" behindDoc="0" locked="0" layoutInCell="1" allowOverlap="1">
            <wp:simplePos x="0" y="0"/>
            <wp:positionH relativeFrom="column">
              <wp:posOffset>-283210</wp:posOffset>
            </wp:positionH>
            <wp:positionV relativeFrom="paragraph">
              <wp:posOffset>185420</wp:posOffset>
            </wp:positionV>
            <wp:extent cx="5642610" cy="3164205"/>
            <wp:effectExtent l="4445" t="4445" r="10795" b="1270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7D68FAC">
      <w:pPr>
        <w:spacing w:line="600" w:lineRule="exact"/>
        <w:ind w:firstLine="640" w:firstLineChars="200"/>
        <w:rPr>
          <w:rFonts w:ascii="仿宋_GB2312" w:eastAsia="仿宋_GB2312"/>
          <w:sz w:val="32"/>
          <w:szCs w:val="32"/>
        </w:rPr>
      </w:pPr>
    </w:p>
    <w:p w14:paraId="5537E7DB">
      <w:pPr>
        <w:spacing w:line="600" w:lineRule="exact"/>
        <w:ind w:firstLine="640" w:firstLineChars="200"/>
        <w:rPr>
          <w:rFonts w:ascii="仿宋_GB2312" w:eastAsia="仿宋_GB2312"/>
          <w:sz w:val="32"/>
          <w:szCs w:val="32"/>
        </w:rPr>
      </w:pPr>
    </w:p>
    <w:p w14:paraId="1420F9A9">
      <w:pPr>
        <w:spacing w:line="600" w:lineRule="exact"/>
        <w:ind w:firstLine="640" w:firstLineChars="200"/>
        <w:rPr>
          <w:rFonts w:ascii="仿宋_GB2312" w:eastAsia="仿宋_GB2312"/>
          <w:sz w:val="32"/>
          <w:szCs w:val="32"/>
        </w:rPr>
      </w:pPr>
    </w:p>
    <w:p w14:paraId="3EF18030">
      <w:pPr>
        <w:spacing w:line="600" w:lineRule="exact"/>
        <w:ind w:firstLine="640" w:firstLineChars="200"/>
        <w:rPr>
          <w:rFonts w:ascii="仿宋_GB2312" w:eastAsia="仿宋_GB2312"/>
          <w:sz w:val="32"/>
          <w:szCs w:val="32"/>
        </w:rPr>
      </w:pPr>
    </w:p>
    <w:p w14:paraId="717F5BE6">
      <w:pPr>
        <w:spacing w:line="600" w:lineRule="exact"/>
        <w:ind w:firstLine="640" w:firstLineChars="200"/>
        <w:rPr>
          <w:rFonts w:ascii="仿宋_GB2312" w:eastAsia="仿宋_GB2312"/>
          <w:sz w:val="32"/>
          <w:szCs w:val="32"/>
        </w:rPr>
      </w:pPr>
    </w:p>
    <w:p w14:paraId="0C259281">
      <w:pPr>
        <w:spacing w:line="600" w:lineRule="exact"/>
        <w:ind w:firstLine="640" w:firstLineChars="200"/>
        <w:rPr>
          <w:rFonts w:ascii="仿宋_GB2312" w:eastAsia="仿宋_GB2312"/>
          <w:sz w:val="32"/>
          <w:szCs w:val="32"/>
        </w:rPr>
      </w:pPr>
    </w:p>
    <w:p w14:paraId="54AF81A0">
      <w:pPr>
        <w:pStyle w:val="30"/>
        <w:numPr>
          <w:ilvl w:val="0"/>
          <w:numId w:val="0"/>
        </w:numPr>
        <w:spacing w:line="600" w:lineRule="exact"/>
        <w:ind w:firstLine="640" w:firstLineChars="200"/>
        <w:outlineLvl w:val="9"/>
        <w:rPr>
          <w:rFonts w:hint="eastAsia" w:ascii="黑体" w:hAnsi="黑体" w:eastAsia="黑体"/>
          <w:sz w:val="32"/>
          <w:szCs w:val="32"/>
          <w:lang w:eastAsia="zh-CN"/>
        </w:rPr>
      </w:pPr>
      <w:bookmarkStart w:id="34" w:name="_Toc15377207"/>
      <w:bookmarkStart w:id="35" w:name="_Toc15396605"/>
    </w:p>
    <w:p w14:paraId="5C04D9BE">
      <w:pPr>
        <w:pStyle w:val="30"/>
        <w:numPr>
          <w:ilvl w:val="0"/>
          <w:numId w:val="0"/>
        </w:numPr>
        <w:spacing w:line="600" w:lineRule="exact"/>
        <w:ind w:firstLine="640" w:firstLineChars="200"/>
        <w:outlineLvl w:val="9"/>
        <w:rPr>
          <w:rFonts w:hint="eastAsia" w:ascii="黑体" w:hAnsi="黑体" w:eastAsia="黑体"/>
          <w:sz w:val="32"/>
          <w:szCs w:val="32"/>
          <w:lang w:eastAsia="zh-CN"/>
        </w:rPr>
      </w:pPr>
    </w:p>
    <w:p w14:paraId="23FED4C0">
      <w:pPr>
        <w:pStyle w:val="30"/>
        <w:numPr>
          <w:ilvl w:val="0"/>
          <w:numId w:val="0"/>
        </w:numPr>
        <w:spacing w:line="600" w:lineRule="exact"/>
        <w:ind w:left="0" w:leftChars="0" w:firstLine="640" w:firstLineChars="200"/>
        <w:outlineLvl w:val="0"/>
        <w:rPr>
          <w:rStyle w:val="32"/>
          <w:rFonts w:ascii="黑体" w:hAnsi="黑体" w:eastAsia="黑体"/>
          <w:b w:val="0"/>
        </w:rPr>
      </w:pPr>
      <w:bookmarkStart w:id="36" w:name="_Toc25201"/>
      <w:r>
        <w:rPr>
          <w:rFonts w:hint="eastAsia" w:ascii="黑体" w:hAnsi="黑体" w:eastAsia="黑体"/>
          <w:sz w:val="32"/>
          <w:szCs w:val="32"/>
          <w:lang w:eastAsia="zh-CN"/>
        </w:rPr>
        <w:t>三、</w:t>
      </w:r>
      <w:r>
        <w:rPr>
          <w:rFonts w:hint="eastAsia" w:ascii="黑体" w:hAnsi="黑体" w:eastAsia="黑体"/>
          <w:sz w:val="32"/>
          <w:szCs w:val="32"/>
        </w:rPr>
        <w:t>支</w:t>
      </w:r>
      <w:r>
        <w:rPr>
          <w:rStyle w:val="32"/>
          <w:rFonts w:hint="eastAsia" w:ascii="黑体" w:hAnsi="黑体" w:eastAsia="黑体"/>
          <w:b w:val="0"/>
        </w:rPr>
        <w:t>出决算情况说明</w:t>
      </w:r>
      <w:bookmarkEnd w:id="34"/>
      <w:bookmarkEnd w:id="35"/>
      <w:bookmarkEnd w:id="36"/>
    </w:p>
    <w:p w14:paraId="124FCBCF">
      <w:pPr>
        <w:spacing w:line="600" w:lineRule="exact"/>
        <w:ind w:firstLine="640" w:firstLineChars="200"/>
        <w:outlineLvl w:val="9"/>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年度本年支出合计934.86</w:t>
      </w:r>
      <w:r>
        <w:rPr>
          <w:rFonts w:hint="eastAsia" w:ascii="仿宋" w:hAnsi="仿宋" w:eastAsia="仿宋"/>
          <w:sz w:val="32"/>
          <w:szCs w:val="32"/>
          <w:lang w:val="en-US" w:eastAsia="zh-CN"/>
        </w:rPr>
        <w:t>(</w:t>
      </w:r>
      <w:r>
        <w:rPr>
          <w:sz w:val="32"/>
          <w:szCs w:val="32"/>
        </w:rPr>
        <w:t>874.05</w:t>
      </w:r>
      <w:r>
        <w:rPr>
          <w:rFonts w:hint="eastAsia" w:ascii="仿宋" w:hAnsi="仿宋" w:eastAsia="仿宋"/>
          <w:sz w:val="32"/>
          <w:szCs w:val="32"/>
        </w:rPr>
        <w:t>万元，其中：基本支出485.04万元，占</w:t>
      </w:r>
      <w:r>
        <w:rPr>
          <w:sz w:val="32"/>
          <w:szCs w:val="32"/>
        </w:rPr>
        <w:t>5</w:t>
      </w:r>
      <w:r>
        <w:rPr>
          <w:rFonts w:hint="eastAsia"/>
          <w:sz w:val="32"/>
          <w:szCs w:val="32"/>
          <w:lang w:val="en-US" w:eastAsia="zh-CN"/>
        </w:rPr>
        <w:t>2</w:t>
      </w:r>
      <w:r>
        <w:rPr>
          <w:rFonts w:ascii="仿宋" w:hAnsi="仿宋" w:eastAsia="仿宋"/>
          <w:sz w:val="32"/>
          <w:szCs w:val="32"/>
        </w:rPr>
        <w:t>%</w:t>
      </w:r>
      <w:r>
        <w:rPr>
          <w:rFonts w:hint="eastAsia" w:ascii="仿宋" w:hAnsi="仿宋" w:eastAsia="仿宋"/>
          <w:sz w:val="32"/>
          <w:szCs w:val="32"/>
        </w:rPr>
        <w:t>；项目支出449.82万元，占</w:t>
      </w:r>
      <w:r>
        <w:rPr>
          <w:sz w:val="32"/>
          <w:szCs w:val="32"/>
        </w:rPr>
        <w:t>4</w:t>
      </w:r>
      <w:r>
        <w:rPr>
          <w:rFonts w:hint="eastAsia"/>
          <w:sz w:val="32"/>
          <w:szCs w:val="32"/>
          <w:lang w:val="en-US" w:eastAsia="zh-CN"/>
        </w:rPr>
        <w:t>8</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4BAB6714">
      <w:pPr>
        <w:spacing w:line="600" w:lineRule="exact"/>
        <w:outlineLvl w:val="9"/>
        <w:rPr>
          <w:rFonts w:hint="eastAsia" w:ascii="黑体" w:hAnsi="黑体" w:eastAsia="黑体"/>
          <w:sz w:val="32"/>
          <w:szCs w:val="32"/>
        </w:rPr>
      </w:pPr>
      <w:r>
        <w:rPr>
          <w:rFonts w:hint="eastAsia" w:ascii="仿宋" w:hAnsi="仿宋" w:eastAsia="仿宋"/>
          <w:b/>
          <w:sz w:val="32"/>
          <w:szCs w:val="32"/>
          <w:lang w:val="en-US" w:eastAsia="zh-CN"/>
        </w:rPr>
        <w:t xml:space="preserve">    </w:t>
      </w:r>
      <w:r>
        <w:rPr>
          <w:rFonts w:hint="eastAsia" w:ascii="仿宋" w:hAnsi="仿宋" w:eastAsia="仿宋"/>
          <w:sz w:val="32"/>
          <w:szCs w:val="32"/>
        </w:rPr>
        <w:t>（图3：支出决算结构图）（饼状图）</w:t>
      </w:r>
      <w:r>
        <w:rPr>
          <w:rFonts w:hint="eastAsia"/>
          <w:lang w:val="en-US" w:eastAsia="zh-CN"/>
        </w:rPr>
        <w:drawing>
          <wp:anchor distT="0" distB="0" distL="114300" distR="114300" simplePos="0" relativeHeight="251663360" behindDoc="0" locked="0" layoutInCell="1" allowOverlap="1">
            <wp:simplePos x="0" y="0"/>
            <wp:positionH relativeFrom="column">
              <wp:posOffset>600710</wp:posOffset>
            </wp:positionH>
            <wp:positionV relativeFrom="paragraph">
              <wp:posOffset>259715</wp:posOffset>
            </wp:positionV>
            <wp:extent cx="3540125" cy="2130425"/>
            <wp:effectExtent l="4445" t="4445" r="17780" b="1778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7" w:name="_Toc15396606"/>
      <w:bookmarkStart w:id="38" w:name="_Toc15377208"/>
    </w:p>
    <w:p w14:paraId="68942C37">
      <w:pPr>
        <w:spacing w:line="600" w:lineRule="exact"/>
        <w:ind w:firstLine="640" w:firstLineChars="200"/>
        <w:outlineLvl w:val="0"/>
        <w:rPr>
          <w:rStyle w:val="32"/>
          <w:rFonts w:ascii="黑体" w:hAnsi="黑体" w:eastAsia="黑体"/>
          <w:b w:val="0"/>
        </w:rPr>
      </w:pPr>
      <w:bookmarkStart w:id="39" w:name="_Toc6285"/>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37"/>
      <w:bookmarkEnd w:id="38"/>
      <w:bookmarkEnd w:id="39"/>
    </w:p>
    <w:p w14:paraId="48051ACA">
      <w:pPr>
        <w:spacing w:line="600" w:lineRule="exact"/>
        <w:ind w:firstLine="640" w:firstLineChars="200"/>
        <w:jc w:val="left"/>
        <w:rPr>
          <w:rFonts w:ascii="仿宋" w:hAnsi="仿宋" w:eastAsia="仿宋_GB2312"/>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年度财政拨款收、支总计均为</w:t>
      </w:r>
      <w:r>
        <w:rPr>
          <w:rFonts w:hint="eastAsia" w:ascii="仿宋" w:hAnsi="仿宋" w:eastAsia="仿宋"/>
          <w:sz w:val="32"/>
          <w:szCs w:val="32"/>
          <w:lang w:val="en-US" w:eastAsia="zh-CN"/>
        </w:rPr>
        <w:t>934.86</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年度相比，财政拨款收、支总计各</w:t>
      </w:r>
      <w:bookmarkStart w:id="40" w:name="OLE_LINK18"/>
      <w:r>
        <w:rPr>
          <w:rFonts w:hint="eastAsia" w:ascii="仿宋" w:hAnsi="仿宋" w:eastAsia="仿宋"/>
          <w:sz w:val="32"/>
          <w:szCs w:val="32"/>
          <w:lang w:eastAsia="zh-CN"/>
        </w:rPr>
        <w:t>增加</w:t>
      </w:r>
      <w:r>
        <w:rPr>
          <w:rFonts w:hint="eastAsia" w:ascii="仿宋" w:hAnsi="仿宋" w:eastAsia="仿宋"/>
          <w:sz w:val="32"/>
          <w:szCs w:val="32"/>
          <w:lang w:val="en-US" w:eastAsia="zh-CN"/>
        </w:rPr>
        <w:t>60.81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_GB2312" w:eastAsia="仿宋_GB2312" w:cs="仿宋_GB2312"/>
          <w:sz w:val="32"/>
          <w:szCs w:val="32"/>
        </w:rPr>
        <w:t>总体</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科普项目资金拨入所</w:t>
      </w:r>
      <w:r>
        <w:rPr>
          <w:rFonts w:hint="eastAsia" w:ascii="仿宋_GB2312" w:hAnsi="仿宋_GB2312" w:eastAsia="仿宋_GB2312" w:cs="仿宋_GB2312"/>
          <w:sz w:val="32"/>
          <w:szCs w:val="32"/>
          <w:lang w:eastAsia="zh-CN"/>
        </w:rPr>
        <w:t>致</w:t>
      </w:r>
      <w:r>
        <w:rPr>
          <w:rFonts w:hint="eastAsia" w:ascii="仿宋_GB2312" w:hAnsi="仿宋_GB2312" w:eastAsia="仿宋_GB2312" w:cs="仿宋_GB2312"/>
          <w:sz w:val="32"/>
          <w:szCs w:val="32"/>
        </w:rPr>
        <w:t>。</w:t>
      </w:r>
    </w:p>
    <w:bookmarkEnd w:id="40"/>
    <w:p w14:paraId="67423DFA">
      <w:pPr>
        <w:spacing w:line="600" w:lineRule="exact"/>
        <w:ind w:firstLine="640"/>
        <w:rPr>
          <w:rFonts w:ascii="仿宋" w:hAnsi="仿宋" w:eastAsia="仿宋"/>
          <w:sz w:val="32"/>
          <w:szCs w:val="32"/>
        </w:rPr>
      </w:pPr>
      <w:r>
        <w:rPr>
          <w:rFonts w:hint="eastAsia" w:ascii="仿宋" w:hAnsi="仿宋" w:eastAsia="仿宋"/>
          <w:sz w:val="32"/>
          <w:szCs w:val="32"/>
        </w:rPr>
        <w:t>（图4：财政拨款收、支决算总计变动情况）（柱状图）</w:t>
      </w:r>
    </w:p>
    <w:p w14:paraId="5D72A53C">
      <w:pPr>
        <w:spacing w:line="600" w:lineRule="exact"/>
        <w:ind w:firstLine="640"/>
        <w:rPr>
          <w:rFonts w:ascii="仿宋" w:hAnsi="仿宋" w:eastAsia="仿宋"/>
          <w:b/>
          <w:sz w:val="32"/>
          <w:szCs w:val="32"/>
        </w:rPr>
      </w:pPr>
      <w:r>
        <w:rPr>
          <w:rFonts w:hint="eastAsia"/>
          <w:lang w:val="en-US" w:eastAsia="zh-CN"/>
        </w:rPr>
        <w:drawing>
          <wp:anchor distT="0" distB="0" distL="114300" distR="114300" simplePos="0" relativeHeight="251664384" behindDoc="0" locked="0" layoutInCell="1" allowOverlap="1">
            <wp:simplePos x="0" y="0"/>
            <wp:positionH relativeFrom="column">
              <wp:posOffset>199390</wp:posOffset>
            </wp:positionH>
            <wp:positionV relativeFrom="paragraph">
              <wp:posOffset>213360</wp:posOffset>
            </wp:positionV>
            <wp:extent cx="4582795" cy="1962150"/>
            <wp:effectExtent l="4445" t="4445" r="15240" b="14605"/>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EE3E361">
      <w:pPr>
        <w:spacing w:line="600" w:lineRule="exact"/>
        <w:ind w:firstLine="640" w:firstLineChars="200"/>
        <w:outlineLvl w:val="9"/>
        <w:rPr>
          <w:rFonts w:hint="eastAsia" w:ascii="黑体" w:hAnsi="黑体" w:eastAsia="黑体"/>
          <w:sz w:val="32"/>
          <w:szCs w:val="32"/>
        </w:rPr>
      </w:pPr>
      <w:bookmarkStart w:id="41" w:name="_Toc15377209"/>
      <w:bookmarkStart w:id="42" w:name="_Toc15396607"/>
    </w:p>
    <w:p w14:paraId="373467B3">
      <w:pPr>
        <w:spacing w:line="600" w:lineRule="exact"/>
        <w:ind w:firstLine="640" w:firstLineChars="200"/>
        <w:outlineLvl w:val="9"/>
        <w:rPr>
          <w:rFonts w:hint="eastAsia" w:ascii="黑体" w:hAnsi="黑体" w:eastAsia="黑体"/>
          <w:sz w:val="32"/>
          <w:szCs w:val="32"/>
        </w:rPr>
      </w:pPr>
    </w:p>
    <w:p w14:paraId="6375E649">
      <w:pPr>
        <w:spacing w:line="600" w:lineRule="exact"/>
        <w:ind w:firstLine="640" w:firstLineChars="200"/>
        <w:outlineLvl w:val="9"/>
        <w:rPr>
          <w:rFonts w:hint="eastAsia" w:ascii="黑体" w:hAnsi="黑体" w:eastAsia="黑体"/>
          <w:sz w:val="32"/>
          <w:szCs w:val="32"/>
        </w:rPr>
      </w:pPr>
    </w:p>
    <w:p w14:paraId="184D9B11">
      <w:pPr>
        <w:spacing w:line="600" w:lineRule="exact"/>
        <w:ind w:firstLine="640" w:firstLineChars="200"/>
        <w:outlineLvl w:val="9"/>
        <w:rPr>
          <w:rFonts w:hint="eastAsia" w:ascii="黑体" w:hAnsi="黑体" w:eastAsia="黑体"/>
          <w:sz w:val="32"/>
          <w:szCs w:val="32"/>
        </w:rPr>
      </w:pPr>
    </w:p>
    <w:p w14:paraId="0B08193D">
      <w:pPr>
        <w:spacing w:line="600" w:lineRule="exact"/>
        <w:ind w:firstLine="640" w:firstLineChars="200"/>
        <w:outlineLvl w:val="9"/>
        <w:rPr>
          <w:rFonts w:hint="eastAsia" w:ascii="黑体" w:hAnsi="黑体" w:eastAsia="黑体"/>
          <w:sz w:val="32"/>
          <w:szCs w:val="32"/>
        </w:rPr>
      </w:pPr>
    </w:p>
    <w:p w14:paraId="66825D62">
      <w:pPr>
        <w:spacing w:line="600" w:lineRule="exact"/>
        <w:ind w:firstLine="640" w:firstLineChars="200"/>
        <w:outlineLvl w:val="0"/>
        <w:rPr>
          <w:rStyle w:val="32"/>
          <w:rFonts w:ascii="黑体" w:hAnsi="黑体" w:eastAsia="黑体"/>
          <w:b w:val="0"/>
        </w:rPr>
      </w:pPr>
      <w:bookmarkStart w:id="43" w:name="_Toc24167"/>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41"/>
      <w:bookmarkEnd w:id="42"/>
      <w:bookmarkEnd w:id="43"/>
    </w:p>
    <w:p w14:paraId="4DA91DA3">
      <w:pPr>
        <w:spacing w:line="600" w:lineRule="exact"/>
        <w:ind w:firstLine="643" w:firstLineChars="200"/>
        <w:outlineLvl w:val="1"/>
        <w:rPr>
          <w:rFonts w:ascii="仿宋" w:hAnsi="仿宋" w:eastAsia="仿宋"/>
          <w:b/>
          <w:sz w:val="32"/>
          <w:szCs w:val="32"/>
        </w:rPr>
      </w:pPr>
      <w:bookmarkStart w:id="44" w:name="_Toc15377210"/>
      <w:r>
        <w:rPr>
          <w:rFonts w:hint="eastAsia" w:ascii="仿宋" w:hAnsi="仿宋" w:eastAsia="仿宋"/>
          <w:b/>
          <w:sz w:val="32"/>
          <w:szCs w:val="32"/>
        </w:rPr>
        <w:t>（一）一般公共预算财政拨款支出决算总体情况</w:t>
      </w:r>
      <w:bookmarkEnd w:id="44"/>
    </w:p>
    <w:p w14:paraId="7311BCAC">
      <w:pPr>
        <w:spacing w:line="600" w:lineRule="exact"/>
        <w:ind w:firstLine="640" w:firstLineChars="200"/>
        <w:jc w:val="left"/>
        <w:rPr>
          <w:rFonts w:ascii="仿宋" w:hAnsi="仿宋" w:eastAsia="仿宋_GB2312"/>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w:t>
      </w:r>
      <w:r>
        <w:rPr>
          <w:rFonts w:hint="eastAsia" w:eastAsia="仿宋"/>
          <w:sz w:val="32"/>
          <w:szCs w:val="32"/>
          <w:lang w:val="en-US" w:eastAsia="zh-CN"/>
        </w:rPr>
        <w:t>934.86</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年度相比，一般公共预算财政拨款支出</w:t>
      </w:r>
      <w:r>
        <w:rPr>
          <w:rFonts w:hint="eastAsia" w:ascii="仿宋" w:hAnsi="仿宋" w:eastAsia="仿宋"/>
          <w:sz w:val="32"/>
          <w:szCs w:val="32"/>
          <w:lang w:eastAsia="zh-CN"/>
        </w:rPr>
        <w:t>增加</w:t>
      </w:r>
      <w:r>
        <w:rPr>
          <w:rFonts w:hint="eastAsia" w:ascii="仿宋" w:hAnsi="仿宋" w:eastAsia="仿宋"/>
          <w:sz w:val="32"/>
          <w:szCs w:val="32"/>
          <w:lang w:val="en-US" w:eastAsia="zh-CN"/>
        </w:rPr>
        <w:t>60.81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_GB2312" w:eastAsia="仿宋_GB2312" w:cs="仿宋_GB2312"/>
          <w:sz w:val="32"/>
          <w:szCs w:val="32"/>
        </w:rPr>
        <w:t>总体</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科普项目资金拨入所</w:t>
      </w:r>
      <w:r>
        <w:rPr>
          <w:rFonts w:hint="eastAsia" w:ascii="仿宋_GB2312" w:hAnsi="仿宋_GB2312" w:eastAsia="仿宋_GB2312" w:cs="仿宋_GB2312"/>
          <w:sz w:val="32"/>
          <w:szCs w:val="32"/>
          <w:lang w:eastAsia="zh-CN"/>
        </w:rPr>
        <w:t>致</w:t>
      </w:r>
      <w:r>
        <w:rPr>
          <w:rFonts w:hint="eastAsia" w:ascii="仿宋_GB2312" w:hAnsi="仿宋_GB2312" w:eastAsia="仿宋_GB2312" w:cs="仿宋_GB2312"/>
          <w:sz w:val="32"/>
          <w:szCs w:val="32"/>
        </w:rPr>
        <w:t>。</w:t>
      </w:r>
    </w:p>
    <w:p w14:paraId="310740DC">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1B0444D2">
      <w:pPr>
        <w:spacing w:line="600" w:lineRule="exact"/>
        <w:ind w:firstLine="420" w:firstLineChars="200"/>
        <w:rPr>
          <w:rFonts w:ascii="仿宋" w:hAnsi="仿宋" w:eastAsia="仿宋"/>
          <w:sz w:val="32"/>
          <w:szCs w:val="32"/>
        </w:rPr>
      </w:pPr>
      <w:r>
        <w:rPr>
          <w:rFonts w:hint="eastAsia"/>
          <w:lang w:val="en-US" w:eastAsia="zh-CN"/>
        </w:rPr>
        <w:drawing>
          <wp:anchor distT="0" distB="0" distL="114300" distR="114300" simplePos="0" relativeHeight="251665408" behindDoc="0" locked="0" layoutInCell="1" allowOverlap="1">
            <wp:simplePos x="0" y="0"/>
            <wp:positionH relativeFrom="column">
              <wp:posOffset>852170</wp:posOffset>
            </wp:positionH>
            <wp:positionV relativeFrom="paragraph">
              <wp:posOffset>61595</wp:posOffset>
            </wp:positionV>
            <wp:extent cx="3949065" cy="1960880"/>
            <wp:effectExtent l="4445" t="4445" r="8890" b="1587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D7388A9">
      <w:pPr>
        <w:spacing w:line="600" w:lineRule="exact"/>
        <w:ind w:firstLine="643" w:firstLineChars="200"/>
        <w:outlineLvl w:val="9"/>
        <w:rPr>
          <w:rFonts w:hint="eastAsia" w:ascii="仿宋" w:hAnsi="仿宋" w:eastAsia="仿宋"/>
          <w:b/>
          <w:sz w:val="32"/>
          <w:szCs w:val="32"/>
        </w:rPr>
      </w:pPr>
      <w:bookmarkStart w:id="45" w:name="_Toc15377211"/>
    </w:p>
    <w:p w14:paraId="75A87683">
      <w:pPr>
        <w:spacing w:line="600" w:lineRule="exact"/>
        <w:outlineLvl w:val="9"/>
        <w:rPr>
          <w:rFonts w:hint="eastAsia" w:ascii="仿宋" w:hAnsi="仿宋" w:eastAsia="仿宋"/>
          <w:b/>
          <w:sz w:val="32"/>
          <w:szCs w:val="32"/>
        </w:rPr>
      </w:pPr>
    </w:p>
    <w:p w14:paraId="1FE57F18">
      <w:pPr>
        <w:spacing w:line="600" w:lineRule="exact"/>
        <w:ind w:firstLine="643" w:firstLineChars="200"/>
        <w:outlineLvl w:val="1"/>
        <w:rPr>
          <w:rFonts w:hint="eastAsia" w:ascii="仿宋" w:hAnsi="仿宋" w:eastAsia="仿宋"/>
          <w:b/>
          <w:sz w:val="32"/>
          <w:szCs w:val="32"/>
        </w:rPr>
      </w:pPr>
    </w:p>
    <w:p w14:paraId="2A51AF1D">
      <w:pPr>
        <w:spacing w:line="600" w:lineRule="exact"/>
        <w:ind w:firstLine="643" w:firstLineChars="200"/>
        <w:outlineLvl w:val="1"/>
        <w:rPr>
          <w:rFonts w:hint="eastAsia" w:ascii="仿宋" w:hAnsi="仿宋" w:eastAsia="仿宋"/>
          <w:b/>
          <w:sz w:val="32"/>
          <w:szCs w:val="32"/>
        </w:rPr>
      </w:pPr>
    </w:p>
    <w:p w14:paraId="331F7BA0">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（二）一般公共预算财政拨款支出决算结构情况</w:t>
      </w:r>
      <w:bookmarkEnd w:id="45"/>
    </w:p>
    <w:p w14:paraId="0C9416A9">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w:t>
      </w:r>
      <w:r>
        <w:rPr>
          <w:rFonts w:hint="eastAsia" w:ascii="仿宋" w:hAnsi="仿宋" w:eastAsia="仿宋"/>
          <w:sz w:val="32"/>
          <w:szCs w:val="32"/>
          <w:lang w:val="en-US" w:eastAsia="zh-CN"/>
        </w:rPr>
        <w:t>934.86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b w:val="0"/>
          <w:bCs w:val="0"/>
          <w:sz w:val="32"/>
          <w:szCs w:val="32"/>
          <w:lang w:val="en-US" w:eastAsia="zh-CN"/>
        </w:rPr>
        <w:t>761.14</w:t>
      </w:r>
      <w:r>
        <w:rPr>
          <w:rFonts w:hint="eastAsia" w:ascii="仿宋" w:hAnsi="仿宋" w:eastAsia="仿宋"/>
          <w:sz w:val="32"/>
          <w:szCs w:val="32"/>
        </w:rPr>
        <w:t>万元，占8</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12</w:t>
      </w:r>
      <w:r>
        <w:rPr>
          <w:rFonts w:hint="eastAsia" w:ascii="仿宋" w:hAnsi="仿宋" w:eastAsia="仿宋"/>
          <w:sz w:val="32"/>
          <w:szCs w:val="32"/>
          <w:lang w:val="en-US" w:eastAsia="zh-CN"/>
        </w:rPr>
        <w:t>8.02</w:t>
      </w:r>
      <w:r>
        <w:rPr>
          <w:rFonts w:hint="eastAsia" w:ascii="仿宋" w:hAnsi="仿宋" w:eastAsia="仿宋"/>
          <w:sz w:val="32"/>
          <w:szCs w:val="32"/>
        </w:rPr>
        <w:t>万元，占14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21.</w:t>
      </w:r>
      <w:r>
        <w:rPr>
          <w:rFonts w:hint="eastAsia" w:ascii="仿宋" w:hAnsi="仿宋" w:eastAsia="仿宋"/>
          <w:sz w:val="32"/>
          <w:szCs w:val="32"/>
          <w:lang w:val="en-US" w:eastAsia="zh-CN"/>
        </w:rPr>
        <w:t>43</w:t>
      </w:r>
      <w:r>
        <w:rPr>
          <w:rFonts w:hint="eastAsia" w:ascii="仿宋" w:hAnsi="仿宋" w:eastAsia="仿宋"/>
          <w:sz w:val="32"/>
          <w:szCs w:val="32"/>
        </w:rPr>
        <w:t>万元，占2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w:t>
      </w:r>
      <w:r>
        <w:rPr>
          <w:rFonts w:hint="eastAsia" w:ascii="仿宋" w:hAnsi="仿宋" w:eastAsia="仿宋"/>
          <w:sz w:val="32"/>
          <w:szCs w:val="32"/>
          <w:lang w:val="en-US" w:eastAsia="zh-CN"/>
        </w:rPr>
        <w:t>4.27</w:t>
      </w:r>
      <w:r>
        <w:rPr>
          <w:rFonts w:hint="eastAsia" w:ascii="仿宋" w:hAnsi="仿宋" w:eastAsia="仿宋"/>
          <w:sz w:val="32"/>
          <w:szCs w:val="32"/>
        </w:rPr>
        <w:t>万元，占</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w:t>
      </w:r>
    </w:p>
    <w:p w14:paraId="5C8701D2">
      <w:pPr>
        <w:spacing w:line="600" w:lineRule="exact"/>
        <w:ind w:firstLine="640"/>
        <w:rPr>
          <w:rFonts w:hint="eastAsia" w:ascii="仿宋" w:hAnsi="仿宋" w:eastAsia="仿宋"/>
          <w:sz w:val="32"/>
          <w:szCs w:val="32"/>
        </w:rPr>
      </w:pPr>
      <w:r>
        <w:rPr>
          <w:rFonts w:hint="eastAsia" w:ascii="仿宋" w:hAnsi="仿宋" w:eastAsia="仿宋"/>
          <w:sz w:val="32"/>
          <w:szCs w:val="32"/>
        </w:rPr>
        <w:t>（图6：一般公共预算财政拨款支出决算结构）（饼状图）</w:t>
      </w:r>
      <w:bookmarkStart w:id="46" w:name="_Toc15377212"/>
    </w:p>
    <w:p w14:paraId="09589DA0">
      <w:pPr>
        <w:pStyle w:val="2"/>
        <w:ind w:firstLine="600" w:firstLineChars="200"/>
        <w:rPr>
          <w:rFonts w:hint="eastAsia"/>
          <w:lang w:val="en-US"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667385</wp:posOffset>
            </wp:positionH>
            <wp:positionV relativeFrom="paragraph">
              <wp:posOffset>206375</wp:posOffset>
            </wp:positionV>
            <wp:extent cx="4401820" cy="2739390"/>
            <wp:effectExtent l="4445" t="4445" r="1333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FBF3A21">
      <w:pPr>
        <w:pStyle w:val="2"/>
        <w:ind w:firstLine="600" w:firstLineChars="200"/>
        <w:rPr>
          <w:rFonts w:ascii="仿宋" w:hAnsi="仿宋" w:eastAsia="仿宋"/>
          <w:b/>
          <w:sz w:val="32"/>
          <w:szCs w:val="32"/>
        </w:rPr>
      </w:pPr>
      <w:r>
        <w:rPr>
          <w:rFonts w:hint="eastAsia"/>
          <w:lang w:val="en-US" w:eastAsia="zh-CN"/>
        </w:rPr>
        <w:t>(</w:t>
      </w:r>
      <w:r>
        <w:rPr>
          <w:rFonts w:hint="eastAsia" w:ascii="仿宋" w:hAnsi="仿宋" w:eastAsia="仿宋"/>
          <w:b/>
          <w:sz w:val="32"/>
          <w:szCs w:val="32"/>
        </w:rPr>
        <w:t>三）一般公共预算财政拨款支出决算具体情况</w:t>
      </w:r>
      <w:bookmarkEnd w:id="46"/>
    </w:p>
    <w:p w14:paraId="0C1B823F">
      <w:pPr>
        <w:spacing w:line="600" w:lineRule="exact"/>
        <w:ind w:firstLine="643" w:firstLineChars="200"/>
        <w:outlineLvl w:val="9"/>
        <w:rPr>
          <w:rFonts w:ascii="仿宋" w:hAnsi="仿宋" w:eastAsia="仿宋"/>
          <w:sz w:val="32"/>
          <w:szCs w:val="32"/>
        </w:rPr>
      </w:pPr>
      <w:bookmarkStart w:id="47" w:name="_Toc15377444"/>
      <w:bookmarkStart w:id="48" w:name="_Toc15377213"/>
      <w:bookmarkStart w:id="49" w:name="_Toc15378460"/>
      <w:r>
        <w:rPr>
          <w:rFonts w:hint="eastAsia" w:ascii="仿宋" w:hAnsi="仿宋" w:eastAsia="仿宋"/>
          <w:b/>
          <w:sz w:val="32"/>
          <w:szCs w:val="32"/>
          <w:lang w:val="en-US" w:eastAsia="zh-CN"/>
        </w:rPr>
        <w:t>2024</w:t>
      </w:r>
      <w:r>
        <w:rPr>
          <w:rFonts w:hint="eastAsia" w:ascii="仿宋" w:hAnsi="仿宋" w:eastAsia="仿宋"/>
          <w:b/>
          <w:sz w:val="32"/>
          <w:szCs w:val="32"/>
        </w:rPr>
        <w:t>年度一般公共预算支出决算数为</w:t>
      </w:r>
      <w:r>
        <w:rPr>
          <w:rFonts w:hint="eastAsia" w:ascii="仿宋" w:hAnsi="仿宋" w:eastAsia="仿宋"/>
          <w:b/>
          <w:sz w:val="32"/>
          <w:szCs w:val="32"/>
          <w:lang w:val="en-US" w:eastAsia="zh-CN"/>
        </w:rPr>
        <w:t>934.86</w:t>
      </w:r>
      <w:r>
        <w:rPr>
          <w:rFonts w:hint="eastAsia" w:ascii="仿宋" w:hAnsi="仿宋" w:eastAsia="仿宋"/>
          <w:sz w:val="32"/>
          <w:szCs w:val="32"/>
        </w:rPr>
        <w:t>，</w:t>
      </w:r>
      <w:r>
        <w:rPr>
          <w:rStyle w:val="20"/>
          <w:rFonts w:hint="eastAsia" w:ascii="仿宋" w:hAnsi="仿宋" w:eastAsia="仿宋"/>
          <w:bCs/>
          <w:sz w:val="32"/>
          <w:szCs w:val="32"/>
        </w:rPr>
        <w:t>完成预</w:t>
      </w:r>
      <w:r>
        <w:rPr>
          <w:rStyle w:val="20"/>
          <w:rFonts w:hint="eastAsia" w:ascii="仿宋" w:hAnsi="仿宋" w:eastAsia="仿宋"/>
          <w:bCs/>
          <w:color w:val="auto"/>
          <w:sz w:val="32"/>
          <w:szCs w:val="32"/>
        </w:rPr>
        <w:t>算1</w:t>
      </w:r>
      <w:r>
        <w:rPr>
          <w:rStyle w:val="20"/>
          <w:rFonts w:hint="eastAsia" w:ascii="仿宋" w:hAnsi="仿宋" w:eastAsia="仿宋"/>
          <w:bCs/>
          <w:color w:val="auto"/>
          <w:sz w:val="32"/>
          <w:szCs w:val="32"/>
          <w:lang w:val="en-US" w:eastAsia="zh-CN"/>
        </w:rPr>
        <w:t>24</w:t>
      </w:r>
      <w:r>
        <w:rPr>
          <w:rStyle w:val="20"/>
          <w:rFonts w:ascii="仿宋" w:hAnsi="仿宋" w:eastAsia="仿宋"/>
          <w:bCs/>
          <w:color w:val="auto"/>
          <w:sz w:val="32"/>
          <w:szCs w:val="32"/>
        </w:rPr>
        <w:t>%</w:t>
      </w:r>
      <w:r>
        <w:rPr>
          <w:rStyle w:val="20"/>
          <w:rFonts w:hint="eastAsia" w:ascii="仿宋" w:hAnsi="仿宋" w:eastAsia="仿宋"/>
          <w:bCs/>
          <w:color w:val="auto"/>
          <w:sz w:val="32"/>
          <w:szCs w:val="32"/>
        </w:rPr>
        <w:t>。其中：</w:t>
      </w:r>
      <w:bookmarkEnd w:id="47"/>
      <w:bookmarkEnd w:id="48"/>
      <w:bookmarkEnd w:id="49"/>
    </w:p>
    <w:p w14:paraId="1C5F467F">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bCs/>
          <w:sz w:val="32"/>
          <w:szCs w:val="32"/>
          <w:lang w:val="en-US" w:eastAsia="zh-CN"/>
        </w:rPr>
        <w:t>1</w:t>
      </w:r>
      <w:r>
        <w:rPr>
          <w:rStyle w:val="20"/>
          <w:rFonts w:ascii="仿宋" w:hAnsi="仿宋" w:eastAsia="仿宋"/>
          <w:bCs/>
          <w:sz w:val="32"/>
          <w:szCs w:val="32"/>
        </w:rPr>
        <w:t>.</w:t>
      </w:r>
      <w:r>
        <w:rPr>
          <w:rStyle w:val="20"/>
          <w:rFonts w:hint="eastAsia" w:ascii="仿宋" w:hAnsi="仿宋" w:eastAsia="仿宋"/>
          <w:bCs/>
          <w:sz w:val="32"/>
          <w:szCs w:val="32"/>
        </w:rPr>
        <w:t>科学技术支出（206类）科学技术普及（07款）机构运行（01项）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支出决算为基本支出</w:t>
      </w:r>
      <w:r>
        <w:rPr>
          <w:rStyle w:val="20"/>
          <w:rFonts w:hint="eastAsia" w:ascii="仿宋" w:hAnsi="仿宋" w:eastAsia="仿宋"/>
          <w:b w:val="0"/>
          <w:bCs/>
          <w:sz w:val="32"/>
          <w:szCs w:val="32"/>
          <w:lang w:val="en-US" w:eastAsia="zh-CN"/>
        </w:rPr>
        <w:t>485.04</w:t>
      </w:r>
      <w:r>
        <w:rPr>
          <w:rStyle w:val="20"/>
          <w:rFonts w:hint="eastAsia" w:ascii="仿宋" w:hAnsi="仿宋" w:eastAsia="仿宋"/>
          <w:b w:val="0"/>
          <w:bCs/>
          <w:sz w:val="32"/>
          <w:szCs w:val="32"/>
        </w:rPr>
        <w:t>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2FC7273E">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color w:val="000000"/>
          <w:sz w:val="32"/>
          <w:szCs w:val="32"/>
          <w:lang w:val="en-US" w:eastAsia="zh-CN"/>
        </w:rPr>
        <w:t>2</w:t>
      </w:r>
      <w:r>
        <w:rPr>
          <w:rStyle w:val="20"/>
          <w:rFonts w:hint="eastAsia" w:ascii="仿宋" w:hAnsi="仿宋" w:eastAsia="仿宋"/>
          <w:b w:val="0"/>
          <w:bCs/>
          <w:color w:val="000000"/>
          <w:sz w:val="32"/>
          <w:szCs w:val="32"/>
        </w:rPr>
        <w:t>.</w:t>
      </w:r>
      <w:r>
        <w:rPr>
          <w:rStyle w:val="20"/>
          <w:rFonts w:hint="eastAsia" w:ascii="仿宋" w:hAnsi="仿宋" w:eastAsia="仿宋"/>
          <w:bCs/>
          <w:color w:val="000000"/>
          <w:sz w:val="32"/>
          <w:szCs w:val="32"/>
        </w:rPr>
        <w:t>科学技术</w:t>
      </w:r>
      <w:r>
        <w:rPr>
          <w:rStyle w:val="20"/>
          <w:rFonts w:hint="eastAsia" w:ascii="仿宋" w:hAnsi="仿宋" w:eastAsia="仿宋"/>
          <w:bCs/>
          <w:sz w:val="32"/>
          <w:szCs w:val="32"/>
        </w:rPr>
        <w:t>支出</w:t>
      </w:r>
      <w:r>
        <w:rPr>
          <w:rStyle w:val="20"/>
          <w:rFonts w:hint="eastAsia" w:ascii="仿宋" w:hAnsi="仿宋" w:eastAsia="仿宋"/>
          <w:bCs/>
          <w:color w:val="000000"/>
          <w:sz w:val="32"/>
          <w:szCs w:val="32"/>
        </w:rPr>
        <w:t>（206类）科学技术普及（07款）科普活动（02项）：</w:t>
      </w:r>
      <w:r>
        <w:rPr>
          <w:rStyle w:val="20"/>
          <w:rFonts w:hint="eastAsia" w:ascii="仿宋" w:hAnsi="仿宋" w:eastAsia="仿宋"/>
          <w:b w:val="0"/>
          <w:bCs/>
          <w:color w:val="000000"/>
          <w:sz w:val="32"/>
          <w:szCs w:val="32"/>
        </w:rPr>
        <w:t>支出决算为项目支出12万元，完成预算100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，决算与预算数持平。</w:t>
      </w:r>
    </w:p>
    <w:p w14:paraId="3B5FD0BE">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color w:val="000000"/>
          <w:sz w:val="32"/>
          <w:szCs w:val="32"/>
          <w:lang w:val="en-US" w:eastAsia="zh-CN"/>
        </w:rPr>
        <w:t>3</w:t>
      </w:r>
      <w:r>
        <w:rPr>
          <w:rStyle w:val="20"/>
          <w:rFonts w:hint="eastAsia" w:ascii="仿宋" w:hAnsi="仿宋" w:eastAsia="仿宋"/>
          <w:color w:val="000000"/>
          <w:sz w:val="32"/>
          <w:szCs w:val="32"/>
        </w:rPr>
        <w:t>.</w:t>
      </w:r>
      <w:r>
        <w:rPr>
          <w:rStyle w:val="20"/>
          <w:rFonts w:hint="eastAsia" w:ascii="仿宋" w:hAnsi="仿宋" w:eastAsia="仿宋"/>
          <w:bCs/>
          <w:color w:val="000000"/>
          <w:sz w:val="32"/>
          <w:szCs w:val="32"/>
        </w:rPr>
        <w:t>科学技术</w:t>
      </w:r>
      <w:r>
        <w:rPr>
          <w:rStyle w:val="20"/>
          <w:rFonts w:hint="eastAsia" w:ascii="仿宋" w:hAnsi="仿宋" w:eastAsia="仿宋"/>
          <w:bCs/>
          <w:sz w:val="32"/>
          <w:szCs w:val="32"/>
        </w:rPr>
        <w:t>支出</w:t>
      </w:r>
      <w:r>
        <w:rPr>
          <w:rStyle w:val="20"/>
          <w:rFonts w:hint="eastAsia" w:ascii="仿宋" w:hAnsi="仿宋" w:eastAsia="仿宋"/>
          <w:bCs/>
          <w:color w:val="000000"/>
          <w:sz w:val="32"/>
          <w:szCs w:val="32"/>
        </w:rPr>
        <w:t>（206类）科学技术普及（07款）青少年科技活动（03项）：</w:t>
      </w:r>
      <w:r>
        <w:rPr>
          <w:rStyle w:val="20"/>
          <w:rFonts w:hint="eastAsia" w:ascii="仿宋" w:hAnsi="仿宋" w:eastAsia="仿宋"/>
          <w:b w:val="0"/>
          <w:bCs/>
          <w:color w:val="000000"/>
          <w:sz w:val="32"/>
          <w:szCs w:val="32"/>
        </w:rPr>
        <w:t>支出决算为项目支出2.8万元，完成调整预算100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，决算与预算数持平。</w:t>
      </w:r>
    </w:p>
    <w:p w14:paraId="422646B8">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color w:val="000000"/>
          <w:sz w:val="32"/>
          <w:szCs w:val="32"/>
          <w:lang w:val="en-US" w:eastAsia="zh-CN"/>
        </w:rPr>
        <w:t>4</w:t>
      </w:r>
      <w:r>
        <w:rPr>
          <w:rStyle w:val="20"/>
          <w:rFonts w:hint="eastAsia" w:ascii="仿宋" w:hAnsi="仿宋" w:eastAsia="仿宋"/>
          <w:color w:val="000000"/>
          <w:sz w:val="32"/>
          <w:szCs w:val="32"/>
        </w:rPr>
        <w:t>.</w:t>
      </w:r>
      <w:r>
        <w:rPr>
          <w:rStyle w:val="20"/>
          <w:rFonts w:hint="eastAsia" w:ascii="仿宋" w:hAnsi="仿宋" w:eastAsia="仿宋"/>
          <w:bCs/>
          <w:color w:val="000000"/>
          <w:sz w:val="32"/>
          <w:szCs w:val="32"/>
        </w:rPr>
        <w:t>科学技术</w:t>
      </w:r>
      <w:r>
        <w:rPr>
          <w:rStyle w:val="20"/>
          <w:rFonts w:hint="eastAsia" w:ascii="仿宋" w:hAnsi="仿宋" w:eastAsia="仿宋"/>
          <w:bCs/>
          <w:sz w:val="32"/>
          <w:szCs w:val="32"/>
        </w:rPr>
        <w:t>支出</w:t>
      </w:r>
      <w:r>
        <w:rPr>
          <w:rStyle w:val="20"/>
          <w:rFonts w:hint="eastAsia" w:ascii="仿宋" w:hAnsi="仿宋" w:eastAsia="仿宋"/>
          <w:bCs/>
          <w:color w:val="000000"/>
          <w:sz w:val="32"/>
          <w:szCs w:val="32"/>
        </w:rPr>
        <w:t>（206类）科学技术普及（07款）学术交流活动（04项）：</w:t>
      </w:r>
      <w:r>
        <w:rPr>
          <w:rStyle w:val="20"/>
          <w:rFonts w:hint="eastAsia" w:ascii="仿宋" w:hAnsi="仿宋" w:eastAsia="仿宋"/>
          <w:b w:val="0"/>
          <w:bCs/>
          <w:color w:val="000000"/>
          <w:sz w:val="32"/>
          <w:szCs w:val="32"/>
        </w:rPr>
        <w:t>支出决算为项目支出12万元，完成预算100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，决算与预算数持平。</w:t>
      </w:r>
    </w:p>
    <w:p w14:paraId="30055D5A">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sz w:val="32"/>
          <w:szCs w:val="32"/>
          <w:lang w:val="en-US" w:eastAsia="zh-CN"/>
        </w:rPr>
        <w:t>5</w:t>
      </w:r>
      <w:r>
        <w:rPr>
          <w:rStyle w:val="20"/>
          <w:rFonts w:hint="eastAsia" w:ascii="仿宋" w:hAnsi="仿宋" w:eastAsia="仿宋"/>
          <w:sz w:val="32"/>
          <w:szCs w:val="32"/>
        </w:rPr>
        <w:t>.</w:t>
      </w:r>
      <w:r>
        <w:rPr>
          <w:rStyle w:val="20"/>
          <w:rFonts w:hint="eastAsia" w:ascii="仿宋" w:hAnsi="仿宋" w:eastAsia="仿宋"/>
          <w:bCs/>
          <w:sz w:val="32"/>
          <w:szCs w:val="32"/>
        </w:rPr>
        <w:t>科学技术支出（206类）科学技术普及（07款）其他科学技术普及支出（99项）：</w:t>
      </w:r>
      <w:r>
        <w:rPr>
          <w:rStyle w:val="20"/>
          <w:rFonts w:hint="eastAsia" w:ascii="仿宋" w:hAnsi="仿宋" w:eastAsia="仿宋"/>
          <w:b w:val="0"/>
          <w:bCs/>
          <w:sz w:val="32"/>
          <w:szCs w:val="32"/>
        </w:rPr>
        <w:t>支出决算为项目支出384.60万元，完成预算100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1798AD37">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color w:val="000000"/>
          <w:sz w:val="32"/>
          <w:szCs w:val="32"/>
          <w:lang w:val="en-US" w:eastAsia="zh-CN"/>
        </w:rPr>
        <w:t>6</w:t>
      </w:r>
      <w:r>
        <w:rPr>
          <w:rStyle w:val="20"/>
          <w:rFonts w:hint="eastAsia" w:ascii="仿宋" w:hAnsi="仿宋" w:eastAsia="仿宋"/>
          <w:color w:val="000000"/>
          <w:sz w:val="32"/>
          <w:szCs w:val="32"/>
        </w:rPr>
        <w:t>.科学技术</w:t>
      </w:r>
      <w:r>
        <w:rPr>
          <w:rStyle w:val="20"/>
          <w:rFonts w:hint="eastAsia" w:ascii="仿宋" w:hAnsi="仿宋" w:eastAsia="仿宋"/>
          <w:bCs/>
          <w:sz w:val="32"/>
          <w:szCs w:val="32"/>
        </w:rPr>
        <w:t>支出</w:t>
      </w:r>
      <w:r>
        <w:rPr>
          <w:rStyle w:val="20"/>
          <w:rFonts w:hint="eastAsia" w:ascii="仿宋" w:hAnsi="仿宋" w:eastAsia="仿宋"/>
          <w:color w:val="000000"/>
          <w:sz w:val="32"/>
          <w:szCs w:val="32"/>
        </w:rPr>
        <w:t>（206类）其他科学技术支出（99款）其他科学技术支出（99项）：</w:t>
      </w:r>
      <w:r>
        <w:rPr>
          <w:rStyle w:val="20"/>
          <w:rFonts w:hint="eastAsia" w:ascii="仿宋" w:hAnsi="仿宋" w:eastAsia="仿宋"/>
          <w:b w:val="0"/>
          <w:bCs/>
          <w:color w:val="000000"/>
          <w:sz w:val="32"/>
          <w:szCs w:val="32"/>
        </w:rPr>
        <w:t>支出决算为项目支出</w:t>
      </w:r>
      <w:r>
        <w:rPr>
          <w:rStyle w:val="20"/>
          <w:rFonts w:hint="eastAsia" w:ascii="仿宋" w:hAnsi="仿宋" w:eastAsia="仿宋"/>
          <w:b w:val="0"/>
          <w:bCs/>
          <w:color w:val="000000"/>
          <w:sz w:val="32"/>
          <w:szCs w:val="32"/>
          <w:lang w:val="en-US" w:eastAsia="zh-CN"/>
        </w:rPr>
        <w:t>38.42</w:t>
      </w:r>
      <w:r>
        <w:rPr>
          <w:rStyle w:val="20"/>
          <w:rFonts w:hint="eastAsia" w:ascii="仿宋" w:hAnsi="仿宋" w:eastAsia="仿宋"/>
          <w:b w:val="0"/>
          <w:bCs/>
          <w:color w:val="000000"/>
          <w:sz w:val="32"/>
          <w:szCs w:val="32"/>
        </w:rPr>
        <w:t>万元，完成预算100</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18AC7B53">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bCs/>
          <w:sz w:val="32"/>
          <w:szCs w:val="32"/>
          <w:lang w:val="en-US" w:eastAsia="zh-CN"/>
        </w:rPr>
        <w:t>7</w:t>
      </w:r>
      <w:r>
        <w:rPr>
          <w:rStyle w:val="20"/>
          <w:rFonts w:ascii="仿宋" w:hAnsi="仿宋" w:eastAsia="仿宋"/>
          <w:bCs/>
          <w:sz w:val="32"/>
          <w:szCs w:val="32"/>
        </w:rPr>
        <w:t>.</w:t>
      </w:r>
      <w:r>
        <w:rPr>
          <w:rStyle w:val="20"/>
          <w:rFonts w:hint="eastAsia" w:ascii="仿宋" w:hAnsi="仿宋" w:eastAsia="仿宋"/>
          <w:bCs/>
          <w:sz w:val="32"/>
          <w:szCs w:val="32"/>
        </w:rPr>
        <w:t>社会保障和就业支出（208类）行政单位养老支出（05款）行政单位离退休（01项）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支出决算为基本支出</w:t>
      </w:r>
      <w:r>
        <w:rPr>
          <w:rStyle w:val="20"/>
          <w:rFonts w:hint="eastAsia" w:ascii="仿宋" w:hAnsi="仿宋" w:eastAsia="仿宋"/>
          <w:b w:val="0"/>
          <w:bCs/>
          <w:sz w:val="32"/>
          <w:szCs w:val="32"/>
          <w:lang w:val="en-US" w:eastAsia="zh-CN"/>
        </w:rPr>
        <w:t>82.69</w:t>
      </w:r>
      <w:r>
        <w:rPr>
          <w:rStyle w:val="20"/>
          <w:rFonts w:hint="eastAsia" w:ascii="仿宋" w:hAnsi="仿宋" w:eastAsia="仿宋"/>
          <w:b w:val="0"/>
          <w:bCs/>
          <w:sz w:val="32"/>
          <w:szCs w:val="32"/>
        </w:rPr>
        <w:t>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2ACCE3CF">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sz w:val="32"/>
          <w:szCs w:val="32"/>
          <w:lang w:val="en-US" w:eastAsia="zh-CN"/>
        </w:rPr>
        <w:t>8</w:t>
      </w:r>
      <w:r>
        <w:rPr>
          <w:rStyle w:val="20"/>
          <w:rFonts w:hint="eastAsia" w:ascii="仿宋" w:hAnsi="仿宋" w:eastAsia="仿宋"/>
          <w:sz w:val="32"/>
          <w:szCs w:val="32"/>
        </w:rPr>
        <w:t>.</w:t>
      </w:r>
      <w:r>
        <w:rPr>
          <w:rStyle w:val="20"/>
          <w:rFonts w:hint="eastAsia" w:ascii="仿宋" w:hAnsi="仿宋" w:eastAsia="仿宋"/>
          <w:bCs/>
          <w:sz w:val="32"/>
          <w:szCs w:val="32"/>
        </w:rPr>
        <w:t>社会保障和就业支出（208类）行政单位养老支出（05款）事业单位离退休（02项）</w:t>
      </w:r>
      <w:r>
        <w:rPr>
          <w:rStyle w:val="20"/>
          <w:rFonts w:ascii="仿宋" w:hAnsi="仿宋" w:eastAsia="仿宋"/>
          <w:bCs/>
          <w:sz w:val="32"/>
          <w:szCs w:val="32"/>
        </w:rPr>
        <w:t>:</w:t>
      </w:r>
      <w:r>
        <w:rPr>
          <w:rStyle w:val="20"/>
          <w:rFonts w:ascii="仿宋" w:hAnsi="仿宋" w:eastAsia="仿宋"/>
          <w:b w:val="0"/>
          <w:bCs/>
          <w:color w:val="FF0000"/>
          <w:sz w:val="32"/>
          <w:szCs w:val="32"/>
        </w:rPr>
        <w:t xml:space="preserve"> </w:t>
      </w:r>
      <w:r>
        <w:rPr>
          <w:rStyle w:val="20"/>
          <w:rFonts w:hint="eastAsia" w:ascii="仿宋" w:hAnsi="仿宋" w:eastAsia="仿宋"/>
          <w:b w:val="0"/>
          <w:bCs/>
          <w:sz w:val="32"/>
          <w:szCs w:val="32"/>
        </w:rPr>
        <w:t>支出决算为基本支出2.</w:t>
      </w:r>
      <w:r>
        <w:rPr>
          <w:rStyle w:val="20"/>
          <w:rFonts w:hint="eastAsia" w:ascii="仿宋" w:hAnsi="仿宋" w:eastAsia="仿宋"/>
          <w:b w:val="0"/>
          <w:bCs/>
          <w:sz w:val="32"/>
          <w:szCs w:val="32"/>
          <w:lang w:val="en-US" w:eastAsia="zh-CN"/>
        </w:rPr>
        <w:t>35</w:t>
      </w:r>
      <w:r>
        <w:rPr>
          <w:rStyle w:val="20"/>
          <w:rFonts w:hint="eastAsia" w:ascii="仿宋" w:hAnsi="仿宋" w:eastAsia="仿宋"/>
          <w:b w:val="0"/>
          <w:bCs/>
          <w:sz w:val="32"/>
          <w:szCs w:val="32"/>
        </w:rPr>
        <w:t>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6E2BC696">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bCs/>
          <w:sz w:val="32"/>
          <w:szCs w:val="32"/>
          <w:lang w:val="en-US" w:eastAsia="zh-CN"/>
        </w:rPr>
        <w:t>9</w:t>
      </w:r>
      <w:r>
        <w:rPr>
          <w:rStyle w:val="20"/>
          <w:rFonts w:ascii="仿宋" w:hAnsi="仿宋" w:eastAsia="仿宋"/>
          <w:bCs/>
          <w:sz w:val="32"/>
          <w:szCs w:val="32"/>
        </w:rPr>
        <w:t>.</w:t>
      </w:r>
      <w:r>
        <w:rPr>
          <w:rStyle w:val="20"/>
          <w:rFonts w:hint="eastAsia" w:ascii="仿宋" w:hAnsi="仿宋" w:eastAsia="仿宋"/>
          <w:bCs/>
          <w:sz w:val="32"/>
          <w:szCs w:val="32"/>
        </w:rPr>
        <w:t>社会保障和就业支出（208类）行政事业单位离退休（05款）机关事业单位基本养老保险缴费（05项）</w:t>
      </w:r>
      <w:r>
        <w:rPr>
          <w:rStyle w:val="20"/>
          <w:rFonts w:ascii="仿宋" w:hAnsi="仿宋" w:eastAsia="仿宋"/>
          <w:bCs/>
          <w:sz w:val="32"/>
          <w:szCs w:val="32"/>
        </w:rPr>
        <w:t xml:space="preserve">: </w:t>
      </w:r>
      <w:r>
        <w:rPr>
          <w:rStyle w:val="20"/>
          <w:rFonts w:hint="eastAsia" w:ascii="仿宋" w:hAnsi="仿宋" w:eastAsia="仿宋"/>
          <w:b w:val="0"/>
          <w:bCs/>
          <w:sz w:val="32"/>
          <w:szCs w:val="32"/>
        </w:rPr>
        <w:t>支出决算为基本支出</w:t>
      </w:r>
      <w:r>
        <w:rPr>
          <w:rStyle w:val="20"/>
          <w:rFonts w:hint="eastAsia" w:ascii="仿宋" w:hAnsi="仿宋" w:eastAsia="仿宋"/>
          <w:b w:val="0"/>
          <w:bCs/>
          <w:sz w:val="32"/>
          <w:szCs w:val="32"/>
          <w:lang w:val="en-US" w:eastAsia="zh-CN"/>
        </w:rPr>
        <w:t>28.71</w:t>
      </w:r>
      <w:r>
        <w:rPr>
          <w:rStyle w:val="20"/>
          <w:rFonts w:hint="eastAsia" w:ascii="仿宋" w:hAnsi="仿宋" w:eastAsia="仿宋"/>
          <w:b w:val="0"/>
          <w:bCs/>
          <w:sz w:val="32"/>
          <w:szCs w:val="32"/>
        </w:rPr>
        <w:t>万元，完成预算100%，完成预算100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3AD2FC33">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bCs/>
          <w:sz w:val="32"/>
          <w:szCs w:val="32"/>
        </w:rPr>
        <w:t>1</w:t>
      </w:r>
      <w:r>
        <w:rPr>
          <w:rStyle w:val="20"/>
          <w:rFonts w:hint="eastAsia" w:ascii="仿宋" w:hAnsi="仿宋" w:eastAsia="仿宋"/>
          <w:bCs/>
          <w:sz w:val="32"/>
          <w:szCs w:val="32"/>
          <w:lang w:val="en-US" w:eastAsia="zh-CN"/>
        </w:rPr>
        <w:t>0</w:t>
      </w:r>
      <w:r>
        <w:rPr>
          <w:rStyle w:val="20"/>
          <w:rFonts w:ascii="仿宋" w:hAnsi="仿宋" w:eastAsia="仿宋"/>
          <w:bCs/>
          <w:sz w:val="32"/>
          <w:szCs w:val="32"/>
        </w:rPr>
        <w:t>.</w:t>
      </w:r>
      <w:r>
        <w:rPr>
          <w:rStyle w:val="20"/>
          <w:rFonts w:hint="eastAsia" w:ascii="仿宋" w:hAnsi="仿宋" w:eastAsia="仿宋"/>
          <w:bCs/>
          <w:sz w:val="32"/>
          <w:szCs w:val="32"/>
        </w:rPr>
        <w:t>社会保障和就业支出（208类）行政事业单位离退休（05款）机关事业单位职业年金缴费支出（06项）</w:t>
      </w:r>
      <w:r>
        <w:rPr>
          <w:rStyle w:val="20"/>
          <w:rFonts w:ascii="仿宋" w:hAnsi="仿宋" w:eastAsia="仿宋"/>
          <w:bCs/>
          <w:sz w:val="32"/>
          <w:szCs w:val="32"/>
        </w:rPr>
        <w:t>:</w:t>
      </w:r>
      <w:r>
        <w:rPr>
          <w:rStyle w:val="20"/>
          <w:rFonts w:ascii="仿宋" w:hAnsi="仿宋" w:eastAsia="仿宋"/>
          <w:b w:val="0"/>
          <w:sz w:val="32"/>
          <w:szCs w:val="32"/>
        </w:rPr>
        <w:t xml:space="preserve"> </w:t>
      </w:r>
      <w:r>
        <w:rPr>
          <w:rStyle w:val="20"/>
          <w:rFonts w:hint="eastAsia" w:ascii="仿宋" w:hAnsi="仿宋" w:eastAsia="仿宋"/>
          <w:b w:val="0"/>
          <w:sz w:val="32"/>
          <w:szCs w:val="32"/>
        </w:rPr>
        <w:t>支出决算为</w:t>
      </w:r>
      <w:r>
        <w:rPr>
          <w:rStyle w:val="20"/>
          <w:rFonts w:hint="eastAsia" w:ascii="仿宋" w:hAnsi="仿宋" w:eastAsia="仿宋"/>
          <w:b w:val="0"/>
          <w:bCs/>
          <w:sz w:val="32"/>
          <w:szCs w:val="32"/>
        </w:rPr>
        <w:t>基本支出</w:t>
      </w:r>
      <w:r>
        <w:rPr>
          <w:rStyle w:val="20"/>
          <w:rFonts w:hint="eastAsia" w:ascii="仿宋" w:hAnsi="仿宋" w:eastAsia="仿宋"/>
          <w:b w:val="0"/>
          <w:sz w:val="32"/>
          <w:szCs w:val="32"/>
        </w:rPr>
        <w:t>14.</w:t>
      </w:r>
      <w:r>
        <w:rPr>
          <w:rStyle w:val="20"/>
          <w:rFonts w:hint="eastAsia" w:ascii="仿宋" w:hAnsi="仿宋" w:eastAsia="仿宋"/>
          <w:b w:val="0"/>
          <w:sz w:val="32"/>
          <w:szCs w:val="32"/>
          <w:lang w:val="en-US" w:eastAsia="zh-CN"/>
        </w:rPr>
        <w:t>27</w:t>
      </w:r>
      <w:r>
        <w:rPr>
          <w:rStyle w:val="20"/>
          <w:rFonts w:hint="eastAsia" w:ascii="仿宋" w:hAnsi="仿宋" w:eastAsia="仿宋"/>
          <w:b w:val="0"/>
          <w:sz w:val="32"/>
          <w:szCs w:val="32"/>
        </w:rPr>
        <w:t>万元，</w:t>
      </w:r>
      <w:r>
        <w:rPr>
          <w:rStyle w:val="20"/>
          <w:rFonts w:hint="eastAsia" w:ascii="仿宋" w:hAnsi="仿宋" w:eastAsia="仿宋"/>
          <w:b w:val="0"/>
          <w:bCs/>
          <w:sz w:val="32"/>
          <w:szCs w:val="32"/>
        </w:rPr>
        <w:t>完成预算100%，完成预算100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6ECD6C75">
      <w:pPr>
        <w:spacing w:line="600" w:lineRule="exact"/>
        <w:ind w:firstLine="643" w:firstLineChars="200"/>
        <w:rPr>
          <w:rStyle w:val="20"/>
          <w:rFonts w:ascii="仿宋" w:hAnsi="仿宋" w:eastAsia="仿宋"/>
          <w:b w:val="0"/>
          <w:bCs/>
          <w:sz w:val="32"/>
          <w:szCs w:val="32"/>
        </w:rPr>
      </w:pPr>
      <w:r>
        <w:rPr>
          <w:rStyle w:val="20"/>
          <w:rFonts w:hint="eastAsia" w:ascii="仿宋" w:hAnsi="仿宋" w:eastAsia="仿宋"/>
          <w:bCs/>
          <w:sz w:val="32"/>
          <w:szCs w:val="32"/>
        </w:rPr>
        <w:t>1</w:t>
      </w:r>
      <w:r>
        <w:rPr>
          <w:rStyle w:val="20"/>
          <w:rFonts w:hint="eastAsia" w:ascii="仿宋" w:hAnsi="仿宋" w:eastAsia="仿宋"/>
          <w:bCs/>
          <w:sz w:val="32"/>
          <w:szCs w:val="32"/>
          <w:lang w:val="en-US" w:eastAsia="zh-CN"/>
        </w:rPr>
        <w:t>1</w:t>
      </w:r>
      <w:r>
        <w:rPr>
          <w:rStyle w:val="20"/>
          <w:rFonts w:ascii="仿宋" w:hAnsi="仿宋" w:eastAsia="仿宋"/>
          <w:bCs/>
          <w:sz w:val="32"/>
          <w:szCs w:val="32"/>
        </w:rPr>
        <w:t>.</w:t>
      </w:r>
      <w:r>
        <w:rPr>
          <w:rStyle w:val="20"/>
          <w:rFonts w:hint="eastAsia" w:ascii="仿宋" w:hAnsi="仿宋" w:eastAsia="仿宋"/>
          <w:bCs/>
          <w:sz w:val="32"/>
          <w:szCs w:val="32"/>
        </w:rPr>
        <w:t>卫生健康支出（210类）行政事业单位医疗（11款）行政单位医疗（01项）</w:t>
      </w:r>
      <w:r>
        <w:rPr>
          <w:rStyle w:val="20"/>
          <w:rFonts w:ascii="仿宋" w:hAnsi="仿宋" w:eastAsia="仿宋"/>
          <w:bCs/>
          <w:sz w:val="32"/>
          <w:szCs w:val="32"/>
        </w:rPr>
        <w:t>:</w:t>
      </w:r>
      <w:r>
        <w:rPr>
          <w:rStyle w:val="20"/>
          <w:rFonts w:hint="eastAsia" w:ascii="仿宋" w:hAnsi="仿宋" w:eastAsia="仿宋"/>
          <w:b w:val="0"/>
          <w:bCs/>
          <w:sz w:val="32"/>
          <w:szCs w:val="32"/>
        </w:rPr>
        <w:t>支出决算为基本支出</w:t>
      </w:r>
      <w:r>
        <w:rPr>
          <w:rStyle w:val="20"/>
          <w:rFonts w:hint="eastAsia" w:ascii="仿宋" w:hAnsi="仿宋" w:eastAsia="仿宋"/>
          <w:b w:val="0"/>
          <w:bCs/>
          <w:sz w:val="32"/>
          <w:szCs w:val="32"/>
          <w:lang w:val="en-US" w:eastAsia="zh-CN"/>
        </w:rPr>
        <w:t>6.96</w:t>
      </w:r>
      <w:r>
        <w:rPr>
          <w:rStyle w:val="20"/>
          <w:rFonts w:hint="eastAsia" w:ascii="仿宋" w:hAnsi="仿宋" w:eastAsia="仿宋"/>
          <w:b w:val="0"/>
          <w:bCs/>
          <w:sz w:val="32"/>
          <w:szCs w:val="32"/>
        </w:rPr>
        <w:t>万元，完成预算的100</w:t>
      </w:r>
      <w:r>
        <w:rPr>
          <w:rStyle w:val="20"/>
          <w:rFonts w:ascii="仿宋" w:hAnsi="仿宋" w:eastAsia="仿宋"/>
          <w:b w:val="0"/>
          <w:bCs/>
          <w:sz w:val="32"/>
          <w:szCs w:val="32"/>
        </w:rPr>
        <w:t>%</w:t>
      </w:r>
      <w:r>
        <w:rPr>
          <w:rStyle w:val="20"/>
          <w:rFonts w:hint="eastAsia" w:ascii="仿宋" w:hAnsi="仿宋" w:eastAsia="仿宋"/>
          <w:b w:val="0"/>
          <w:bCs/>
          <w:sz w:val="32"/>
          <w:szCs w:val="32"/>
        </w:rPr>
        <w:t>，完成预算100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4C44967E">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bCs/>
          <w:sz w:val="32"/>
          <w:szCs w:val="32"/>
        </w:rPr>
        <w:t>1</w:t>
      </w:r>
      <w:r>
        <w:rPr>
          <w:rStyle w:val="20"/>
          <w:rFonts w:hint="eastAsia" w:ascii="仿宋" w:hAnsi="仿宋" w:eastAsia="仿宋"/>
          <w:bCs/>
          <w:sz w:val="32"/>
          <w:szCs w:val="32"/>
          <w:lang w:val="en-US" w:eastAsia="zh-CN"/>
        </w:rPr>
        <w:t>2</w:t>
      </w:r>
      <w:r>
        <w:rPr>
          <w:rStyle w:val="20"/>
          <w:rFonts w:ascii="仿宋" w:hAnsi="仿宋" w:eastAsia="仿宋"/>
          <w:bCs/>
          <w:sz w:val="32"/>
          <w:szCs w:val="32"/>
        </w:rPr>
        <w:t>.</w:t>
      </w:r>
      <w:r>
        <w:rPr>
          <w:rStyle w:val="20"/>
          <w:rFonts w:hint="eastAsia" w:ascii="仿宋" w:hAnsi="仿宋" w:eastAsia="仿宋"/>
          <w:bCs/>
          <w:sz w:val="32"/>
          <w:szCs w:val="32"/>
        </w:rPr>
        <w:t>卫生健康支出（210类）行政事业单位医疗（11款）事业单位医疗（02项）</w:t>
      </w:r>
      <w:r>
        <w:rPr>
          <w:rStyle w:val="20"/>
          <w:rFonts w:ascii="仿宋" w:hAnsi="仿宋" w:eastAsia="仿宋"/>
          <w:bCs/>
          <w:sz w:val="32"/>
          <w:szCs w:val="32"/>
        </w:rPr>
        <w:t>:</w:t>
      </w:r>
      <w:r>
        <w:rPr>
          <w:rStyle w:val="20"/>
          <w:rFonts w:hint="eastAsia" w:ascii="仿宋" w:hAnsi="仿宋" w:eastAsia="仿宋"/>
          <w:b w:val="0"/>
          <w:bCs/>
          <w:sz w:val="32"/>
          <w:szCs w:val="32"/>
        </w:rPr>
        <w:t>支出决算为基本支出2.</w:t>
      </w:r>
      <w:r>
        <w:rPr>
          <w:rStyle w:val="20"/>
          <w:rFonts w:hint="eastAsia" w:ascii="仿宋" w:hAnsi="仿宋" w:eastAsia="仿宋"/>
          <w:b w:val="0"/>
          <w:bCs/>
          <w:sz w:val="32"/>
          <w:szCs w:val="32"/>
          <w:lang w:val="en-US" w:eastAsia="zh-CN"/>
        </w:rPr>
        <w:t>8</w:t>
      </w:r>
      <w:r>
        <w:rPr>
          <w:rStyle w:val="20"/>
          <w:rFonts w:hint="eastAsia" w:ascii="仿宋" w:hAnsi="仿宋" w:eastAsia="仿宋"/>
          <w:b w:val="0"/>
          <w:bCs/>
          <w:sz w:val="32"/>
          <w:szCs w:val="32"/>
        </w:rPr>
        <w:t>万元，完成预算的100</w:t>
      </w:r>
      <w:r>
        <w:rPr>
          <w:rStyle w:val="20"/>
          <w:rFonts w:ascii="仿宋" w:hAnsi="仿宋" w:eastAsia="仿宋"/>
          <w:b w:val="0"/>
          <w:bCs/>
          <w:sz w:val="32"/>
          <w:szCs w:val="32"/>
        </w:rPr>
        <w:t>%</w:t>
      </w:r>
      <w:r>
        <w:rPr>
          <w:rStyle w:val="20"/>
          <w:rFonts w:hint="eastAsia" w:ascii="仿宋" w:hAnsi="仿宋" w:eastAsia="仿宋"/>
          <w:b w:val="0"/>
          <w:bCs/>
          <w:sz w:val="32"/>
          <w:szCs w:val="32"/>
        </w:rPr>
        <w:t>，完成预算100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370BB6DA">
      <w:pPr>
        <w:spacing w:line="600" w:lineRule="exact"/>
        <w:ind w:firstLine="643" w:firstLineChars="200"/>
        <w:rPr>
          <w:rStyle w:val="20"/>
          <w:rFonts w:ascii="仿宋" w:hAnsi="仿宋" w:eastAsia="仿宋"/>
          <w:b w:val="0"/>
          <w:bCs/>
          <w:sz w:val="32"/>
          <w:szCs w:val="32"/>
        </w:rPr>
      </w:pPr>
      <w:r>
        <w:rPr>
          <w:rStyle w:val="20"/>
          <w:rFonts w:hint="eastAsia" w:ascii="仿宋" w:hAnsi="仿宋" w:eastAsia="仿宋"/>
          <w:sz w:val="32"/>
          <w:szCs w:val="32"/>
        </w:rPr>
        <w:t>1</w:t>
      </w:r>
      <w:r>
        <w:rPr>
          <w:rStyle w:val="20"/>
          <w:rFonts w:hint="eastAsia" w:ascii="仿宋" w:hAnsi="仿宋" w:eastAsia="仿宋"/>
          <w:sz w:val="32"/>
          <w:szCs w:val="32"/>
          <w:lang w:val="en-US" w:eastAsia="zh-CN"/>
        </w:rPr>
        <w:t>3</w:t>
      </w:r>
      <w:r>
        <w:rPr>
          <w:rStyle w:val="20"/>
          <w:rFonts w:hint="eastAsia" w:ascii="仿宋" w:hAnsi="仿宋" w:eastAsia="仿宋"/>
          <w:sz w:val="32"/>
          <w:szCs w:val="32"/>
        </w:rPr>
        <w:t>.</w:t>
      </w:r>
      <w:r>
        <w:rPr>
          <w:rStyle w:val="20"/>
          <w:rFonts w:hint="eastAsia" w:ascii="仿宋" w:hAnsi="仿宋" w:eastAsia="仿宋"/>
          <w:bCs/>
          <w:sz w:val="32"/>
          <w:szCs w:val="32"/>
        </w:rPr>
        <w:t>卫生健康支出（210类）行政事业单位医疗（11款）公务员医疗补助（03项）</w:t>
      </w:r>
      <w:r>
        <w:rPr>
          <w:rStyle w:val="20"/>
          <w:rFonts w:ascii="仿宋" w:hAnsi="仿宋" w:eastAsia="仿宋"/>
          <w:bCs/>
          <w:sz w:val="32"/>
          <w:szCs w:val="32"/>
        </w:rPr>
        <w:t>:</w:t>
      </w:r>
      <w:r>
        <w:rPr>
          <w:rStyle w:val="20"/>
          <w:rFonts w:hint="eastAsia" w:ascii="仿宋" w:hAnsi="仿宋" w:eastAsia="仿宋"/>
          <w:b w:val="0"/>
          <w:bCs/>
          <w:sz w:val="32"/>
          <w:szCs w:val="32"/>
        </w:rPr>
        <w:t>支出决算为基本支出8.</w:t>
      </w:r>
      <w:r>
        <w:rPr>
          <w:rStyle w:val="20"/>
          <w:rFonts w:hint="eastAsia" w:ascii="仿宋" w:hAnsi="仿宋" w:eastAsia="仿宋"/>
          <w:b w:val="0"/>
          <w:bCs/>
          <w:sz w:val="32"/>
          <w:szCs w:val="32"/>
          <w:lang w:val="en-US" w:eastAsia="zh-CN"/>
        </w:rPr>
        <w:t>66</w:t>
      </w:r>
      <w:r>
        <w:rPr>
          <w:rStyle w:val="20"/>
          <w:rFonts w:hint="eastAsia" w:ascii="仿宋" w:hAnsi="仿宋" w:eastAsia="仿宋"/>
          <w:b w:val="0"/>
          <w:bCs/>
          <w:sz w:val="32"/>
          <w:szCs w:val="32"/>
        </w:rPr>
        <w:t>万元，完成预算的100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sz w:val="32"/>
          <w:szCs w:val="32"/>
        </w:rPr>
        <w:t>决算数与预算数持平</w:t>
      </w:r>
      <w:r>
        <w:rPr>
          <w:rStyle w:val="20"/>
          <w:rFonts w:hint="eastAsia" w:ascii="仿宋" w:hAnsi="仿宋" w:eastAsia="仿宋"/>
          <w:b w:val="0"/>
          <w:bCs/>
          <w:sz w:val="32"/>
          <w:szCs w:val="32"/>
        </w:rPr>
        <w:t>。</w:t>
      </w:r>
    </w:p>
    <w:p w14:paraId="2F747AF3">
      <w:pPr>
        <w:spacing w:line="600" w:lineRule="exact"/>
        <w:ind w:firstLine="643" w:firstLineChars="200"/>
        <w:rPr>
          <w:rStyle w:val="20"/>
          <w:rFonts w:hint="eastAsia" w:ascii="仿宋" w:hAnsi="仿宋" w:eastAsia="仿宋"/>
          <w:b w:val="0"/>
          <w:bCs/>
          <w:color w:val="000000"/>
          <w:sz w:val="32"/>
          <w:szCs w:val="32"/>
        </w:rPr>
      </w:pPr>
      <w:r>
        <w:rPr>
          <w:rStyle w:val="20"/>
          <w:rFonts w:hint="eastAsia" w:ascii="仿宋" w:hAnsi="仿宋" w:eastAsia="仿宋"/>
          <w:sz w:val="32"/>
          <w:szCs w:val="32"/>
        </w:rPr>
        <w:t>1</w:t>
      </w:r>
      <w:r>
        <w:rPr>
          <w:rStyle w:val="20"/>
          <w:rFonts w:hint="eastAsia" w:ascii="仿宋" w:hAnsi="仿宋" w:eastAsia="仿宋"/>
          <w:sz w:val="32"/>
          <w:szCs w:val="32"/>
          <w:lang w:val="en-US" w:eastAsia="zh-CN"/>
        </w:rPr>
        <w:t>4</w:t>
      </w:r>
      <w:r>
        <w:rPr>
          <w:rStyle w:val="20"/>
          <w:rFonts w:hint="eastAsia" w:ascii="仿宋" w:hAnsi="仿宋" w:eastAsia="仿宋"/>
          <w:sz w:val="32"/>
          <w:szCs w:val="32"/>
        </w:rPr>
        <w:t>.</w:t>
      </w:r>
      <w:r>
        <w:rPr>
          <w:rStyle w:val="20"/>
          <w:rFonts w:hint="eastAsia" w:ascii="仿宋" w:hAnsi="仿宋" w:eastAsia="仿宋"/>
          <w:bCs/>
          <w:sz w:val="32"/>
          <w:szCs w:val="32"/>
        </w:rPr>
        <w:t>卫生健康支出（210类）行政事业单位医疗（11款）其他行政事业单位医疗支出（99项）</w:t>
      </w:r>
      <w:r>
        <w:rPr>
          <w:rStyle w:val="20"/>
          <w:rFonts w:ascii="仿宋" w:hAnsi="仿宋" w:eastAsia="仿宋"/>
          <w:bCs/>
          <w:sz w:val="32"/>
          <w:szCs w:val="32"/>
        </w:rPr>
        <w:t>:</w:t>
      </w:r>
      <w:r>
        <w:rPr>
          <w:rStyle w:val="20"/>
          <w:rFonts w:hint="eastAsia" w:ascii="仿宋" w:hAnsi="仿宋" w:eastAsia="仿宋"/>
          <w:b w:val="0"/>
          <w:bCs/>
          <w:sz w:val="32"/>
          <w:szCs w:val="32"/>
        </w:rPr>
        <w:t>支出决算为基本支出</w:t>
      </w:r>
      <w:r>
        <w:rPr>
          <w:rStyle w:val="20"/>
          <w:rFonts w:hint="eastAsia" w:ascii="仿宋" w:hAnsi="仿宋" w:eastAsia="仿宋"/>
          <w:b w:val="0"/>
          <w:bCs/>
          <w:sz w:val="32"/>
          <w:szCs w:val="32"/>
          <w:lang w:val="en-US" w:eastAsia="zh-CN"/>
        </w:rPr>
        <w:t>3.01</w:t>
      </w:r>
      <w:r>
        <w:rPr>
          <w:rStyle w:val="20"/>
          <w:rFonts w:hint="eastAsia" w:ascii="仿宋" w:hAnsi="仿宋" w:eastAsia="仿宋"/>
          <w:b w:val="0"/>
          <w:bCs/>
          <w:sz w:val="32"/>
          <w:szCs w:val="32"/>
        </w:rPr>
        <w:t>万元，完成预算的100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bookmarkStart w:id="50" w:name="_Toc15377214"/>
      <w:bookmarkStart w:id="51" w:name="_Toc15396608"/>
    </w:p>
    <w:p w14:paraId="3CCB286A">
      <w:pPr>
        <w:spacing w:line="600" w:lineRule="exact"/>
        <w:ind w:firstLine="640" w:firstLineChars="200"/>
        <w:rPr>
          <w:rStyle w:val="20"/>
          <w:rFonts w:hint="eastAsia" w:ascii="仿宋" w:hAnsi="仿宋" w:eastAsia="仿宋"/>
          <w:b w:val="0"/>
          <w:bCs/>
          <w:color w:val="000000"/>
          <w:sz w:val="32"/>
          <w:szCs w:val="32"/>
        </w:rPr>
      </w:pPr>
      <w:r>
        <w:rPr>
          <w:rFonts w:hint="eastAsia" w:ascii="黑体" w:eastAsia="黑体"/>
          <w:sz w:val="32"/>
          <w:szCs w:val="32"/>
          <w:lang w:val="en-US" w:eastAsia="zh-CN"/>
        </w:rPr>
        <w:t>15.住房保障支出（221类）住房改革支出</w:t>
      </w:r>
      <w:r>
        <w:rPr>
          <w:rStyle w:val="20"/>
          <w:rFonts w:hint="eastAsia" w:ascii="仿宋" w:hAnsi="仿宋" w:eastAsia="仿宋"/>
          <w:bCs/>
          <w:sz w:val="32"/>
          <w:szCs w:val="32"/>
        </w:rPr>
        <w:t>（11款）</w:t>
      </w:r>
      <w:r>
        <w:rPr>
          <w:rStyle w:val="20"/>
          <w:rFonts w:hint="eastAsia" w:ascii="仿宋" w:hAnsi="仿宋" w:eastAsia="仿宋"/>
          <w:bCs/>
          <w:sz w:val="32"/>
          <w:szCs w:val="32"/>
          <w:lang w:eastAsia="zh-CN"/>
        </w:rPr>
        <w:t>住房公积金</w:t>
      </w:r>
      <w:r>
        <w:rPr>
          <w:rStyle w:val="20"/>
          <w:rFonts w:hint="eastAsia" w:ascii="仿宋" w:hAnsi="仿宋" w:eastAsia="仿宋"/>
          <w:bCs/>
          <w:sz w:val="32"/>
          <w:szCs w:val="32"/>
        </w:rPr>
        <w:t>（99项）</w:t>
      </w:r>
      <w:r>
        <w:rPr>
          <w:rStyle w:val="20"/>
          <w:rFonts w:hint="eastAsia" w:ascii="仿宋" w:hAnsi="仿宋" w:eastAsia="仿宋"/>
          <w:bCs/>
          <w:sz w:val="32"/>
          <w:szCs w:val="32"/>
          <w:lang w:eastAsia="zh-CN"/>
        </w:rPr>
        <w:t>：</w:t>
      </w:r>
      <w:r>
        <w:rPr>
          <w:rStyle w:val="20"/>
          <w:rFonts w:hint="eastAsia" w:ascii="仿宋" w:hAnsi="仿宋" w:eastAsia="仿宋"/>
          <w:b w:val="0"/>
          <w:bCs/>
          <w:sz w:val="32"/>
          <w:szCs w:val="32"/>
        </w:rPr>
        <w:t>支出决算为基本支出</w:t>
      </w:r>
      <w:r>
        <w:rPr>
          <w:rStyle w:val="20"/>
          <w:rFonts w:hint="eastAsia" w:ascii="仿宋" w:hAnsi="仿宋" w:eastAsia="仿宋"/>
          <w:b w:val="0"/>
          <w:bCs/>
          <w:sz w:val="32"/>
          <w:szCs w:val="32"/>
          <w:lang w:val="en-US" w:eastAsia="zh-CN"/>
        </w:rPr>
        <w:t>24.27</w:t>
      </w:r>
      <w:r>
        <w:rPr>
          <w:rStyle w:val="20"/>
          <w:rFonts w:hint="eastAsia" w:ascii="仿宋" w:hAnsi="仿宋" w:eastAsia="仿宋"/>
          <w:b w:val="0"/>
          <w:bCs/>
          <w:sz w:val="32"/>
          <w:szCs w:val="32"/>
        </w:rPr>
        <w:t>万元，完成预算的100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sz w:val="32"/>
          <w:szCs w:val="32"/>
        </w:rPr>
        <w:t>决算与预算数持平。</w:t>
      </w:r>
    </w:p>
    <w:p w14:paraId="6A2C9C7D">
      <w:pPr>
        <w:tabs>
          <w:tab w:val="left" w:pos="516"/>
        </w:tabs>
        <w:spacing w:line="600" w:lineRule="exact"/>
        <w:ind w:firstLine="640" w:firstLineChars="200"/>
        <w:outlineLvl w:val="0"/>
        <w:rPr>
          <w:rStyle w:val="32"/>
        </w:rPr>
      </w:pPr>
      <w:bookmarkStart w:id="52" w:name="_Toc7166"/>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50"/>
      <w:bookmarkEnd w:id="51"/>
      <w:bookmarkEnd w:id="52"/>
      <w:r>
        <w:rPr>
          <w:rStyle w:val="32"/>
          <w:rFonts w:ascii="黑体" w:hAnsi="黑体" w:eastAsia="黑体"/>
          <w:b w:val="0"/>
        </w:rPr>
        <w:tab/>
      </w:r>
    </w:p>
    <w:p w14:paraId="5ECA53F7">
      <w:pPr>
        <w:spacing w:line="600" w:lineRule="exact"/>
        <w:ind w:firstLine="645"/>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年度一般公共预算财政拨款基本支出</w:t>
      </w:r>
      <w:r>
        <w:rPr>
          <w:rFonts w:hint="eastAsia" w:eastAsia="仿宋"/>
          <w:sz w:val="32"/>
          <w:szCs w:val="32"/>
          <w:lang w:val="en-US" w:eastAsia="zh-CN"/>
        </w:rPr>
        <w:t>485.04</w:t>
      </w:r>
      <w:r>
        <w:rPr>
          <w:rFonts w:hint="eastAsia" w:ascii="仿宋" w:hAnsi="仿宋" w:eastAsia="仿宋"/>
          <w:sz w:val="32"/>
          <w:szCs w:val="32"/>
        </w:rPr>
        <w:t>万元，其中：</w:t>
      </w:r>
    </w:p>
    <w:p w14:paraId="5E072311">
      <w:pPr>
        <w:spacing w:line="600" w:lineRule="exact"/>
        <w:ind w:firstLine="645"/>
        <w:rPr>
          <w:rFonts w:hint="eastAsia" w:ascii="仿宋" w:hAnsi="仿宋" w:eastAsia="仿宋"/>
          <w:sz w:val="32"/>
          <w:szCs w:val="32"/>
          <w:lang w:eastAsia="zh-CN"/>
        </w:rPr>
      </w:pPr>
      <w:r>
        <w:rPr>
          <w:rFonts w:hint="eastAsia" w:ascii="仿宋" w:hAnsi="仿宋" w:eastAsia="仿宋"/>
          <w:color w:val="auto"/>
          <w:sz w:val="32"/>
          <w:szCs w:val="32"/>
        </w:rPr>
        <w:t>人员经费</w:t>
      </w:r>
      <w:r>
        <w:rPr>
          <w:rFonts w:hint="eastAsia" w:eastAsia="仿宋"/>
          <w:color w:val="auto"/>
          <w:sz w:val="32"/>
          <w:szCs w:val="32"/>
          <w:lang w:val="en-US" w:eastAsia="zh-CN"/>
        </w:rPr>
        <w:t>433.92</w:t>
      </w:r>
      <w:r>
        <w:rPr>
          <w:rFonts w:hint="eastAsia" w:ascii="仿宋" w:hAnsi="仿宋" w:eastAsia="仿宋"/>
          <w:color w:val="auto"/>
          <w:sz w:val="32"/>
          <w:szCs w:val="32"/>
        </w:rPr>
        <w:t>万元，主要包括：基本工资、津贴补贴、奖金、绩效工资、机关事业单位基本养老保险缴费、职业年金缴费、其他社会保障缴费、其他工资福利支出、离休费、</w:t>
      </w:r>
      <w:r>
        <w:rPr>
          <w:rFonts w:hint="eastAsia" w:ascii="仿宋" w:hAnsi="仿宋" w:eastAsia="仿宋"/>
          <w:sz w:val="32"/>
          <w:szCs w:val="32"/>
        </w:rPr>
        <w:t>抚恤金、生活补助、医疗费补助、公务员医疗补助、奖金、住房公积金、其他对个人和家庭的补助支出等。</w:t>
      </w:r>
    </w:p>
    <w:p w14:paraId="3B8B0707">
      <w:pPr>
        <w:spacing w:line="600" w:lineRule="exact"/>
        <w:ind w:firstLine="645"/>
        <w:rPr>
          <w:rFonts w:ascii="仿宋" w:hAnsi="仿宋" w:eastAsia="仿宋"/>
          <w:sz w:val="32"/>
          <w:szCs w:val="32"/>
        </w:rPr>
      </w:pPr>
      <w:r>
        <w:rPr>
          <w:rFonts w:hint="eastAsia" w:ascii="仿宋" w:hAnsi="仿宋" w:eastAsia="仿宋"/>
          <w:sz w:val="32"/>
          <w:szCs w:val="32"/>
        </w:rPr>
        <w:t>公用经费</w:t>
      </w:r>
      <w:r>
        <w:rPr>
          <w:sz w:val="32"/>
          <w:szCs w:val="32"/>
        </w:rPr>
        <w:t>51.1</w:t>
      </w:r>
      <w:r>
        <w:rPr>
          <w:rFonts w:hint="eastAsia"/>
          <w:sz w:val="32"/>
          <w:szCs w:val="32"/>
          <w:lang w:val="en-US" w:eastAsia="zh-CN"/>
        </w:rPr>
        <w:t>2</w:t>
      </w:r>
      <w:r>
        <w:rPr>
          <w:rFonts w:hint="eastAsia" w:ascii="仿宋" w:hAnsi="仿宋" w:eastAsia="仿宋"/>
          <w:sz w:val="32"/>
          <w:szCs w:val="32"/>
        </w:rPr>
        <w:t>万元，主要包括：办公费、印刷费、水费、电费、邮电费、差旅费、维修（护）费、公务接待费、劳务费、工会经费、福利费、公务用车运行维护费、其他交通费、其他商品和服务支出等。</w:t>
      </w:r>
    </w:p>
    <w:p w14:paraId="6C28199E">
      <w:pPr>
        <w:spacing w:line="600" w:lineRule="exact"/>
        <w:ind w:firstLine="640" w:firstLineChars="200"/>
        <w:outlineLvl w:val="0"/>
        <w:rPr>
          <w:rStyle w:val="32"/>
          <w:rFonts w:ascii="黑体" w:hAnsi="黑体" w:eastAsia="黑体"/>
          <w:b w:val="0"/>
        </w:rPr>
      </w:pPr>
      <w:bookmarkStart w:id="53" w:name="_Toc7865"/>
      <w:bookmarkStart w:id="54" w:name="_Toc15377215"/>
      <w:bookmarkStart w:id="55" w:name="_Toc15396609"/>
      <w:r>
        <w:rPr>
          <w:rFonts w:hint="eastAsia" w:ascii="黑体" w:eastAsia="黑体"/>
          <w:sz w:val="32"/>
          <w:szCs w:val="32"/>
        </w:rPr>
        <w:t>七、</w:t>
      </w:r>
      <w:r>
        <w:rPr>
          <w:rStyle w:val="32"/>
          <w:rFonts w:hint="eastAsia" w:ascii="黑体" w:hAnsi="黑体" w:eastAsia="黑体"/>
          <w:b w:val="0"/>
        </w:rPr>
        <w:t>财政拨款</w:t>
      </w:r>
      <w:r>
        <w:rPr>
          <w:rStyle w:val="32"/>
          <w:rFonts w:hint="eastAsia" w:ascii="黑体" w:hAnsi="黑体" w:eastAsia="黑体"/>
        </w:rPr>
        <w:t>“</w:t>
      </w:r>
      <w:r>
        <w:rPr>
          <w:rStyle w:val="32"/>
          <w:rFonts w:hint="eastAsia" w:ascii="黑体" w:hAnsi="黑体" w:eastAsia="黑体"/>
          <w:b w:val="0"/>
        </w:rPr>
        <w:t>三公”经费支出决算情况说明</w:t>
      </w:r>
      <w:bookmarkEnd w:id="53"/>
      <w:bookmarkEnd w:id="54"/>
      <w:bookmarkEnd w:id="55"/>
    </w:p>
    <w:p w14:paraId="5FB62324">
      <w:pPr>
        <w:spacing w:line="600" w:lineRule="exact"/>
        <w:ind w:firstLine="640" w:firstLineChars="0"/>
        <w:outlineLvl w:val="1"/>
        <w:rPr>
          <w:rFonts w:ascii="仿宋" w:hAnsi="仿宋" w:eastAsia="仿宋"/>
          <w:b/>
          <w:sz w:val="32"/>
          <w:szCs w:val="32"/>
        </w:rPr>
      </w:pPr>
      <w:bookmarkStart w:id="56" w:name="_Toc15377216"/>
      <w:r>
        <w:rPr>
          <w:rFonts w:hint="eastAsia" w:ascii="仿宋" w:hAnsi="仿宋" w:eastAsia="仿宋"/>
          <w:b/>
          <w:sz w:val="32"/>
          <w:szCs w:val="32"/>
        </w:rPr>
        <w:t>（一）“三公”经费财政拨款支出决算总体情况说明</w:t>
      </w:r>
      <w:bookmarkEnd w:id="56"/>
    </w:p>
    <w:p w14:paraId="7DD51D5F">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年度“三公”经费财政拨款支出决算为</w:t>
      </w:r>
      <w:r>
        <w:rPr>
          <w:rFonts w:hint="eastAsia" w:ascii="仿宋" w:hAnsi="仿宋" w:eastAsia="仿宋"/>
          <w:sz w:val="32"/>
          <w:szCs w:val="32"/>
          <w:lang w:val="en-US" w:eastAsia="zh-CN"/>
        </w:rPr>
        <w:t>7.35</w:t>
      </w:r>
      <w:r>
        <w:rPr>
          <w:rFonts w:hint="eastAsia" w:ascii="仿宋" w:hAnsi="仿宋" w:eastAsia="仿宋"/>
          <w:sz w:val="32"/>
          <w:szCs w:val="32"/>
        </w:rPr>
        <w:t>万元，完成预算</w:t>
      </w:r>
      <w:r>
        <w:rPr>
          <w:rFonts w:hint="eastAsia" w:eastAsia="仿宋"/>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0.25</w:t>
      </w:r>
      <w:r>
        <w:rPr>
          <w:rFonts w:hint="eastAsia" w:ascii="仿宋" w:hAnsi="仿宋" w:eastAsia="仿宋"/>
          <w:sz w:val="32"/>
          <w:szCs w:val="32"/>
        </w:rPr>
        <w:t>万元，下降</w:t>
      </w:r>
      <w:r>
        <w:rPr>
          <w:rFonts w:hint="eastAsia" w:ascii="仿宋" w:hAnsi="仿宋" w:eastAsia="仿宋"/>
          <w:sz w:val="32"/>
          <w:szCs w:val="32"/>
          <w:lang w:val="en-US" w:eastAsia="zh-CN"/>
        </w:rPr>
        <w:t>3.2</w:t>
      </w:r>
      <w:r>
        <w:rPr>
          <w:rFonts w:hint="eastAsia" w:ascii="仿宋" w:hAnsi="仿宋" w:eastAsia="仿宋"/>
          <w:sz w:val="32"/>
          <w:szCs w:val="32"/>
        </w:rPr>
        <w:t>%。下降的主要原因是减少公务用车</w:t>
      </w:r>
      <w:r>
        <w:rPr>
          <w:rFonts w:hint="eastAsia" w:ascii="仿宋" w:hAnsi="仿宋" w:eastAsia="仿宋"/>
          <w:sz w:val="32"/>
          <w:szCs w:val="32"/>
          <w:lang w:eastAsia="zh-CN"/>
        </w:rPr>
        <w:t>运行维护</w:t>
      </w:r>
      <w:r>
        <w:rPr>
          <w:rFonts w:hint="eastAsia" w:ascii="仿宋" w:hAnsi="仿宋" w:eastAsia="仿宋"/>
          <w:sz w:val="32"/>
          <w:szCs w:val="32"/>
        </w:rPr>
        <w:t>费用。</w:t>
      </w:r>
    </w:p>
    <w:p w14:paraId="7D883342">
      <w:pPr>
        <w:spacing w:line="600" w:lineRule="exact"/>
        <w:ind w:firstLine="640" w:firstLineChars="0"/>
        <w:outlineLvl w:val="1"/>
        <w:rPr>
          <w:rFonts w:ascii="仿宋" w:hAnsi="仿宋" w:eastAsia="仿宋"/>
          <w:b/>
          <w:sz w:val="32"/>
          <w:szCs w:val="32"/>
        </w:rPr>
      </w:pPr>
      <w:bookmarkStart w:id="57" w:name="_Toc15377217"/>
      <w:r>
        <w:rPr>
          <w:rFonts w:hint="eastAsia" w:ascii="仿宋" w:hAnsi="仿宋" w:eastAsia="仿宋"/>
          <w:b/>
          <w:sz w:val="32"/>
          <w:szCs w:val="32"/>
        </w:rPr>
        <w:t>（二）“三公”经费财政拨款支出决算具体情况说明</w:t>
      </w:r>
      <w:bookmarkEnd w:id="57"/>
    </w:p>
    <w:p w14:paraId="3F9A4603">
      <w:pPr>
        <w:spacing w:line="600" w:lineRule="exac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eastAsia="仿宋"/>
          <w:sz w:val="32"/>
          <w:szCs w:val="32"/>
          <w:lang w:val="en-US" w:eastAsia="zh-CN"/>
        </w:rPr>
        <w:t>7.16</w:t>
      </w:r>
      <w:r>
        <w:rPr>
          <w:rFonts w:hint="eastAsia" w:ascii="仿宋" w:hAnsi="仿宋" w:eastAsia="仿宋"/>
          <w:sz w:val="32"/>
          <w:szCs w:val="32"/>
        </w:rPr>
        <w:t>万元，占</w:t>
      </w:r>
      <w:r>
        <w:rPr>
          <w:sz w:val="32"/>
          <w:szCs w:val="32"/>
        </w:rPr>
        <w:t>97</w:t>
      </w:r>
      <w:r>
        <w:rPr>
          <w:rFonts w:hint="eastAsia"/>
          <w:sz w:val="32"/>
          <w:szCs w:val="32"/>
          <w:lang w:val="en-US" w:eastAsia="zh-CN"/>
        </w:rPr>
        <w:t>.4</w:t>
      </w:r>
      <w:r>
        <w:rPr>
          <w:rFonts w:ascii="仿宋" w:hAnsi="仿宋" w:eastAsia="仿宋"/>
          <w:sz w:val="32"/>
          <w:szCs w:val="32"/>
        </w:rPr>
        <w:t>%</w:t>
      </w:r>
      <w:r>
        <w:rPr>
          <w:rFonts w:hint="eastAsia" w:ascii="仿宋" w:hAnsi="仿宋" w:eastAsia="仿宋"/>
          <w:sz w:val="32"/>
          <w:szCs w:val="32"/>
        </w:rPr>
        <w:t>；公务接待费支出决算</w:t>
      </w:r>
      <w:r>
        <w:rPr>
          <w:sz w:val="32"/>
          <w:szCs w:val="32"/>
        </w:rPr>
        <w:t>0.19</w:t>
      </w:r>
      <w:r>
        <w:rPr>
          <w:rFonts w:hint="eastAsia" w:ascii="仿宋" w:hAnsi="仿宋" w:eastAsia="仿宋"/>
          <w:sz w:val="32"/>
          <w:szCs w:val="32"/>
        </w:rPr>
        <w:t>万元，占</w:t>
      </w:r>
      <w:r>
        <w:rPr>
          <w:sz w:val="32"/>
          <w:szCs w:val="32"/>
        </w:rPr>
        <w:t>2.</w:t>
      </w:r>
      <w:r>
        <w:rPr>
          <w:rFonts w:hint="eastAsia"/>
          <w:sz w:val="32"/>
          <w:szCs w:val="32"/>
          <w:lang w:val="en-US" w:eastAsia="zh-CN"/>
        </w:rPr>
        <w:t>6</w:t>
      </w:r>
      <w:r>
        <w:rPr>
          <w:rFonts w:ascii="仿宋" w:hAnsi="仿宋" w:eastAsia="仿宋"/>
          <w:sz w:val="32"/>
          <w:szCs w:val="32"/>
        </w:rPr>
        <w:t>%</w:t>
      </w:r>
      <w:r>
        <w:rPr>
          <w:rFonts w:hint="eastAsia" w:ascii="仿宋" w:hAnsi="仿宋" w:eastAsia="仿宋"/>
          <w:sz w:val="32"/>
          <w:szCs w:val="32"/>
        </w:rPr>
        <w:t>。具体情况如下：</w:t>
      </w:r>
    </w:p>
    <w:p w14:paraId="3AC5661B">
      <w:pPr>
        <w:spacing w:line="600" w:lineRule="exact"/>
        <w:rPr>
          <w:rFonts w:ascii="仿宋" w:hAnsi="仿宋" w:eastAsia="仿宋"/>
          <w:sz w:val="32"/>
          <w:szCs w:val="32"/>
        </w:rPr>
      </w:pPr>
      <w:r>
        <w:rPr>
          <w:rFonts w:hint="eastAsia"/>
          <w:lang w:val="en-US" w:eastAsia="zh-CN"/>
        </w:rPr>
        <w:drawing>
          <wp:anchor distT="0" distB="0" distL="114300" distR="114300" simplePos="0" relativeHeight="251667456" behindDoc="0" locked="0" layoutInCell="1" allowOverlap="1">
            <wp:simplePos x="0" y="0"/>
            <wp:positionH relativeFrom="column">
              <wp:posOffset>567690</wp:posOffset>
            </wp:positionH>
            <wp:positionV relativeFrom="paragraph">
              <wp:posOffset>503555</wp:posOffset>
            </wp:positionV>
            <wp:extent cx="4530090" cy="2407285"/>
            <wp:effectExtent l="4445" t="4445" r="6985" b="1143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000000" w:themeColor="text1"/>
          <w:sz w:val="32"/>
          <w:szCs w:val="32"/>
        </w:rPr>
        <w:t>（图7：“三公”经费财政拨款支出结构）（</w:t>
      </w:r>
      <w:r>
        <w:rPr>
          <w:rFonts w:hint="eastAsia" w:ascii="仿宋" w:hAnsi="仿宋" w:eastAsia="仿宋"/>
          <w:color w:val="000000" w:themeColor="text1"/>
          <w:sz w:val="32"/>
          <w:szCs w:val="32"/>
          <w:lang w:eastAsia="zh-CN"/>
        </w:rPr>
        <w:t>饼状图）</w:t>
      </w:r>
    </w:p>
    <w:p w14:paraId="179F586C">
      <w:pPr>
        <w:spacing w:line="600" w:lineRule="exact"/>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sz w:val="32"/>
          <w:szCs w:val="32"/>
        </w:rPr>
        <w:t>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w:t>
      </w:r>
      <w:r>
        <w:rPr>
          <w:rFonts w:hint="eastAsia" w:ascii="仿宋_GB2312" w:eastAsia="仿宋_GB2312"/>
          <w:sz w:val="32"/>
          <w:szCs w:val="32"/>
          <w:lang w:val="en-US" w:eastAsia="zh-CN"/>
        </w:rPr>
        <w:t>3</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原因及开支内容等情况。</w:t>
      </w:r>
    </w:p>
    <w:p w14:paraId="723E74B7">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eastAsia="仿宋_GB2312"/>
          <w:sz w:val="32"/>
          <w:szCs w:val="32"/>
          <w:lang w:val="en-US" w:eastAsia="zh-CN"/>
        </w:rPr>
        <w:t>7.16</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sz w:val="32"/>
          <w:szCs w:val="32"/>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公务用车购置及运行维护费支出决算比202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 w:hAnsi="仿宋" w:eastAsia="仿宋"/>
          <w:sz w:val="32"/>
          <w:szCs w:val="32"/>
        </w:rPr>
        <w:t>较上年度减少</w:t>
      </w:r>
      <w:r>
        <w:rPr>
          <w:rFonts w:hint="eastAsia" w:ascii="仿宋" w:hAnsi="仿宋" w:eastAsia="仿宋"/>
          <w:sz w:val="32"/>
          <w:szCs w:val="32"/>
          <w:lang w:val="en-US" w:eastAsia="zh-CN"/>
        </w:rPr>
        <w:t>0.25</w:t>
      </w:r>
      <w:r>
        <w:rPr>
          <w:rFonts w:hint="eastAsia" w:ascii="仿宋" w:hAnsi="仿宋" w:eastAsia="仿宋"/>
          <w:sz w:val="32"/>
          <w:szCs w:val="32"/>
        </w:rPr>
        <w:t>万元，下降</w:t>
      </w:r>
      <w:r>
        <w:rPr>
          <w:rFonts w:hint="eastAsia" w:ascii="仿宋" w:hAnsi="仿宋" w:eastAsia="仿宋"/>
          <w:sz w:val="32"/>
          <w:szCs w:val="32"/>
          <w:lang w:val="en-US" w:eastAsia="zh-CN"/>
        </w:rPr>
        <w:t>3.35</w:t>
      </w:r>
      <w:r>
        <w:rPr>
          <w:rFonts w:hint="eastAsia" w:ascii="仿宋" w:hAnsi="仿宋" w:eastAsia="仿宋"/>
          <w:sz w:val="32"/>
          <w:szCs w:val="32"/>
        </w:rPr>
        <w:t>%。下降的主要原因是减少公务用车</w:t>
      </w:r>
      <w:r>
        <w:rPr>
          <w:rFonts w:hint="eastAsia" w:ascii="仿宋" w:hAnsi="仿宋" w:eastAsia="仿宋"/>
          <w:sz w:val="32"/>
          <w:szCs w:val="32"/>
          <w:lang w:eastAsia="zh-CN"/>
        </w:rPr>
        <w:t>运行维护</w:t>
      </w:r>
      <w:r>
        <w:rPr>
          <w:rFonts w:hint="eastAsia" w:ascii="仿宋" w:hAnsi="仿宋" w:eastAsia="仿宋"/>
          <w:sz w:val="32"/>
          <w:szCs w:val="32"/>
        </w:rPr>
        <w:t>费用。</w:t>
      </w:r>
    </w:p>
    <w:p w14:paraId="77688127">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w:t>
      </w:r>
    </w:p>
    <w:p w14:paraId="309C4706">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eastAsia="仿宋_GB2312"/>
          <w:sz w:val="32"/>
          <w:szCs w:val="32"/>
          <w:lang w:val="en-US" w:eastAsia="zh-CN"/>
        </w:rPr>
        <w:t>7.16</w:t>
      </w:r>
      <w:r>
        <w:rPr>
          <w:rFonts w:hint="eastAsia" w:ascii="仿宋_GB2312" w:eastAsia="仿宋_GB2312"/>
          <w:sz w:val="32"/>
          <w:szCs w:val="32"/>
        </w:rPr>
        <w:t>万元。</w:t>
      </w:r>
      <w:r>
        <w:rPr>
          <w:rFonts w:hint="eastAsia" w:ascii="仿宋_GB2312" w:eastAsia="仿宋_GB2312"/>
          <w:color w:val="000000"/>
          <w:sz w:val="32"/>
          <w:szCs w:val="32"/>
        </w:rPr>
        <w:t>主要用于开展天府科技云等科普业务调研、</w:t>
      </w:r>
      <w:r>
        <w:rPr>
          <w:rFonts w:hint="eastAsia" w:ascii="仿宋_GB2312" w:eastAsia="仿宋_GB2312"/>
          <w:color w:val="000000"/>
          <w:sz w:val="32"/>
          <w:szCs w:val="32"/>
          <w:lang w:eastAsia="zh-CN"/>
        </w:rPr>
        <w:t>科普宣传、</w:t>
      </w:r>
      <w:r>
        <w:rPr>
          <w:rFonts w:hint="eastAsia" w:ascii="仿宋_GB2312" w:eastAsia="仿宋_GB2312"/>
          <w:color w:val="000000"/>
          <w:sz w:val="32"/>
          <w:szCs w:val="32"/>
        </w:rPr>
        <w:t>乡村振兴下乡、森林防灭火、向上级汇报工作、外出参加会议（培训）</w:t>
      </w:r>
      <w:r>
        <w:rPr>
          <w:rFonts w:hint="eastAsia" w:ascii="仿宋_GB2312" w:eastAsia="仿宋_GB2312"/>
          <w:sz w:val="32"/>
          <w:szCs w:val="32"/>
        </w:rPr>
        <w:t>等所需的公务用车燃料费、维修费、过路过桥费、保险费等支出。</w:t>
      </w:r>
    </w:p>
    <w:p w14:paraId="1F1631A3">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0.19</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sz w:val="32"/>
          <w:szCs w:val="32"/>
        </w:rPr>
        <w:t>100%</w:t>
      </w:r>
      <w:r>
        <w:rPr>
          <w:rStyle w:val="20"/>
          <w:rFonts w:hint="eastAsia" w:ascii="仿宋" w:hAnsi="仿宋" w:eastAsia="仿宋"/>
          <w:b w:val="0"/>
          <w:bCs/>
          <w:sz w:val="32"/>
          <w:szCs w:val="32"/>
        </w:rPr>
        <w:t>。</w:t>
      </w:r>
      <w:r>
        <w:rPr>
          <w:rStyle w:val="20"/>
          <w:rFonts w:hint="eastAsia" w:ascii="仿宋" w:hAnsi="仿宋" w:eastAsia="仿宋"/>
          <w:b w:val="0"/>
          <w:bCs/>
          <w:sz w:val="32"/>
          <w:szCs w:val="32"/>
          <w:lang w:val="en-US" w:eastAsia="zh-CN"/>
        </w:rPr>
        <w:t>2024年</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eastAsia="zh-CN"/>
        </w:rPr>
        <w:t>持平</w:t>
      </w:r>
      <w:r>
        <w:rPr>
          <w:rFonts w:hint="eastAsia" w:ascii="仿宋_GB2312" w:eastAsia="仿宋_GB2312"/>
          <w:sz w:val="32"/>
          <w:szCs w:val="32"/>
        </w:rPr>
        <w:t>。其中：</w:t>
      </w:r>
    </w:p>
    <w:p w14:paraId="27821BA5">
      <w:pPr>
        <w:spacing w:line="600" w:lineRule="exact"/>
        <w:ind w:firstLine="640"/>
        <w:rPr>
          <w:rFonts w:ascii="仿宋_GB2312" w:eastAsia="仿宋_GB2312"/>
          <w:sz w:val="32"/>
          <w:szCs w:val="32"/>
        </w:rPr>
      </w:pPr>
      <w:r>
        <w:rPr>
          <w:rFonts w:hint="eastAsia" w:ascii="仿宋" w:hAnsi="仿宋" w:eastAsia="仿宋"/>
          <w:b/>
          <w:sz w:val="32"/>
          <w:szCs w:val="32"/>
        </w:rPr>
        <w:t>国内公务接待支出0.19</w:t>
      </w:r>
      <w:r>
        <w:rPr>
          <w:rFonts w:hint="eastAsia" w:ascii="仿宋_GB2312" w:eastAsia="仿宋_GB2312"/>
          <w:sz w:val="32"/>
          <w:szCs w:val="32"/>
        </w:rPr>
        <w:t>万元，主要用于接待</w:t>
      </w:r>
      <w:r>
        <w:rPr>
          <w:rFonts w:hint="eastAsia" w:ascii="仿宋_GB2312" w:eastAsia="仿宋_GB2312"/>
          <w:sz w:val="32"/>
          <w:szCs w:val="32"/>
          <w:lang w:eastAsia="zh-CN"/>
        </w:rPr>
        <w:t>福建省科协主席郑兰荪、龚新高、谢素原、曲景平等一行</w:t>
      </w:r>
      <w:r>
        <w:rPr>
          <w:rFonts w:hint="eastAsia" w:ascii="仿宋_GB2312" w:eastAsia="仿宋_GB2312"/>
          <w:sz w:val="32"/>
          <w:szCs w:val="32"/>
          <w:lang w:val="en-US" w:eastAsia="zh-CN"/>
        </w:rPr>
        <w:t>13人，</w:t>
      </w:r>
      <w:r>
        <w:rPr>
          <w:rFonts w:hint="eastAsia" w:ascii="仿宋_GB2312" w:eastAsia="仿宋_GB2312"/>
          <w:sz w:val="32"/>
          <w:szCs w:val="32"/>
        </w:rPr>
        <w:t>宁波科协</w:t>
      </w:r>
      <w:r>
        <w:rPr>
          <w:rFonts w:hint="eastAsia" w:ascii="仿宋_GB2312" w:eastAsia="仿宋_GB2312"/>
          <w:sz w:val="32"/>
          <w:szCs w:val="32"/>
          <w:lang w:eastAsia="zh-CN"/>
        </w:rPr>
        <w:t>江定郑琳等人</w:t>
      </w:r>
      <w:r>
        <w:rPr>
          <w:rFonts w:hint="eastAsia" w:ascii="仿宋_GB2312" w:eastAsia="仿宋_GB2312"/>
          <w:sz w:val="32"/>
          <w:szCs w:val="32"/>
        </w:rPr>
        <w:t>业务公务费用。国内公务接待2批次，</w:t>
      </w:r>
      <w:r>
        <w:rPr>
          <w:rFonts w:hint="eastAsia" w:ascii="仿宋_GB2312" w:eastAsia="仿宋_GB2312"/>
          <w:sz w:val="32"/>
          <w:szCs w:val="32"/>
          <w:lang w:val="en-US" w:eastAsia="zh-CN"/>
        </w:rPr>
        <w:t>20</w:t>
      </w:r>
      <w:r>
        <w:rPr>
          <w:rFonts w:hint="eastAsia" w:ascii="仿宋_GB2312" w:eastAsia="仿宋_GB2312"/>
          <w:sz w:val="32"/>
          <w:szCs w:val="32"/>
        </w:rPr>
        <w:t>人次（不包括陪同人员），共计支出0.19万元，具体内容包括接待</w:t>
      </w:r>
      <w:r>
        <w:rPr>
          <w:rFonts w:hint="eastAsia" w:ascii="仿宋_GB2312" w:eastAsia="仿宋_GB2312"/>
          <w:sz w:val="32"/>
          <w:szCs w:val="32"/>
          <w:lang w:eastAsia="zh-CN"/>
        </w:rPr>
        <w:t>福建省科协主席郑兰荪、龚新高、谢素原、曲景平等一行西昌卫星科普基地调研，</w:t>
      </w:r>
      <w:r>
        <w:rPr>
          <w:rFonts w:hint="eastAsia" w:ascii="仿宋_GB2312" w:eastAsia="仿宋_GB2312"/>
          <w:sz w:val="32"/>
          <w:szCs w:val="32"/>
        </w:rPr>
        <w:t>接待宁波科协凉山</w:t>
      </w:r>
      <w:r>
        <w:rPr>
          <w:rFonts w:hint="eastAsia" w:ascii="仿宋_GB2312" w:eastAsia="仿宋_GB2312"/>
          <w:sz w:val="32"/>
          <w:szCs w:val="32"/>
          <w:lang w:eastAsia="zh-CN"/>
        </w:rPr>
        <w:t>考察企业学校科技馆</w:t>
      </w:r>
      <w:r>
        <w:rPr>
          <w:rFonts w:hint="eastAsia" w:ascii="仿宋_GB2312" w:eastAsia="仿宋_GB2312"/>
          <w:sz w:val="32"/>
          <w:szCs w:val="32"/>
        </w:rPr>
        <w:t>。</w:t>
      </w:r>
    </w:p>
    <w:p w14:paraId="67E2B786">
      <w:pPr>
        <w:spacing w:line="600" w:lineRule="exact"/>
        <w:ind w:firstLine="643" w:firstLineChars="200"/>
        <w:rPr>
          <w:rFonts w:ascii="仿宋_GB2312" w:eastAsia="仿宋_GB2312"/>
          <w:color w:val="000000"/>
          <w:sz w:val="32"/>
          <w:szCs w:val="32"/>
        </w:rPr>
      </w:pPr>
      <w:bookmarkStart w:id="58" w:name="_Toc15377218"/>
      <w:bookmarkStart w:id="59" w:name="_Toc15396610"/>
      <w:r>
        <w:rPr>
          <w:rFonts w:hint="eastAsia" w:ascii="仿宋" w:hAnsi="仿宋" w:eastAsia="仿宋"/>
          <w:b/>
          <w:color w:val="000000"/>
          <w:sz w:val="32"/>
          <w:szCs w:val="32"/>
        </w:rPr>
        <w:t>外事接待支出0</w:t>
      </w:r>
      <w:r>
        <w:rPr>
          <w:rFonts w:hint="eastAsia" w:ascii="仿宋_GB2312" w:eastAsia="仿宋_GB2312"/>
          <w:color w:val="000000"/>
          <w:sz w:val="32"/>
          <w:szCs w:val="32"/>
        </w:rPr>
        <w:t>万元，外事接待0批次，0人，共计支出0万元。</w:t>
      </w:r>
    </w:p>
    <w:p w14:paraId="6963B0F0">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其他国内公务接待支出0</w:t>
      </w:r>
      <w:r>
        <w:rPr>
          <w:rFonts w:hint="eastAsia" w:ascii="仿宋_GB2312" w:eastAsia="仿宋_GB2312"/>
          <w:color w:val="000000"/>
          <w:sz w:val="32"/>
          <w:szCs w:val="32"/>
        </w:rPr>
        <w:t>万元。</w:t>
      </w:r>
    </w:p>
    <w:p w14:paraId="072E32DE">
      <w:pPr>
        <w:spacing w:line="600" w:lineRule="exact"/>
        <w:ind w:firstLine="640" w:firstLineChars="200"/>
        <w:outlineLvl w:val="0"/>
        <w:rPr>
          <w:rStyle w:val="32"/>
          <w:rFonts w:ascii="黑体" w:hAnsi="黑体" w:eastAsia="黑体"/>
        </w:rPr>
      </w:pPr>
      <w:bookmarkStart w:id="60" w:name="_Toc26937"/>
      <w:r>
        <w:rPr>
          <w:rFonts w:hint="eastAsia" w:ascii="黑体" w:eastAsia="黑体"/>
          <w:sz w:val="32"/>
          <w:szCs w:val="32"/>
        </w:rPr>
        <w:t>八、</w:t>
      </w:r>
      <w:r>
        <w:rPr>
          <w:rStyle w:val="32"/>
          <w:rFonts w:hint="eastAsia" w:ascii="黑体" w:hAnsi="黑体" w:eastAsia="黑体"/>
          <w:b w:val="0"/>
        </w:rPr>
        <w:t>政府性基金预算支出决算情况说明</w:t>
      </w:r>
      <w:bookmarkEnd w:id="58"/>
      <w:bookmarkEnd w:id="59"/>
      <w:bookmarkEnd w:id="60"/>
    </w:p>
    <w:p w14:paraId="24514137">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年度政府性基金预算财政拨款支出</w:t>
      </w:r>
      <w:r>
        <w:rPr>
          <w:sz w:val="32"/>
          <w:szCs w:val="32"/>
        </w:rPr>
        <w:t>0</w:t>
      </w:r>
      <w:r>
        <w:rPr>
          <w:rFonts w:hint="eastAsia" w:ascii="仿宋_GB2312" w:eastAsia="仿宋_GB2312"/>
          <w:sz w:val="32"/>
          <w:szCs w:val="32"/>
        </w:rPr>
        <w:t>万元。</w:t>
      </w:r>
    </w:p>
    <w:p w14:paraId="2EB1D294">
      <w:pPr>
        <w:numPr>
          <w:ilvl w:val="0"/>
          <w:numId w:val="0"/>
        </w:numPr>
        <w:spacing w:line="600" w:lineRule="exact"/>
        <w:ind w:left="0" w:leftChars="0" w:firstLine="640" w:firstLineChars="200"/>
        <w:outlineLvl w:val="0"/>
        <w:rPr>
          <w:rStyle w:val="32"/>
          <w:rFonts w:ascii="黑体" w:hAnsi="黑体" w:eastAsia="黑体"/>
          <w:b w:val="0"/>
        </w:rPr>
      </w:pPr>
      <w:bookmarkStart w:id="61" w:name="_Toc15396611"/>
      <w:bookmarkStart w:id="62" w:name="_Toc16915"/>
      <w:bookmarkStart w:id="63" w:name="_Toc15377219"/>
      <w:r>
        <w:rPr>
          <w:rStyle w:val="32"/>
          <w:rFonts w:hint="eastAsia" w:ascii="黑体" w:hAnsi="黑体" w:eastAsia="黑体"/>
          <w:b w:val="0"/>
          <w:lang w:eastAsia="zh-CN"/>
        </w:rPr>
        <w:t>九、</w:t>
      </w:r>
      <w:r>
        <w:rPr>
          <w:rStyle w:val="32"/>
          <w:rFonts w:hint="eastAsia" w:ascii="黑体" w:hAnsi="黑体" w:eastAsia="黑体"/>
          <w:b w:val="0"/>
        </w:rPr>
        <w:t>国有资本经营预算支出决算情况说明</w:t>
      </w:r>
      <w:bookmarkEnd w:id="61"/>
      <w:bookmarkEnd w:id="62"/>
      <w:bookmarkEnd w:id="63"/>
    </w:p>
    <w:p w14:paraId="7C36DBFE">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年度国有资本经营预算财政拨款支出</w:t>
      </w:r>
      <w:r>
        <w:rPr>
          <w:sz w:val="32"/>
          <w:szCs w:val="32"/>
        </w:rPr>
        <w:t>0</w:t>
      </w:r>
      <w:r>
        <w:rPr>
          <w:rFonts w:hint="eastAsia" w:ascii="仿宋_GB2312" w:eastAsia="仿宋_GB2312"/>
          <w:sz w:val="32"/>
          <w:szCs w:val="32"/>
        </w:rPr>
        <w:t>万元。</w:t>
      </w:r>
    </w:p>
    <w:p w14:paraId="2C8B26AC">
      <w:pPr>
        <w:numPr>
          <w:ilvl w:val="0"/>
          <w:numId w:val="0"/>
        </w:numPr>
        <w:spacing w:line="600" w:lineRule="exact"/>
        <w:ind w:left="0" w:leftChars="0" w:firstLine="640" w:firstLineChars="200"/>
        <w:outlineLvl w:val="0"/>
        <w:rPr>
          <w:rStyle w:val="32"/>
          <w:rFonts w:ascii="黑体" w:hAnsi="黑体" w:eastAsia="黑体"/>
          <w:b w:val="0"/>
        </w:rPr>
      </w:pPr>
      <w:bookmarkStart w:id="64" w:name="_Toc15650"/>
      <w:bookmarkStart w:id="65" w:name="_Toc15377221"/>
      <w:bookmarkStart w:id="66" w:name="_Toc15396612"/>
      <w:r>
        <w:rPr>
          <w:rStyle w:val="32"/>
          <w:rFonts w:hint="eastAsia" w:ascii="黑体" w:hAnsi="黑体" w:eastAsia="黑体"/>
          <w:b w:val="0"/>
          <w:lang w:eastAsia="zh-CN"/>
        </w:rPr>
        <w:t>十、</w:t>
      </w:r>
      <w:r>
        <w:rPr>
          <w:rStyle w:val="32"/>
          <w:rFonts w:hint="eastAsia" w:ascii="黑体" w:hAnsi="黑体" w:eastAsia="黑体"/>
          <w:b w:val="0"/>
        </w:rPr>
        <w:t>其他重要事项的情况说明</w:t>
      </w:r>
      <w:bookmarkEnd w:id="64"/>
      <w:bookmarkEnd w:id="65"/>
      <w:bookmarkEnd w:id="66"/>
    </w:p>
    <w:p w14:paraId="4C5DD2F8">
      <w:pPr>
        <w:spacing w:line="600" w:lineRule="exact"/>
        <w:ind w:firstLine="643" w:firstLineChars="200"/>
        <w:outlineLvl w:val="1"/>
        <w:rPr>
          <w:rFonts w:ascii="仿宋" w:hAnsi="仿宋" w:eastAsia="仿宋"/>
          <w:sz w:val="32"/>
          <w:szCs w:val="32"/>
        </w:rPr>
      </w:pPr>
      <w:bookmarkStart w:id="67" w:name="_Toc15377222"/>
      <w:r>
        <w:rPr>
          <w:rFonts w:hint="eastAsia" w:ascii="仿宋" w:hAnsi="仿宋" w:eastAsia="仿宋"/>
          <w:b/>
          <w:sz w:val="32"/>
          <w:szCs w:val="32"/>
        </w:rPr>
        <w:t>（一）机关运行经费支出情况</w:t>
      </w:r>
      <w:bookmarkEnd w:id="67"/>
    </w:p>
    <w:p w14:paraId="281B88CF">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年度，凉山州科学技术协会机关运行经费支出</w:t>
      </w:r>
      <w:r>
        <w:rPr>
          <w:rFonts w:hint="eastAsia" w:ascii="仿宋_GB2312" w:eastAsia="仿宋_GB2312"/>
          <w:sz w:val="32"/>
          <w:szCs w:val="32"/>
          <w:lang w:val="en-US" w:eastAsia="zh-CN"/>
        </w:rPr>
        <w:t>51.12</w:t>
      </w:r>
      <w:r>
        <w:rPr>
          <w:rFonts w:hint="eastAsia" w:ascii="仿宋_GB2312" w:eastAsia="仿宋_GB2312"/>
          <w:sz w:val="32"/>
          <w:szCs w:val="32"/>
        </w:rPr>
        <w:t>万元，比202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eastAsia="zh-CN"/>
        </w:rPr>
        <w:t>下降</w:t>
      </w:r>
      <w:r>
        <w:rPr>
          <w:rFonts w:hint="eastAsia" w:ascii="仿宋_GB2312" w:eastAsia="仿宋_GB2312"/>
          <w:sz w:val="32"/>
          <w:szCs w:val="32"/>
          <w:lang w:val="en-US" w:eastAsia="zh-CN"/>
        </w:rPr>
        <w:t>0.05</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0.1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外调职工减少公用</w:t>
      </w:r>
      <w:r>
        <w:rPr>
          <w:rFonts w:hint="eastAsia" w:ascii="仿宋_GB2312" w:eastAsia="仿宋_GB2312"/>
          <w:sz w:val="32"/>
          <w:szCs w:val="32"/>
        </w:rPr>
        <w:t>经费。</w:t>
      </w:r>
    </w:p>
    <w:p w14:paraId="06A4A79C">
      <w:pPr>
        <w:autoSpaceDE w:val="0"/>
        <w:autoSpaceDN w:val="0"/>
        <w:adjustRightInd w:val="0"/>
        <w:spacing w:line="600" w:lineRule="exact"/>
        <w:ind w:firstLine="643" w:firstLineChars="200"/>
        <w:jc w:val="left"/>
        <w:outlineLvl w:val="1"/>
        <w:rPr>
          <w:rFonts w:ascii="仿宋" w:hAnsi="仿宋" w:eastAsia="仿宋"/>
          <w:b/>
          <w:sz w:val="32"/>
          <w:szCs w:val="32"/>
        </w:rPr>
      </w:pPr>
      <w:bookmarkStart w:id="68" w:name="_Toc15377223"/>
      <w:r>
        <w:rPr>
          <w:rFonts w:hint="eastAsia" w:ascii="仿宋" w:hAnsi="仿宋" w:eastAsia="仿宋"/>
          <w:b/>
          <w:sz w:val="32"/>
          <w:szCs w:val="32"/>
        </w:rPr>
        <w:t>（二）政府采购支出情况</w:t>
      </w:r>
      <w:bookmarkEnd w:id="68"/>
    </w:p>
    <w:p w14:paraId="3DEF74D8">
      <w:pPr>
        <w:spacing w:line="600" w:lineRule="exact"/>
        <w:ind w:firstLine="640" w:firstLineChars="200"/>
        <w:rPr>
          <w:rFonts w:ascii="仿宋_GB2312" w:eastAsia="仿宋_GB2312"/>
          <w:color w:val="auto"/>
          <w:sz w:val="32"/>
          <w:szCs w:val="32"/>
        </w:rPr>
      </w:pPr>
      <w:r>
        <w:rPr>
          <w:rFonts w:hint="eastAsia" w:ascii="仿宋_GB2312" w:eastAsia="仿宋_GB2312"/>
          <w:sz w:val="32"/>
          <w:szCs w:val="32"/>
          <w:lang w:val="en-US" w:eastAsia="zh-CN"/>
        </w:rPr>
        <w:t>2024年度，凉山州科学技术协会政府采购支出总额4.74万元，其中：政府采购货物支出4.74万元、政府采购工程支出0万元、政府采购服务支出0万元。主要用于公务小车下</w:t>
      </w:r>
      <w:r>
        <w:rPr>
          <w:rFonts w:hint="eastAsia" w:ascii="仿宋_GB2312" w:eastAsia="仿宋_GB2312"/>
          <w:sz w:val="32"/>
          <w:szCs w:val="32"/>
          <w:lang w:eastAsia="zh-CN"/>
        </w:rPr>
        <w:t>乡业务调研、外出参会等加油费用</w:t>
      </w:r>
      <w:r>
        <w:rPr>
          <w:rFonts w:hint="eastAsia" w:ascii="仿宋_GB2312" w:eastAsia="仿宋_GB2312"/>
          <w:sz w:val="32"/>
          <w:szCs w:val="32"/>
        </w:rPr>
        <w:t>。授予中小企业合同金额</w:t>
      </w:r>
      <w:r>
        <w:rPr>
          <w:rFonts w:hint="eastAsia" w:eastAsia="仿宋_GB2312"/>
          <w:sz w:val="32"/>
          <w:szCs w:val="32"/>
          <w:lang w:val="en-US" w:eastAsia="zh-CN"/>
        </w:rPr>
        <w:t>0.74</w:t>
      </w:r>
      <w:r>
        <w:rPr>
          <w:rFonts w:hint="eastAsia" w:ascii="仿宋_GB2312" w:eastAsia="仿宋_GB2312"/>
          <w:sz w:val="32"/>
          <w:szCs w:val="32"/>
        </w:rPr>
        <w:t>万元，占政府采购支出总额的</w:t>
      </w:r>
      <w:r>
        <w:rPr>
          <w:rFonts w:hint="eastAsia"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，其中：</w:t>
      </w:r>
      <w:r>
        <w:rPr>
          <w:rFonts w:hint="eastAsia" w:ascii="仿宋_GB2312" w:eastAsia="仿宋_GB2312"/>
          <w:color w:val="auto"/>
          <w:sz w:val="32"/>
          <w:szCs w:val="32"/>
        </w:rPr>
        <w:t>授予小微企业合同金额</w:t>
      </w:r>
      <w:r>
        <w:rPr>
          <w:rFonts w:hint="eastAsia" w:eastAsia="仿宋_GB2312"/>
          <w:color w:val="auto"/>
          <w:sz w:val="32"/>
          <w:szCs w:val="32"/>
          <w:lang w:val="en-US" w:eastAsia="zh-CN"/>
        </w:rPr>
        <w:t>0.74</w:t>
      </w:r>
      <w:r>
        <w:rPr>
          <w:rFonts w:hint="eastAsia" w:ascii="仿宋_GB2312" w:eastAsia="仿宋_GB2312"/>
          <w:color w:val="auto"/>
          <w:sz w:val="32"/>
          <w:szCs w:val="32"/>
        </w:rPr>
        <w:t>万元，占政府采购支出总额的</w:t>
      </w:r>
      <w:r>
        <w:rPr>
          <w:rFonts w:hint="eastAsia"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w:t>
      </w:r>
    </w:p>
    <w:p w14:paraId="26FDC3A6">
      <w:pPr>
        <w:autoSpaceDE w:val="0"/>
        <w:autoSpaceDN w:val="0"/>
        <w:adjustRightInd w:val="0"/>
        <w:spacing w:line="600" w:lineRule="exact"/>
        <w:ind w:firstLine="643" w:firstLineChars="200"/>
        <w:jc w:val="left"/>
        <w:outlineLvl w:val="1"/>
        <w:rPr>
          <w:rFonts w:ascii="仿宋" w:hAnsi="仿宋" w:eastAsia="仿宋"/>
          <w:b/>
          <w:sz w:val="32"/>
          <w:szCs w:val="32"/>
        </w:rPr>
      </w:pPr>
      <w:bookmarkStart w:id="69" w:name="_Toc15377224"/>
      <w:r>
        <w:rPr>
          <w:rFonts w:hint="eastAsia" w:ascii="仿宋" w:hAnsi="仿宋" w:eastAsia="仿宋"/>
          <w:b/>
          <w:sz w:val="32"/>
          <w:szCs w:val="32"/>
        </w:rPr>
        <w:t>（三）国有资产占有使用情况</w:t>
      </w:r>
      <w:bookmarkEnd w:id="69"/>
    </w:p>
    <w:p w14:paraId="5E65DD2E">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auto"/>
          <w:sz w:val="32"/>
          <w:szCs w:val="32"/>
        </w:rPr>
        <w:t>凉山州科学技术协会共有车辆1辆，其中：主要领导干部用车0辆、机要通信用车0辆、应急</w:t>
      </w:r>
      <w:r>
        <w:rPr>
          <w:rFonts w:hint="eastAsia" w:ascii="仿宋_GB2312" w:eastAsia="仿宋_GB2312"/>
          <w:sz w:val="32"/>
          <w:szCs w:val="32"/>
        </w:rPr>
        <w:t>保障用车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。车辆</w:t>
      </w:r>
      <w:r>
        <w:rPr>
          <w:rFonts w:hint="eastAsia" w:ascii="仿宋_GB2312" w:eastAsia="仿宋_GB2312"/>
          <w:color w:val="000000"/>
          <w:sz w:val="32"/>
          <w:szCs w:val="32"/>
        </w:rPr>
        <w:t>主要是用于开展天府科技云业务调研、科普</w:t>
      </w:r>
      <w:r>
        <w:rPr>
          <w:rFonts w:hint="eastAsia" w:ascii="仿宋_GB2312" w:eastAsia="仿宋_GB2312"/>
          <w:color w:val="000000"/>
          <w:sz w:val="32"/>
          <w:szCs w:val="32"/>
          <w:lang w:eastAsia="zh-CN"/>
        </w:rPr>
        <w:t>宣传、</w:t>
      </w:r>
      <w:r>
        <w:rPr>
          <w:rFonts w:hint="eastAsia" w:ascii="仿宋_GB2312" w:eastAsia="仿宋_GB2312"/>
          <w:color w:val="000000"/>
          <w:sz w:val="32"/>
          <w:szCs w:val="32"/>
        </w:rPr>
        <w:t>乡村振兴下乡、森林防灭火、向上级汇报工作等所需的车辆。</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14:paraId="383427AE">
      <w:pPr>
        <w:autoSpaceDE w:val="0"/>
        <w:autoSpaceDN w:val="0"/>
        <w:adjustRightInd w:val="0"/>
        <w:spacing w:line="600" w:lineRule="exact"/>
        <w:ind w:firstLine="643" w:firstLineChars="200"/>
        <w:jc w:val="left"/>
        <w:outlineLvl w:val="1"/>
        <w:rPr>
          <w:rFonts w:ascii="仿宋" w:hAnsi="仿宋" w:eastAsia="仿宋"/>
          <w:b/>
          <w:sz w:val="32"/>
          <w:szCs w:val="32"/>
        </w:rPr>
      </w:pPr>
      <w:r>
        <w:rPr>
          <w:rFonts w:hint="eastAsia" w:ascii="仿宋" w:hAnsi="仿宋" w:eastAsia="仿宋"/>
          <w:b/>
          <w:sz w:val="32"/>
          <w:szCs w:val="32"/>
        </w:rPr>
        <w:t>（四）预算绩效管理情况</w:t>
      </w:r>
    </w:p>
    <w:p w14:paraId="55E21220">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根据预算绩效管理要求，本部门在年中预算编制阶段，202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年对年中新增需要入库项目，按照要求对</w:t>
      </w:r>
      <w:r>
        <w:rPr>
          <w:rFonts w:hint="eastAsia" w:ascii="仿宋_GB2312" w:hAnsi="仿宋_GB2312" w:eastAsia="仿宋_GB2312" w:cs="仿宋_GB2312"/>
          <w:sz w:val="32"/>
          <w:szCs w:val="32"/>
          <w:lang w:eastAsia="zh-CN"/>
        </w:rPr>
        <w:t>“最美科技工作者”活动、“全州急需紧缺专业大学生顶岗实习补助”、“科创中国</w:t>
      </w:r>
      <w:r>
        <w:rPr>
          <w:rFonts w:hint="eastAsia" w:ascii="仿宋_GB2312" w:hAnsi="仿宋_GB2312" w:eastAsia="仿宋_GB2312" w:cs="仿宋_GB2312"/>
          <w:sz w:val="32"/>
          <w:szCs w:val="32"/>
          <w:lang w:val="en-US" w:eastAsia="zh-CN"/>
        </w:rPr>
        <w:t>·天府科技云服务大会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3个项目开展了预算事前绩效评估；对新增及延续1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个项目编制了绩效目标；预算执行过程中，对1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w:t>
      </w:r>
    </w:p>
    <w:p w14:paraId="727A0898">
      <w:pPr>
        <w:pStyle w:val="37"/>
        <w:spacing w:line="560" w:lineRule="exact"/>
        <w:jc w:val="lef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年度一般公共预算全面开展绩效自评，形成</w:t>
      </w:r>
      <w:bookmarkStart w:id="70" w:name="OLE_LINK35"/>
      <w:r>
        <w:rPr>
          <w:rFonts w:hint="eastAsia" w:ascii="仿宋_GB2312" w:hAnsi="仿宋_GB2312" w:eastAsia="仿宋_GB2312" w:cs="仿宋_GB2312"/>
          <w:sz w:val="32"/>
          <w:szCs w:val="32"/>
        </w:rPr>
        <w:t>凉山州科学技术协会</w:t>
      </w:r>
      <w:bookmarkEnd w:id="70"/>
      <w:r>
        <w:rPr>
          <w:rFonts w:hint="eastAsia" w:ascii="仿宋_GB2312" w:hAnsi="仿宋_GB2312" w:eastAsia="仿宋_GB2312" w:cs="仿宋_GB2312"/>
          <w:sz w:val="32"/>
          <w:szCs w:val="32"/>
        </w:rPr>
        <w:t>部门整体绩效自评报告</w:t>
      </w:r>
      <w:bookmarkStart w:id="71" w:name="OLE_LINK36"/>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bookmarkEnd w:id="7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凉山州科学技术协会</w:t>
      </w:r>
      <w:r>
        <w:rPr>
          <w:rFonts w:hint="eastAsia" w:ascii="仿宋_GB2312" w:hAnsi="仿宋_GB2312" w:eastAsia="仿宋_GB2312" w:cs="仿宋_GB2312"/>
          <w:sz w:val="32"/>
          <w:szCs w:val="32"/>
          <w:lang w:eastAsia="zh-CN"/>
        </w:rPr>
        <w:t>部门预算项目绩效报告</w:t>
      </w:r>
      <w:r>
        <w:rPr>
          <w:rFonts w:hint="eastAsia" w:ascii="仿宋_GB2312" w:hAnsi="仿宋_GB2312" w:eastAsia="仿宋_GB2312" w:cs="仿宋_GB2312"/>
          <w:sz w:val="32"/>
          <w:szCs w:val="32"/>
          <w:lang w:val="en-US" w:eastAsia="zh-CN"/>
        </w:rPr>
        <w:t>11个</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2-1至2-11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color w:val="auto"/>
          <w:kern w:val="2"/>
          <w:sz w:val="32"/>
          <w:szCs w:val="32"/>
          <w:highlight w:val="none"/>
          <w:lang w:val="en-US" w:eastAsia="zh-CN" w:bidi="ar-SA"/>
        </w:rPr>
        <w:t>绩效自评综述情况如下：</w:t>
      </w:r>
    </w:p>
    <w:p w14:paraId="66094BDA">
      <w:pPr>
        <w:pStyle w:val="2"/>
        <w:numPr>
          <w:ilvl w:val="0"/>
          <w:numId w:val="0"/>
        </w:numPr>
        <w:tabs>
          <w:tab w:val="left" w:pos="2160"/>
        </w:tabs>
        <w:spacing w:line="60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w:t>
      </w:r>
      <w:r>
        <w:rPr>
          <w:rFonts w:hint="eastAsia" w:ascii="仿宋_GB2312" w:hAnsi="仿宋_GB2312" w:eastAsia="仿宋_GB2312" w:cs="仿宋_GB2312"/>
          <w:color w:val="000000"/>
          <w:kern w:val="0"/>
          <w:sz w:val="32"/>
          <w:szCs w:val="32"/>
          <w:lang w:val="zh-CN" w:eastAsia="zh-CN" w:bidi="ar-SA"/>
        </w:rPr>
        <w:t>凉山州科学技术协会部门整体</w:t>
      </w:r>
      <w:bookmarkStart w:id="72" w:name="OLE_LINK13"/>
      <w:bookmarkStart w:id="73" w:name="OLE_LINK14"/>
      <w:r>
        <w:rPr>
          <w:rFonts w:hint="eastAsia" w:ascii="仿宋_GB2312" w:hAnsi="仿宋_GB2312" w:eastAsia="仿宋_GB2312" w:cs="仿宋_GB2312"/>
          <w:color w:val="000000"/>
          <w:kern w:val="0"/>
          <w:sz w:val="32"/>
          <w:szCs w:val="32"/>
          <w:lang w:val="zh-CN" w:eastAsia="zh-CN" w:bidi="ar-SA"/>
        </w:rPr>
        <w:t>绩效自评综述：</w:t>
      </w:r>
      <w:bookmarkEnd w:id="72"/>
      <w:bookmarkEnd w:id="73"/>
      <w:r>
        <w:rPr>
          <w:rFonts w:hint="eastAsia" w:ascii="仿宋_GB2312" w:hAnsi="仿宋_GB2312" w:eastAsia="仿宋_GB2312" w:cs="仿宋_GB2312"/>
          <w:color w:val="000000"/>
          <w:kern w:val="0"/>
          <w:sz w:val="32"/>
          <w:szCs w:val="32"/>
          <w:lang w:val="zh-CN" w:eastAsia="zh-CN" w:bidi="ar-SA"/>
        </w:rPr>
        <w:t>我部门充分利用一般公共预算财政拨款934.86万元,完成了年度基本支出485.04万元</w:t>
      </w:r>
      <w:r>
        <w:rPr>
          <w:rFonts w:hint="eastAsia" w:hAnsi="仿宋_GB2312" w:cs="仿宋_GB2312"/>
          <w:color w:val="000000"/>
          <w:kern w:val="0"/>
          <w:sz w:val="32"/>
          <w:szCs w:val="32"/>
          <w:lang w:val="zh-CN" w:eastAsia="zh-CN" w:bidi="ar-SA"/>
        </w:rPr>
        <w:t>的支付</w:t>
      </w:r>
      <w:r>
        <w:rPr>
          <w:rFonts w:hint="eastAsia" w:ascii="仿宋_GB2312" w:hAnsi="仿宋_GB2312" w:eastAsia="仿宋_GB2312" w:cs="仿宋_GB2312"/>
          <w:color w:val="000000"/>
          <w:kern w:val="0"/>
          <w:sz w:val="32"/>
          <w:szCs w:val="32"/>
          <w:lang w:val="zh-CN" w:eastAsia="zh-CN" w:bidi="ar-SA"/>
        </w:rPr>
        <w:t>，每月按财政要求及时发放职工工资，按时缴纳职工五险一金，确保职工权益。保障日常公务用车运行和办公、水电、差旅、印刷、邮电等的支用，确保部门日常工作正常高效运转；完成了项目支出449.82万元，围绕省科协重点工作天府科技云服务项目，开展科学技术普及、传播、科普阵地建设、学术交流、青少年科技创新活动、科普资源开发、全民科学素质调查、开展种养殖培训等</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zh-CN" w:eastAsia="zh-CN" w:bidi="ar-SA"/>
        </w:rPr>
        <w:t>同时，扎实开展党的建设、巩固脱贫攻坚成果有效衔接乡村振兴、社会服务等工作，年度圆满完成</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zh-CN" w:eastAsia="zh-CN" w:bidi="ar-SA"/>
        </w:rPr>
        <w:t>在绩效结果应用方面，按照州财政局工作要求，我部门于年度将本级部门预算、决算批复、整体支出和项目支出绩效评价报告以及转移支付绩效目标表等相关表格在规定的时间内，在凉山州政府网站和州科学技术协会网站进行公开公示；</w:t>
      </w:r>
      <w:r>
        <w:rPr>
          <w:rFonts w:hint="eastAsia" w:ascii="仿宋_GB2312" w:hAnsi="仿宋_GB2312" w:eastAsia="仿宋_GB2312" w:cs="仿宋_GB2312"/>
          <w:color w:val="000000"/>
          <w:kern w:val="0"/>
          <w:sz w:val="32"/>
          <w:szCs w:val="32"/>
          <w:lang w:val="en-US" w:eastAsia="zh-CN" w:bidi="ar-SA"/>
        </w:rPr>
        <w:t>因资金使用支付进度前期较缓慢、</w:t>
      </w:r>
      <w:r>
        <w:rPr>
          <w:rFonts w:hint="eastAsia" w:ascii="仿宋_GB2312" w:hAnsi="仿宋_GB2312" w:eastAsia="仿宋_GB2312" w:cs="仿宋_GB2312"/>
          <w:color w:val="000000"/>
          <w:kern w:val="0"/>
          <w:sz w:val="32"/>
          <w:szCs w:val="32"/>
          <w:lang w:val="zh-CN" w:eastAsia="zh-CN" w:bidi="ar-SA"/>
        </w:rPr>
        <w:t>部门政府采购项目资金支付比例未达</w:t>
      </w:r>
      <w:r>
        <w:rPr>
          <w:rFonts w:hint="eastAsia" w:ascii="仿宋_GB2312" w:hAnsi="仿宋_GB2312" w:eastAsia="仿宋_GB2312" w:cs="仿宋_GB2312"/>
          <w:color w:val="000000"/>
          <w:kern w:val="0"/>
          <w:sz w:val="32"/>
          <w:szCs w:val="32"/>
          <w:lang w:val="en-US" w:eastAsia="zh-CN" w:bidi="ar-SA"/>
        </w:rPr>
        <w:t>100%、资产管理上存在资产老化。</w:t>
      </w:r>
      <w:r>
        <w:rPr>
          <w:rFonts w:hint="eastAsia" w:ascii="仿宋_GB2312" w:hAnsi="仿宋_GB2312" w:eastAsia="仿宋_GB2312" w:cs="仿宋_GB2312"/>
          <w:color w:val="000000"/>
          <w:kern w:val="0"/>
          <w:sz w:val="32"/>
          <w:szCs w:val="32"/>
          <w:lang w:val="zh-CN" w:eastAsia="zh-CN" w:bidi="ar-SA"/>
        </w:rPr>
        <w:t>故自评扣分</w:t>
      </w:r>
      <w:r>
        <w:rPr>
          <w:rFonts w:hint="eastAsia"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color w:val="000000"/>
          <w:kern w:val="0"/>
          <w:sz w:val="32"/>
          <w:szCs w:val="32"/>
          <w:lang w:val="zh-CN" w:eastAsia="zh-CN" w:bidi="ar-SA"/>
        </w:rPr>
        <w:t>分，得分9</w:t>
      </w:r>
      <w:r>
        <w:rPr>
          <w:rFonts w:hint="eastAsia" w:ascii="仿宋_GB2312" w:hAnsi="仿宋_GB2312" w:eastAsia="仿宋_GB2312" w:cs="仿宋_GB2312"/>
          <w:color w:val="000000"/>
          <w:kern w:val="0"/>
          <w:sz w:val="32"/>
          <w:szCs w:val="32"/>
          <w:lang w:val="en-US" w:eastAsia="zh-CN" w:bidi="ar-SA"/>
        </w:rPr>
        <w:t>7</w:t>
      </w:r>
      <w:r>
        <w:rPr>
          <w:rFonts w:hint="eastAsia" w:ascii="仿宋_GB2312" w:hAnsi="仿宋_GB2312" w:eastAsia="仿宋_GB2312" w:cs="仿宋_GB2312"/>
          <w:color w:val="000000"/>
          <w:kern w:val="0"/>
          <w:sz w:val="32"/>
          <w:szCs w:val="32"/>
          <w:lang w:val="zh-CN" w:eastAsia="zh-CN" w:bidi="ar-SA"/>
        </w:rPr>
        <w:t>分。</w:t>
      </w:r>
      <w:r>
        <w:rPr>
          <w:rFonts w:hint="eastAsia" w:ascii="仿宋_GB2312" w:hAnsi="仿宋_GB2312" w:eastAsia="仿宋_GB2312" w:cs="仿宋_GB2312"/>
          <w:color w:val="000000"/>
          <w:kern w:val="0"/>
          <w:sz w:val="32"/>
          <w:szCs w:val="32"/>
          <w:lang w:val="en-US" w:eastAsia="zh-CN" w:bidi="ar-SA"/>
        </w:rPr>
        <w:t>(整体</w:t>
      </w:r>
      <w:r>
        <w:rPr>
          <w:rFonts w:hint="eastAsia" w:ascii="仿宋_GB2312" w:hAnsi="仿宋_GB2312" w:eastAsia="仿宋_GB2312" w:cs="仿宋_GB2312"/>
          <w:color w:val="000000"/>
          <w:kern w:val="0"/>
          <w:sz w:val="32"/>
          <w:szCs w:val="32"/>
          <w:lang w:val="zh-CN" w:eastAsia="zh-CN" w:bidi="ar-SA"/>
        </w:rPr>
        <w:t>绩效自评报告详见附件</w:t>
      </w:r>
      <w:r>
        <w:rPr>
          <w:rFonts w:hint="eastAsia" w:ascii="仿宋_GB2312" w:hAnsi="仿宋_GB2312" w:eastAsia="仿宋_GB2312" w:cs="仿宋_GB2312"/>
          <w:color w:val="000000"/>
          <w:kern w:val="0"/>
          <w:sz w:val="32"/>
          <w:szCs w:val="32"/>
          <w:lang w:val="en-US" w:eastAsia="zh-CN" w:bidi="ar-SA"/>
        </w:rPr>
        <w:t>1)</w:t>
      </w:r>
    </w:p>
    <w:p w14:paraId="1DDA087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w:t>
      </w:r>
      <w:bookmarkStart w:id="74" w:name="OLE_LINK48"/>
      <w:r>
        <w:rPr>
          <w:rFonts w:hint="eastAsia" w:ascii="仿宋_GB2312" w:hAnsi="仿宋_GB2312" w:eastAsia="仿宋_GB2312" w:cs="仿宋_GB2312"/>
          <w:color w:val="000000"/>
          <w:kern w:val="0"/>
          <w:sz w:val="32"/>
          <w:szCs w:val="32"/>
          <w:lang w:val="en-US" w:eastAsia="zh-CN" w:bidi="ar-SA"/>
        </w:rPr>
        <w:t>凉山州科学技术协会部门预算绩效报告11个，预算绩效项目自评综述如下：其中（1）“天府科技云服务项目”，该项目年初预算25万元，年度完成了提升保姆式服务的质量，打造了一批示范带头的科创工作室，起到了精准服务科技工作者、创新驱动发展、全民科学素质提升以及党和政府科学决策的作用。项目</w:t>
      </w:r>
      <w:r>
        <w:rPr>
          <w:rFonts w:hint="eastAsia" w:ascii="仿宋_GB2312" w:hAnsi="仿宋_GB2312" w:eastAsia="仿宋_GB2312" w:cs="仿宋_GB2312"/>
          <w:color w:val="000000"/>
          <w:kern w:val="0"/>
          <w:sz w:val="32"/>
          <w:szCs w:val="32"/>
          <w:lang w:val="zh-CN" w:eastAsia="zh-CN" w:bidi="ar-SA"/>
        </w:rPr>
        <w:t>预算执行率100%，执行情况良好。</w:t>
      </w:r>
      <w:r>
        <w:rPr>
          <w:rFonts w:hint="eastAsia" w:ascii="仿宋_GB2312" w:hAnsi="仿宋_GB2312" w:eastAsia="仿宋_GB2312" w:cs="仿宋_GB2312"/>
          <w:color w:val="000000"/>
          <w:kern w:val="0"/>
          <w:sz w:val="32"/>
          <w:szCs w:val="32"/>
          <w:lang w:val="en-US" w:eastAsia="zh-CN" w:bidi="ar-SA"/>
        </w:rPr>
        <w:t>故自评得分100分。（2）“最美科技工作者”活动，年度预算25万元，项目大力弘扬新时代科学家精神，激发全州科技工作者的荣誉感、自豪感、责任感，引导鼓励全州科技工作者勇做高水平科技自立自强排头兵，发挥科技创新助推凉山高质量发展。项目符合国家大政方针政策，预期社会效益比较显著，资金得到财政支持，属于可持续项目，项目</w:t>
      </w:r>
      <w:r>
        <w:rPr>
          <w:rFonts w:hint="eastAsia" w:ascii="仿宋_GB2312" w:hAnsi="仿宋_GB2312" w:eastAsia="仿宋_GB2312" w:cs="仿宋_GB2312"/>
          <w:color w:val="000000"/>
          <w:kern w:val="0"/>
          <w:sz w:val="32"/>
          <w:szCs w:val="32"/>
          <w:lang w:val="zh-CN" w:eastAsia="zh-CN" w:bidi="ar-SA"/>
        </w:rPr>
        <w:t>预算执行率100%，执行情况良好。</w:t>
      </w:r>
      <w:r>
        <w:rPr>
          <w:rFonts w:hint="eastAsia" w:ascii="仿宋_GB2312" w:hAnsi="仿宋_GB2312" w:eastAsia="仿宋_GB2312" w:cs="仿宋_GB2312"/>
          <w:color w:val="000000"/>
          <w:kern w:val="0"/>
          <w:sz w:val="32"/>
          <w:szCs w:val="32"/>
          <w:lang w:val="en-US" w:eastAsia="zh-CN" w:bidi="ar-SA"/>
        </w:rPr>
        <w:t>但因对资金的预测不是十分精准，实际细化支出与预算存在一定的差异。综合以上情况，故自评扣分4分，得分96分。（3）“科创中国·天府科技云服务大会”，该项目年度预算50万元，该项目完成了</w:t>
      </w:r>
      <w:r>
        <w:rPr>
          <w:rFonts w:hint="default" w:ascii="仿宋_GB2312" w:hAnsi="仿宋_GB2312" w:eastAsia="仿宋_GB2312" w:cs="仿宋_GB2312"/>
          <w:color w:val="000000"/>
          <w:kern w:val="0"/>
          <w:sz w:val="32"/>
          <w:szCs w:val="32"/>
          <w:lang w:val="en-US" w:eastAsia="zh-CN" w:bidi="ar-SA"/>
        </w:rPr>
        <w:t>筹办</w:t>
      </w:r>
      <w:r>
        <w:rPr>
          <w:rFonts w:hint="eastAsia" w:ascii="仿宋_GB2312" w:hAnsi="仿宋_GB2312" w:eastAsia="仿宋_GB2312" w:cs="仿宋_GB2312"/>
          <w:color w:val="000000"/>
          <w:kern w:val="0"/>
          <w:sz w:val="32"/>
          <w:szCs w:val="32"/>
          <w:lang w:val="en-US" w:eastAsia="zh-CN" w:bidi="ar-SA"/>
        </w:rPr>
        <w:t>好</w:t>
      </w:r>
      <w:r>
        <w:rPr>
          <w:rFonts w:hint="default" w:ascii="仿宋_GB2312" w:hAnsi="仿宋_GB2312" w:eastAsia="仿宋_GB2312" w:cs="仿宋_GB2312"/>
          <w:color w:val="000000"/>
          <w:kern w:val="0"/>
          <w:sz w:val="32"/>
          <w:szCs w:val="32"/>
          <w:lang w:val="en-US" w:eastAsia="zh-CN" w:bidi="ar-SA"/>
        </w:rPr>
        <w:t>第三届科创中国·天府科技云服务大会，全面深化天府科技云服务</w:t>
      </w:r>
      <w:r>
        <w:rPr>
          <w:rFonts w:hint="eastAsia" w:ascii="仿宋_GB2312" w:hAnsi="仿宋_GB2312" w:eastAsia="仿宋_GB2312" w:cs="仿宋_GB2312"/>
          <w:color w:val="000000"/>
          <w:kern w:val="0"/>
          <w:sz w:val="32"/>
          <w:szCs w:val="32"/>
          <w:lang w:val="en-US" w:eastAsia="zh-CN" w:bidi="ar-SA"/>
        </w:rPr>
        <w:t>在凉山落地落实落细。凉山州科协积极筹办大会，推动天府科技云更广更快传播，为天府科技云在凉山落地落实落细起到了良好成效。项目</w:t>
      </w:r>
      <w:r>
        <w:rPr>
          <w:rFonts w:hint="eastAsia" w:ascii="仿宋_GB2312" w:hAnsi="仿宋_GB2312" w:eastAsia="仿宋_GB2312" w:cs="仿宋_GB2312"/>
          <w:color w:val="000000"/>
          <w:kern w:val="0"/>
          <w:sz w:val="32"/>
          <w:szCs w:val="32"/>
          <w:lang w:val="zh-CN" w:eastAsia="zh-CN" w:bidi="ar-SA"/>
        </w:rPr>
        <w:t>预算执行率100%，执行情况良好。</w:t>
      </w:r>
      <w:r>
        <w:rPr>
          <w:rFonts w:hint="eastAsia" w:ascii="仿宋_GB2312" w:hAnsi="仿宋_GB2312" w:eastAsia="仿宋_GB2312" w:cs="仿宋_GB2312"/>
          <w:color w:val="000000"/>
          <w:kern w:val="0"/>
          <w:sz w:val="32"/>
          <w:szCs w:val="32"/>
          <w:lang w:val="en-US" w:eastAsia="zh-CN" w:bidi="ar-SA"/>
        </w:rPr>
        <w:t>自评得分100分。（4）“州级科普专项资金”，该项目年初预算128万元，</w:t>
      </w:r>
      <w:r>
        <w:rPr>
          <w:rFonts w:hint="eastAsia" w:ascii="仿宋_GB2312" w:hAnsi="仿宋_GB2312" w:eastAsia="仿宋_GB2312" w:cs="仿宋_GB2312"/>
          <w:color w:val="000000"/>
          <w:kern w:val="0"/>
          <w:sz w:val="32"/>
          <w:szCs w:val="32"/>
          <w:lang w:val="zh-CN" w:eastAsia="zh-CN" w:bidi="ar-SA"/>
        </w:rPr>
        <w:t>我部门充分利用州级科普项目资金完成了以下项目任务：通过公共服务及基础设施运行，</w:t>
      </w:r>
      <w:r>
        <w:rPr>
          <w:rFonts w:hint="eastAsia" w:ascii="仿宋_GB2312" w:hAnsi="仿宋_GB2312" w:eastAsia="仿宋_GB2312" w:cs="仿宋_GB2312"/>
          <w:color w:val="000000"/>
          <w:kern w:val="0"/>
          <w:sz w:val="32"/>
          <w:szCs w:val="32"/>
          <w:lang w:val="en-US" w:eastAsia="zh-CN" w:bidi="ar-SA"/>
        </w:rPr>
        <w:t>提升了工作人员业务能力，提高公众科学素养，降低森林草原火灾风险，创文工作改善区域环境，数字化档案提高科技资料利用效率，</w:t>
      </w:r>
      <w:r>
        <w:rPr>
          <w:rFonts w:hint="eastAsia" w:ascii="仿宋_GB2312" w:hAnsi="仿宋_GB2312" w:eastAsia="仿宋_GB2312" w:cs="仿宋_GB2312"/>
          <w:color w:val="000000"/>
          <w:kern w:val="0"/>
          <w:sz w:val="32"/>
          <w:szCs w:val="32"/>
          <w:lang w:val="zh-CN" w:eastAsia="zh-CN" w:bidi="ar-SA"/>
        </w:rPr>
        <w:t>“天府科技云服务”日常工作推进，为实现整体工作位居全省前列打下了坚实基础；学会能力提升计划，</w:t>
      </w:r>
      <w:r>
        <w:rPr>
          <w:rFonts w:hint="eastAsia" w:ascii="仿宋_GB2312" w:hAnsi="仿宋_GB2312" w:eastAsia="仿宋_GB2312" w:cs="仿宋_GB2312"/>
          <w:color w:val="000000"/>
          <w:kern w:val="0"/>
          <w:sz w:val="32"/>
          <w:szCs w:val="32"/>
          <w:lang w:val="en-US" w:eastAsia="zh-CN" w:bidi="ar-SA"/>
        </w:rPr>
        <w:t>打造重点学会协会，提升学术交流、科技创新与服务能力；</w:t>
      </w:r>
      <w:r>
        <w:rPr>
          <w:rFonts w:hint="eastAsia" w:ascii="仿宋_GB2312" w:hAnsi="仿宋_GB2312" w:eastAsia="仿宋_GB2312" w:cs="仿宋_GB2312"/>
          <w:color w:val="000000"/>
          <w:kern w:val="0"/>
          <w:sz w:val="32"/>
          <w:szCs w:val="32"/>
          <w:lang w:val="zh-CN" w:eastAsia="zh-CN" w:bidi="ar-SA"/>
        </w:rPr>
        <w:t>人才举荐和院士（专家）工作站评审、激励科技工作者为我州科技发展做出更大贡献，促进技术攻关和科技成果转移转化；青少年科技创新教育活动、向</w:t>
      </w:r>
      <w:r>
        <w:rPr>
          <w:rFonts w:hint="eastAsia" w:ascii="仿宋_GB2312" w:hAnsi="仿宋_GB2312" w:eastAsia="仿宋_GB2312" w:cs="仿宋_GB2312"/>
          <w:color w:val="000000"/>
          <w:kern w:val="0"/>
          <w:sz w:val="32"/>
          <w:szCs w:val="32"/>
          <w:lang w:val="en-US" w:eastAsia="zh-CN" w:bidi="ar-SA"/>
        </w:rPr>
        <w:t>广大青少年展示科技成就、传播科学知识，培养科学兴趣，造就具有科学潜质的青少年；</w:t>
      </w:r>
      <w:r>
        <w:rPr>
          <w:rFonts w:hint="eastAsia" w:ascii="仿宋_GB2312" w:hAnsi="仿宋_GB2312" w:eastAsia="仿宋_GB2312" w:cs="仿宋_GB2312"/>
          <w:color w:val="000000"/>
          <w:kern w:val="0"/>
          <w:sz w:val="32"/>
          <w:szCs w:val="32"/>
          <w:lang w:val="zh-CN" w:eastAsia="zh-CN" w:bidi="ar-SA"/>
        </w:rPr>
        <w:t>农技协和乡村振兴科普宣传培训，提升村民科学素养，促进乡村产</w:t>
      </w:r>
      <w:r>
        <w:rPr>
          <w:rFonts w:hint="eastAsia" w:ascii="仿宋_GB2312" w:hAnsi="仿宋_GB2312" w:eastAsia="仿宋_GB2312" w:cs="仿宋_GB2312"/>
          <w:color w:val="000000"/>
          <w:kern w:val="0"/>
          <w:sz w:val="32"/>
          <w:szCs w:val="32"/>
          <w:lang w:val="en-US" w:eastAsia="zh-CN" w:bidi="ar-SA"/>
        </w:rPr>
        <w:t>业发展和文明建设等等项目任务。项目</w:t>
      </w:r>
      <w:r>
        <w:rPr>
          <w:rFonts w:hint="eastAsia" w:ascii="仿宋_GB2312" w:hAnsi="仿宋_GB2312" w:eastAsia="仿宋_GB2312" w:cs="仿宋_GB2312"/>
          <w:color w:val="000000"/>
          <w:kern w:val="0"/>
          <w:sz w:val="32"/>
          <w:szCs w:val="32"/>
          <w:lang w:val="zh-CN" w:eastAsia="zh-CN" w:bidi="ar-SA"/>
        </w:rPr>
        <w:t>预算执行率100%，执行情况良好。</w:t>
      </w:r>
      <w:r>
        <w:rPr>
          <w:rFonts w:hint="eastAsia" w:ascii="仿宋_GB2312" w:hAnsi="仿宋_GB2312" w:eastAsia="仿宋_GB2312" w:cs="仿宋_GB2312"/>
          <w:color w:val="000000"/>
          <w:kern w:val="0"/>
          <w:sz w:val="32"/>
          <w:szCs w:val="32"/>
          <w:lang w:val="en-US" w:eastAsia="zh-CN" w:bidi="ar-SA"/>
        </w:rPr>
        <w:t>因资金使用支付进度前期较缓慢，受资金短缺</w:t>
      </w:r>
      <w:r>
        <w:rPr>
          <w:rFonts w:hint="eastAsia" w:ascii="仿宋_GB2312" w:hAnsi="仿宋_GB2312" w:eastAsia="仿宋_GB2312" w:cs="仿宋_GB2312"/>
          <w:color w:val="000000"/>
          <w:kern w:val="0"/>
          <w:sz w:val="32"/>
          <w:szCs w:val="32"/>
          <w:lang w:val="zh-CN" w:eastAsia="zh-CN" w:bidi="ar-SA"/>
        </w:rPr>
        <w:t>制约，受益群众有限，满意度不能达预期目的，</w:t>
      </w:r>
      <w:r>
        <w:rPr>
          <w:rFonts w:hint="eastAsia" w:ascii="仿宋_GB2312" w:hAnsi="仿宋_GB2312" w:eastAsia="仿宋_GB2312" w:cs="仿宋_GB2312"/>
          <w:color w:val="000000"/>
          <w:kern w:val="0"/>
          <w:sz w:val="32"/>
          <w:szCs w:val="32"/>
          <w:lang w:val="en-US" w:eastAsia="zh-CN" w:bidi="ar-SA"/>
        </w:rPr>
        <w:t>个别项目评审前提条件设定不够准确</w:t>
      </w:r>
      <w:r>
        <w:rPr>
          <w:rFonts w:hint="eastAsia" w:ascii="仿宋_GB2312" w:hAnsi="仿宋_GB2312" w:eastAsia="仿宋_GB2312" w:cs="仿宋_GB2312"/>
          <w:color w:val="000000"/>
          <w:kern w:val="0"/>
          <w:sz w:val="32"/>
          <w:szCs w:val="32"/>
          <w:lang w:val="zh-CN" w:eastAsia="zh-CN" w:bidi="ar-SA"/>
        </w:rPr>
        <w:t>。故自评扣分</w:t>
      </w:r>
      <w:r>
        <w:rPr>
          <w:rFonts w:hint="eastAsia"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color w:val="000000"/>
          <w:kern w:val="0"/>
          <w:sz w:val="32"/>
          <w:szCs w:val="32"/>
          <w:lang w:val="zh-CN" w:eastAsia="zh-CN" w:bidi="ar-SA"/>
        </w:rPr>
        <w:t>分，得分9</w:t>
      </w:r>
      <w:r>
        <w:rPr>
          <w:rFonts w:hint="eastAsia" w:ascii="仿宋_GB2312" w:hAnsi="仿宋_GB2312" w:eastAsia="仿宋_GB2312" w:cs="仿宋_GB2312"/>
          <w:color w:val="000000"/>
          <w:kern w:val="0"/>
          <w:sz w:val="32"/>
          <w:szCs w:val="32"/>
          <w:lang w:val="en-US" w:eastAsia="zh-CN" w:bidi="ar-SA"/>
        </w:rPr>
        <w:t>7</w:t>
      </w:r>
      <w:r>
        <w:rPr>
          <w:rFonts w:hint="eastAsia" w:ascii="仿宋_GB2312" w:hAnsi="仿宋_GB2312" w:eastAsia="仿宋_GB2312" w:cs="仿宋_GB2312"/>
          <w:color w:val="000000"/>
          <w:kern w:val="0"/>
          <w:sz w:val="32"/>
          <w:szCs w:val="32"/>
          <w:lang w:val="zh-CN" w:eastAsia="zh-CN" w:bidi="ar-SA"/>
        </w:rPr>
        <w:t>分。</w:t>
      </w:r>
      <w:r>
        <w:rPr>
          <w:rFonts w:hint="eastAsia" w:ascii="仿宋_GB2312" w:hAnsi="仿宋_GB2312" w:eastAsia="仿宋_GB2312" w:cs="仿宋_GB2312"/>
          <w:color w:val="000000"/>
          <w:kern w:val="0"/>
          <w:sz w:val="32"/>
          <w:szCs w:val="32"/>
          <w:lang w:val="en-US" w:eastAsia="zh-CN" w:bidi="ar-SA"/>
        </w:rPr>
        <w:t>（5）“省级科普专项资金”，该项目年度预算156.6万元，我部门充分利用省级科普项目资金完成了以下项目任务：天府科技云服务项目，实现了整体工作位居全省前列；完成了全国科普日活动；公民科学素质提升项目所设目标；创建了15个州级科普示范单位；年度已完成制作特色科普作品动画沙画共计20条，科普作品翻译，并在全州范围内广泛播放；中国流动科技馆四川巡展—凉山站，在冕宁县、越西县开展科普展示，使5万余人次获得了科普体验；与凉山州融媒体中心合作开设《科普凉山》电视专题节目，译制、采编24期科普节目，并在融媒微信公众号、APP天府科技云等新新媒体推广；圆满完成中国科学院老科学家科普演讲团智力帮扶凉山科学家进校园科普宣讲活动，先后深入凉山州布拖、盐源、木里、普格县等24所学校开展科普报告54场次，1.2万余名青少年聆听报告；《凉山科学发展》全年完成发行4期，发行2000册的任务等。项目</w:t>
      </w:r>
      <w:r>
        <w:rPr>
          <w:rFonts w:hint="eastAsia" w:ascii="仿宋_GB2312" w:hAnsi="仿宋_GB2312" w:eastAsia="仿宋_GB2312" w:cs="仿宋_GB2312"/>
          <w:color w:val="000000"/>
          <w:kern w:val="0"/>
          <w:sz w:val="32"/>
          <w:szCs w:val="32"/>
          <w:lang w:val="zh-CN" w:eastAsia="zh-CN" w:bidi="ar-SA"/>
        </w:rPr>
        <w:t>预算执行率100%，执行情况良好。</w:t>
      </w:r>
      <w:r>
        <w:rPr>
          <w:rFonts w:hint="eastAsia" w:ascii="仿宋_GB2312" w:hAnsi="仿宋_GB2312" w:eastAsia="仿宋_GB2312" w:cs="仿宋_GB2312"/>
          <w:color w:val="000000"/>
          <w:kern w:val="0"/>
          <w:sz w:val="32"/>
          <w:szCs w:val="32"/>
          <w:lang w:val="en-US" w:eastAsia="zh-CN" w:bidi="ar-SA"/>
        </w:rPr>
        <w:t>因年度省级科普项目资金下达时间较晚导致有些项目推动滞后，资金使用进度前期较缓慢；受资金短缺制约，受益群众有限，满意度不能达预期目的。故自评扣分2分，得分98分。（6）“科普宣传活动业务经费”，该项目年初预算12万元，年度完成了从第38届凉山州青少年科技创新大赛一等奖中选拔出来的26名优秀青少年</w:t>
      </w:r>
      <w:r>
        <w:rPr>
          <w:rFonts w:hint="eastAsia" w:ascii="仿宋_GB2312" w:hAnsi="仿宋_GB2312" w:eastAsia="仿宋_GB2312" w:cs="仿宋_GB2312"/>
          <w:color w:val="000000"/>
          <w:kern w:val="0"/>
          <w:sz w:val="32"/>
          <w:szCs w:val="32"/>
          <w:lang w:val="zh-CN" w:eastAsia="zh-CN" w:bidi="ar-SA"/>
        </w:rPr>
        <w:t>，</w:t>
      </w:r>
      <w:r>
        <w:rPr>
          <w:rFonts w:hint="eastAsia" w:ascii="仿宋_GB2312" w:hAnsi="仿宋_GB2312" w:eastAsia="仿宋_GB2312" w:cs="仿宋_GB2312"/>
          <w:color w:val="000000"/>
          <w:kern w:val="0"/>
          <w:sz w:val="32"/>
          <w:szCs w:val="32"/>
          <w:lang w:val="en-US" w:eastAsia="zh-CN" w:bidi="ar-SA"/>
        </w:rPr>
        <w:t>组织他们走进高等院校、科研院所、科普基地、科技馆、博物馆等，通过参观访问、学习探究、专家讲座、互动体验、实操培训等多种方式，让参与活动的青少年开阔科学视野、了解前沿科技，感受科学魅力，深度学习科学知识，帮助培养科学兴趣，树立科学梦想。项目</w:t>
      </w:r>
      <w:r>
        <w:rPr>
          <w:rFonts w:hint="eastAsia" w:ascii="仿宋_GB2312" w:hAnsi="仿宋_GB2312" w:eastAsia="仿宋_GB2312" w:cs="仿宋_GB2312"/>
          <w:color w:val="000000"/>
          <w:kern w:val="0"/>
          <w:sz w:val="32"/>
          <w:szCs w:val="32"/>
          <w:lang w:val="zh-CN" w:eastAsia="zh-CN" w:bidi="ar-SA"/>
        </w:rPr>
        <w:t>预算执行率100%，执行情况良好。</w:t>
      </w:r>
      <w:r>
        <w:rPr>
          <w:rFonts w:hint="eastAsia" w:ascii="仿宋_GB2312" w:hAnsi="仿宋_GB2312" w:eastAsia="仿宋_GB2312" w:cs="仿宋_GB2312"/>
          <w:color w:val="000000"/>
          <w:kern w:val="0"/>
          <w:sz w:val="32"/>
          <w:szCs w:val="32"/>
          <w:lang w:val="en-US" w:eastAsia="zh-CN" w:bidi="ar-SA"/>
        </w:rPr>
        <w:t>由于时间较短（仅五天），学习的深度和广度不够，而提升整体科学素质和人才培养是个长期系统工程，短期内很难收到明显的作用和效果。故自评扣3分、</w:t>
      </w:r>
      <w:r>
        <w:rPr>
          <w:rFonts w:hint="eastAsia" w:ascii="仿宋_GB2312" w:hAnsi="仿宋_GB2312" w:eastAsia="仿宋_GB2312" w:cs="仿宋_GB2312"/>
          <w:color w:val="000000"/>
          <w:kern w:val="0"/>
          <w:sz w:val="32"/>
          <w:szCs w:val="32"/>
          <w:lang w:val="zh-CN" w:eastAsia="zh-CN" w:bidi="ar-SA"/>
        </w:rPr>
        <w:t>得分</w:t>
      </w:r>
      <w:r>
        <w:rPr>
          <w:rFonts w:hint="eastAsia" w:ascii="仿宋_GB2312" w:hAnsi="仿宋_GB2312" w:eastAsia="仿宋_GB2312" w:cs="仿宋_GB2312"/>
          <w:color w:val="000000"/>
          <w:kern w:val="0"/>
          <w:sz w:val="32"/>
          <w:szCs w:val="32"/>
          <w:lang w:val="en-US" w:eastAsia="zh-CN" w:bidi="ar-SA"/>
        </w:rPr>
        <w:t>97分。（7）“学术交流活动业务经费”，该项目年初预算12万元，根据凉山州科协《关于实施2024年学会能力提升计划的通知》（凉科协﹝2024﹞19号）要求，学会部要求各学（协）会等自行申报，州科协学会部认真审核推荐，经州科协党组研究同意，州药学会、心理学协会、营养学会、州应急安全科技协会、生态摄影协会、农村专业技术协会等10个项目为2024年学会能力提升计划项目。通过项目的实施，实现了打造重点学会协会，努力提升学术交流、科技创新与服务能力，提升学会(协会)服务社会、自身发展的能力。</w:t>
      </w:r>
      <w:r>
        <w:rPr>
          <w:rFonts w:hint="eastAsia" w:ascii="仿宋_GB2312" w:hAnsi="仿宋_GB2312" w:eastAsia="仿宋_GB2312" w:cs="仿宋_GB2312"/>
          <w:color w:val="000000"/>
          <w:kern w:val="0"/>
          <w:sz w:val="32"/>
          <w:szCs w:val="32"/>
          <w:lang w:val="zh-CN" w:eastAsia="zh-CN" w:bidi="ar-SA"/>
        </w:rPr>
        <w:t>预算执行率100%，执行情况良好。</w:t>
      </w:r>
      <w:r>
        <w:rPr>
          <w:rFonts w:hint="eastAsia" w:ascii="仿宋_GB2312" w:hAnsi="仿宋_GB2312" w:eastAsia="仿宋_GB2312" w:cs="仿宋_GB2312"/>
          <w:color w:val="000000"/>
          <w:kern w:val="0"/>
          <w:sz w:val="32"/>
          <w:szCs w:val="32"/>
          <w:lang w:val="en-US" w:eastAsia="zh-CN" w:bidi="ar-SA"/>
        </w:rPr>
        <w:t>因受资金短缺等限制，</w:t>
      </w:r>
      <w:r>
        <w:rPr>
          <w:rFonts w:hint="eastAsia" w:ascii="仿宋_GB2312" w:hAnsi="仿宋_GB2312" w:eastAsia="仿宋_GB2312" w:cs="仿宋_GB2312"/>
          <w:color w:val="000000"/>
          <w:kern w:val="0"/>
          <w:sz w:val="32"/>
          <w:szCs w:val="32"/>
          <w:lang w:val="zh-CN" w:eastAsia="zh-CN" w:bidi="ar-SA"/>
        </w:rPr>
        <w:t>满意度方面不能达到预期目的；宣传力度和覆盖面不够，故该项目自评扣</w:t>
      </w:r>
      <w:r>
        <w:rPr>
          <w:rFonts w:hint="eastAsia"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zh-CN" w:eastAsia="zh-CN" w:bidi="ar-SA"/>
        </w:rPr>
        <w:t>分、得分</w:t>
      </w:r>
      <w:r>
        <w:rPr>
          <w:rFonts w:hint="eastAsia" w:ascii="仿宋_GB2312" w:hAnsi="仿宋_GB2312" w:eastAsia="仿宋_GB2312" w:cs="仿宋_GB2312"/>
          <w:color w:val="000000"/>
          <w:kern w:val="0"/>
          <w:sz w:val="32"/>
          <w:szCs w:val="32"/>
          <w:lang w:val="en-US" w:eastAsia="zh-CN" w:bidi="ar-SA"/>
        </w:rPr>
        <w:t>98分。（8）“凉山州全民科学素质提升专项”，该项目年初预算14.569万元，年度项目开展了科学普及、素质提升、科普活动进机关、进乡村、进学校、进企事业、进社区等全民科学素质提升相关工作</w:t>
      </w:r>
      <w:r>
        <w:rPr>
          <w:rFonts w:hint="eastAsia" w:ascii="仿宋_GB2312" w:hAnsi="仿宋_GB2312" w:eastAsia="仿宋_GB2312" w:cs="仿宋_GB2312"/>
          <w:color w:val="000000"/>
          <w:kern w:val="0"/>
          <w:sz w:val="32"/>
          <w:szCs w:val="32"/>
          <w:lang w:val="zh-CN" w:eastAsia="zh-CN" w:bidi="ar-SA"/>
        </w:rPr>
        <w:t>。本部门通过</w:t>
      </w:r>
      <w:r>
        <w:rPr>
          <w:rFonts w:hint="eastAsia" w:ascii="仿宋_GB2312" w:hAnsi="仿宋_GB2312" w:eastAsia="仿宋_GB2312" w:cs="仿宋_GB2312"/>
          <w:color w:val="000000"/>
          <w:kern w:val="0"/>
          <w:sz w:val="32"/>
          <w:szCs w:val="32"/>
          <w:lang w:val="en-US" w:eastAsia="zh-CN" w:bidi="ar-SA"/>
        </w:rPr>
        <w:t>丰富多样的科普活动，实现了提高全民科学素质服务高质量发展的目标。项目</w:t>
      </w:r>
      <w:r>
        <w:rPr>
          <w:rFonts w:hint="eastAsia" w:ascii="仿宋_GB2312" w:hAnsi="仿宋_GB2312" w:eastAsia="仿宋_GB2312" w:cs="仿宋_GB2312"/>
          <w:color w:val="000000"/>
          <w:kern w:val="0"/>
          <w:sz w:val="32"/>
          <w:szCs w:val="32"/>
          <w:lang w:val="zh-CN" w:eastAsia="zh-CN" w:bidi="ar-SA"/>
        </w:rPr>
        <w:t>预算执行率100%，执行情况良好。因项目资金偏少，在一定程度上制约了项目在当年实施完成进度。故</w:t>
      </w:r>
      <w:r>
        <w:rPr>
          <w:rFonts w:hint="eastAsia" w:ascii="仿宋_GB2312" w:hAnsi="仿宋_GB2312" w:eastAsia="仿宋_GB2312" w:cs="仿宋_GB2312"/>
          <w:color w:val="000000"/>
          <w:kern w:val="0"/>
          <w:sz w:val="32"/>
          <w:szCs w:val="32"/>
          <w:lang w:val="en-US" w:eastAsia="zh-CN" w:bidi="ar-SA"/>
        </w:rPr>
        <w:t>自评扣分2分、得分98分。（9）“老科技工作者科普活动保障经费”，该项目年初预算12万元。</w:t>
      </w:r>
      <w:r>
        <w:rPr>
          <w:rFonts w:hint="default" w:ascii="仿宋_GB2312" w:hAnsi="仿宋_GB2312" w:eastAsia="仿宋_GB2312" w:cs="仿宋_GB2312"/>
          <w:color w:val="000000"/>
          <w:kern w:val="0"/>
          <w:sz w:val="32"/>
          <w:szCs w:val="32"/>
          <w:lang w:val="en-US" w:eastAsia="zh-CN" w:bidi="ar-SA"/>
        </w:rPr>
        <w:t>项目围绕农村科普和城市科普活动，青少年科技教育活动，提升全民科学素质，对离退休老专家开展敬老月各项活动，进行党总支和党支部建设的各项活动，开展彩色花油菜示范种植，资助贫困生，，科技咨询,健康义诊，积极探索金沙江流域合作调研、交流会、秘书处工作等。在学校实施各类公益活动</w:t>
      </w:r>
      <w:r>
        <w:rPr>
          <w:rFonts w:hint="eastAsia" w:ascii="仿宋_GB2312" w:hAnsi="仿宋_GB2312" w:eastAsia="仿宋_GB2312" w:cs="仿宋_GB2312"/>
          <w:color w:val="000000"/>
          <w:kern w:val="0"/>
          <w:sz w:val="32"/>
          <w:szCs w:val="32"/>
          <w:lang w:val="en-US" w:eastAsia="zh-CN" w:bidi="ar-SA"/>
        </w:rPr>
        <w:t>等</w:t>
      </w:r>
      <w:r>
        <w:rPr>
          <w:rFonts w:hint="default"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eastAsia="zh-CN" w:bidi="ar-SA"/>
        </w:rPr>
        <w:t>通过项目实施，对资助学生学业目标、科学理想等产生较深影响；开展</w:t>
      </w:r>
      <w:r>
        <w:rPr>
          <w:rFonts w:hint="default" w:ascii="仿宋_GB2312" w:hAnsi="仿宋_GB2312" w:eastAsia="仿宋_GB2312" w:cs="仿宋_GB2312"/>
          <w:color w:val="000000"/>
          <w:kern w:val="0"/>
          <w:sz w:val="32"/>
          <w:szCs w:val="32"/>
          <w:lang w:val="en-US" w:eastAsia="zh-CN" w:bidi="ar-SA"/>
        </w:rPr>
        <w:t>彩色花油菜示范种植世界首创</w:t>
      </w:r>
      <w:r>
        <w:rPr>
          <w:rFonts w:hint="eastAsia" w:ascii="仿宋_GB2312" w:hAnsi="仿宋_GB2312" w:eastAsia="仿宋_GB2312" w:cs="仿宋_GB2312"/>
          <w:color w:val="000000"/>
          <w:kern w:val="0"/>
          <w:sz w:val="32"/>
          <w:szCs w:val="32"/>
          <w:lang w:val="en-US" w:eastAsia="zh-CN" w:bidi="ar-SA"/>
        </w:rPr>
        <w:t>，作用显著、影响深远；</w:t>
      </w:r>
      <w:r>
        <w:rPr>
          <w:rFonts w:hint="default" w:ascii="仿宋_GB2312" w:hAnsi="仿宋_GB2312" w:eastAsia="仿宋_GB2312" w:cs="仿宋_GB2312"/>
          <w:color w:val="000000"/>
          <w:kern w:val="0"/>
          <w:sz w:val="32"/>
          <w:szCs w:val="32"/>
          <w:lang w:val="en-US" w:eastAsia="zh-CN" w:bidi="ar-SA"/>
        </w:rPr>
        <w:t>开展各类培训，科普宣传</w:t>
      </w:r>
      <w:r>
        <w:rPr>
          <w:rFonts w:hint="eastAsia" w:ascii="仿宋_GB2312" w:hAnsi="仿宋_GB2312" w:eastAsia="仿宋_GB2312" w:cs="仿宋_GB2312"/>
          <w:color w:val="000000"/>
          <w:kern w:val="0"/>
          <w:sz w:val="32"/>
          <w:szCs w:val="32"/>
          <w:lang w:val="en-US" w:eastAsia="zh-CN" w:bidi="ar-SA"/>
        </w:rPr>
        <w:t>，能实现农民增产增收，促进技术攻关和科技成果转移转化，能在传播科学知识、倡导文明生活等方面起到良好的推进作用，对全民科学素质提升起到了一定的积极效果，</w:t>
      </w:r>
      <w:r>
        <w:rPr>
          <w:rFonts w:hint="eastAsia" w:ascii="仿宋_GB2312" w:hAnsi="仿宋_GB2312" w:eastAsia="仿宋_GB2312" w:cs="仿宋_GB2312"/>
          <w:color w:val="000000"/>
          <w:kern w:val="0"/>
          <w:sz w:val="32"/>
          <w:szCs w:val="32"/>
          <w:lang w:val="zh-CN" w:eastAsia="zh-CN" w:bidi="ar-SA"/>
        </w:rPr>
        <w:t>激励老科技工作者为我州科技发展做出更大贡献。</w:t>
      </w:r>
      <w:r>
        <w:rPr>
          <w:rFonts w:hint="eastAsia" w:ascii="仿宋_GB2312" w:hAnsi="仿宋_GB2312" w:eastAsia="仿宋_GB2312" w:cs="仿宋_GB2312"/>
          <w:color w:val="000000"/>
          <w:kern w:val="0"/>
          <w:sz w:val="32"/>
          <w:szCs w:val="32"/>
          <w:lang w:val="en-US" w:eastAsia="zh-CN" w:bidi="ar-SA"/>
        </w:rPr>
        <w:t>项目</w:t>
      </w:r>
      <w:r>
        <w:rPr>
          <w:rFonts w:hint="eastAsia" w:ascii="仿宋_GB2312" w:hAnsi="仿宋_GB2312" w:eastAsia="仿宋_GB2312" w:cs="仿宋_GB2312"/>
          <w:color w:val="000000"/>
          <w:kern w:val="0"/>
          <w:sz w:val="32"/>
          <w:szCs w:val="32"/>
          <w:lang w:val="zh-CN" w:eastAsia="zh-CN" w:bidi="ar-SA"/>
        </w:rPr>
        <w:t>预算执行率100%，执行情况良好。</w:t>
      </w:r>
      <w:r>
        <w:rPr>
          <w:rFonts w:hint="eastAsia" w:ascii="仿宋_GB2312" w:hAnsi="仿宋_GB2312" w:eastAsia="仿宋_GB2312" w:cs="仿宋_GB2312"/>
          <w:color w:val="000000"/>
          <w:kern w:val="0"/>
          <w:sz w:val="32"/>
          <w:szCs w:val="32"/>
          <w:lang w:val="en-US" w:eastAsia="zh-CN" w:bidi="ar-SA"/>
        </w:rPr>
        <w:t>由于受资金限制，工作开展深度和广度不够，短期内很难收到明显的作用和效果。因此自评扣2分、</w:t>
      </w:r>
      <w:r>
        <w:rPr>
          <w:rFonts w:hint="eastAsia" w:ascii="仿宋_GB2312" w:hAnsi="仿宋_GB2312" w:eastAsia="仿宋_GB2312" w:cs="仿宋_GB2312"/>
          <w:color w:val="000000"/>
          <w:kern w:val="0"/>
          <w:sz w:val="32"/>
          <w:szCs w:val="32"/>
          <w:lang w:val="zh-CN" w:eastAsia="zh-CN" w:bidi="ar-SA"/>
        </w:rPr>
        <w:t>得分</w:t>
      </w:r>
      <w:r>
        <w:rPr>
          <w:rFonts w:hint="eastAsia" w:ascii="仿宋_GB2312" w:hAnsi="仿宋_GB2312" w:eastAsia="仿宋_GB2312" w:cs="仿宋_GB2312"/>
          <w:color w:val="000000"/>
          <w:kern w:val="0"/>
          <w:sz w:val="32"/>
          <w:szCs w:val="32"/>
          <w:lang w:val="en-US" w:eastAsia="zh-CN" w:bidi="ar-SA"/>
        </w:rPr>
        <w:t>95分。（10）“全州急需紧缺专业大学生顶岗实习补助”，该项目年度预算11.85万元。</w:t>
      </w:r>
      <w:r>
        <w:rPr>
          <w:rFonts w:hint="eastAsia" w:ascii="仿宋_GB2312" w:hAnsi="仿宋_GB2312" w:eastAsia="仿宋_GB2312" w:cs="仿宋_GB2312"/>
          <w:color w:val="000000"/>
          <w:kern w:val="0"/>
          <w:sz w:val="32"/>
          <w:szCs w:val="32"/>
          <w:lang w:val="zh-CN" w:eastAsia="zh-CN" w:bidi="ar-SA"/>
        </w:rPr>
        <w:t>通过申请</w:t>
      </w:r>
      <w:r>
        <w:rPr>
          <w:rFonts w:hint="eastAsia" w:ascii="仿宋_GB2312" w:hAnsi="仿宋_GB2312" w:eastAsia="仿宋_GB2312" w:cs="仿宋_GB2312"/>
          <w:color w:val="000000"/>
          <w:kern w:val="0"/>
          <w:sz w:val="32"/>
          <w:szCs w:val="32"/>
          <w:lang w:val="en-US" w:eastAsia="zh-CN" w:bidi="ar-SA"/>
        </w:rPr>
        <w:t>14名</w:t>
      </w:r>
      <w:r>
        <w:rPr>
          <w:rFonts w:hint="default" w:ascii="仿宋_GB2312" w:hAnsi="仿宋_GB2312" w:eastAsia="仿宋_GB2312" w:cs="仿宋_GB2312"/>
          <w:color w:val="000000"/>
          <w:kern w:val="0"/>
          <w:sz w:val="32"/>
          <w:szCs w:val="32"/>
          <w:lang w:val="en-US" w:eastAsia="zh-CN" w:bidi="ar-SA"/>
        </w:rPr>
        <w:t>急需紧缺专业大学生到</w:t>
      </w:r>
      <w:r>
        <w:rPr>
          <w:rFonts w:hint="eastAsia" w:ascii="仿宋_GB2312" w:hAnsi="仿宋_GB2312" w:eastAsia="仿宋_GB2312" w:cs="仿宋_GB2312"/>
          <w:color w:val="000000"/>
          <w:kern w:val="0"/>
          <w:sz w:val="32"/>
          <w:szCs w:val="32"/>
          <w:lang w:val="en-US" w:eastAsia="zh-CN" w:bidi="ar-SA"/>
        </w:rPr>
        <w:t>本部门和州级科技小院等</w:t>
      </w:r>
      <w:r>
        <w:rPr>
          <w:rFonts w:hint="default" w:ascii="仿宋_GB2312" w:hAnsi="仿宋_GB2312" w:eastAsia="仿宋_GB2312" w:cs="仿宋_GB2312"/>
          <w:color w:val="000000"/>
          <w:kern w:val="0"/>
          <w:sz w:val="32"/>
          <w:szCs w:val="32"/>
          <w:lang w:val="en-US" w:eastAsia="zh-CN" w:bidi="ar-SA"/>
        </w:rPr>
        <w:t>单位顶岗实习，</w:t>
      </w:r>
      <w:r>
        <w:rPr>
          <w:rFonts w:hint="eastAsia" w:ascii="仿宋_GB2312" w:hAnsi="仿宋_GB2312" w:eastAsia="仿宋_GB2312" w:cs="仿宋_GB2312"/>
          <w:color w:val="000000"/>
          <w:kern w:val="0"/>
          <w:sz w:val="32"/>
          <w:szCs w:val="32"/>
          <w:lang w:val="en-US" w:eastAsia="zh-CN" w:bidi="ar-SA"/>
        </w:rPr>
        <w:t>充分发挥专业优势，聚焦部门及科技小院发展瓶颈，大力促进产学研用相融合，对</w:t>
      </w:r>
      <w:r>
        <w:rPr>
          <w:rFonts w:hint="default" w:ascii="仿宋_GB2312" w:hAnsi="仿宋_GB2312" w:eastAsia="仿宋_GB2312" w:cs="仿宋_GB2312"/>
          <w:color w:val="000000"/>
          <w:kern w:val="0"/>
          <w:sz w:val="32"/>
          <w:szCs w:val="32"/>
          <w:lang w:val="en-US" w:eastAsia="zh-CN" w:bidi="ar-SA"/>
        </w:rPr>
        <w:t>拓宽凉山高素质专业化干部人才队伍建设来源渠道，加快建设特色优势产业人才集聚地，强化全州巩固脱贫成果、乡村全面振兴和高质量发展人才支撑</w:t>
      </w:r>
      <w:r>
        <w:rPr>
          <w:rFonts w:hint="eastAsia" w:ascii="仿宋_GB2312" w:hAnsi="仿宋_GB2312" w:eastAsia="仿宋_GB2312" w:cs="仿宋_GB2312"/>
          <w:color w:val="000000"/>
          <w:kern w:val="0"/>
          <w:sz w:val="32"/>
          <w:szCs w:val="32"/>
          <w:lang w:val="en-US" w:eastAsia="zh-CN" w:bidi="ar-SA"/>
        </w:rPr>
        <w:t>具有重要意义</w:t>
      </w:r>
      <w:r>
        <w:rPr>
          <w:rFonts w:hint="default"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eastAsia="zh-CN" w:bidi="ar-SA"/>
        </w:rPr>
        <w:t>项目</w:t>
      </w:r>
      <w:r>
        <w:rPr>
          <w:rFonts w:hint="eastAsia" w:ascii="仿宋_GB2312" w:hAnsi="仿宋_GB2312" w:eastAsia="仿宋_GB2312" w:cs="仿宋_GB2312"/>
          <w:color w:val="000000"/>
          <w:kern w:val="0"/>
          <w:sz w:val="32"/>
          <w:szCs w:val="32"/>
          <w:lang w:val="zh-CN" w:eastAsia="zh-CN" w:bidi="ar-SA"/>
        </w:rPr>
        <w:t>预算执行率100%，执行情况良好。</w:t>
      </w:r>
      <w:r>
        <w:rPr>
          <w:rFonts w:hint="eastAsia" w:ascii="仿宋_GB2312" w:hAnsi="仿宋_GB2312" w:eastAsia="仿宋_GB2312" w:cs="仿宋_GB2312"/>
          <w:color w:val="000000"/>
          <w:kern w:val="0"/>
          <w:sz w:val="32"/>
          <w:szCs w:val="32"/>
          <w:lang w:val="en-US" w:eastAsia="zh-CN" w:bidi="ar-SA"/>
        </w:rPr>
        <w:t>由于实习期较短，在最大化发挥人才赋能地方发展方面具有较大差距，短期内很难取得明显效果。因此自评扣4分，得分96分。（11）“青少年科技活动”。该项目年初预算2.8万元，主要用于青少年科技创新教育活动工作的补助经费。</w:t>
      </w:r>
      <w:r>
        <w:rPr>
          <w:rFonts w:hint="eastAsia" w:ascii="仿宋_GB2312" w:hAnsi="仿宋_GB2312" w:eastAsia="仿宋_GB2312" w:cs="仿宋_GB2312"/>
          <w:color w:val="000000"/>
          <w:kern w:val="0"/>
          <w:sz w:val="32"/>
          <w:szCs w:val="32"/>
          <w:lang w:val="zh-CN" w:eastAsia="zh-CN" w:bidi="ar-SA"/>
        </w:rPr>
        <w:t>年度</w:t>
      </w:r>
      <w:r>
        <w:rPr>
          <w:rFonts w:hint="eastAsia" w:ascii="仿宋_GB2312" w:hAnsi="仿宋_GB2312" w:eastAsia="仿宋_GB2312" w:cs="仿宋_GB2312"/>
          <w:color w:val="000000"/>
          <w:kern w:val="0"/>
          <w:sz w:val="32"/>
          <w:szCs w:val="32"/>
          <w:lang w:val="en-US" w:eastAsia="zh-CN" w:bidi="ar-SA"/>
        </w:rPr>
        <w:t>组织了科学家进校园，通过专家讲座、科普报告的形式，弘扬科学精神和科学家精神，让学生开阔科学视野、了解前沿科技，感受科学魅力，深度学习科学知识，帮助培养科学兴趣，树立科技报国之志。</w:t>
      </w:r>
      <w:r>
        <w:rPr>
          <w:rFonts w:hint="eastAsia" w:ascii="仿宋_GB2312" w:hAnsi="仿宋_GB2312" w:eastAsia="仿宋_GB2312" w:cs="仿宋_GB2312"/>
          <w:color w:val="000000"/>
          <w:kern w:val="0"/>
          <w:sz w:val="32"/>
          <w:szCs w:val="32"/>
          <w:lang w:val="zh-CN" w:eastAsia="zh-CN" w:bidi="ar-SA"/>
        </w:rPr>
        <w:t>预算执行率100%，执行情况良好。但由于</w:t>
      </w:r>
      <w:r>
        <w:rPr>
          <w:rFonts w:hint="eastAsia" w:ascii="仿宋_GB2312" w:hAnsi="仿宋_GB2312" w:eastAsia="仿宋_GB2312" w:cs="仿宋_GB2312"/>
          <w:color w:val="000000"/>
          <w:kern w:val="0"/>
          <w:sz w:val="32"/>
          <w:szCs w:val="32"/>
          <w:lang w:val="en-US" w:eastAsia="zh-CN" w:bidi="ar-SA"/>
        </w:rPr>
        <w:t>受经费的限制，无法让更多的学校和学生受益</w:t>
      </w:r>
      <w:r>
        <w:rPr>
          <w:rFonts w:hint="eastAsia" w:ascii="仿宋_GB2312" w:hAnsi="Calibri" w:eastAsia="仿宋_GB2312" w:cs="仿宋"/>
          <w:b w:val="0"/>
          <w:bCs w:val="0"/>
          <w:color w:val="auto"/>
          <w:kern w:val="0"/>
          <w:sz w:val="32"/>
          <w:szCs w:val="32"/>
          <w:lang w:val="en-US" w:eastAsia="zh-CN" w:bidi="ar-SA"/>
        </w:rPr>
        <w:t>，故</w:t>
      </w:r>
      <w:r>
        <w:rPr>
          <w:rFonts w:hint="eastAsia" w:ascii="仿宋_GB2312" w:hAnsi="Calibri" w:eastAsia="仿宋_GB2312" w:cs="仿宋"/>
          <w:b w:val="0"/>
          <w:bCs w:val="0"/>
          <w:color w:val="auto"/>
          <w:kern w:val="0"/>
          <w:sz w:val="32"/>
          <w:szCs w:val="32"/>
          <w:lang w:val="zh-CN" w:eastAsia="zh-CN" w:bidi="ar-SA"/>
        </w:rPr>
        <w:t>自评扣</w:t>
      </w:r>
      <w:r>
        <w:rPr>
          <w:rFonts w:hint="eastAsia" w:ascii="仿宋_GB2312" w:hAnsi="仿宋_GB2312" w:eastAsia="仿宋_GB2312" w:cs="仿宋_GB2312"/>
          <w:color w:val="000000"/>
          <w:kern w:val="0"/>
          <w:sz w:val="32"/>
          <w:szCs w:val="32"/>
          <w:lang w:val="en-US" w:eastAsia="zh-CN" w:bidi="ar-SA"/>
        </w:rPr>
        <w:t>2分、</w:t>
      </w:r>
      <w:r>
        <w:rPr>
          <w:rFonts w:hint="eastAsia" w:ascii="仿宋_GB2312" w:hAnsi="仿宋_GB2312" w:eastAsia="仿宋_GB2312" w:cs="仿宋_GB2312"/>
          <w:color w:val="000000"/>
          <w:kern w:val="0"/>
          <w:sz w:val="32"/>
          <w:szCs w:val="32"/>
          <w:lang w:val="zh-CN" w:eastAsia="zh-CN" w:bidi="ar-SA"/>
        </w:rPr>
        <w:t>得分</w:t>
      </w:r>
      <w:r>
        <w:rPr>
          <w:rFonts w:hint="eastAsia" w:ascii="仿宋_GB2312" w:hAnsi="仿宋_GB2312" w:eastAsia="仿宋_GB2312" w:cs="仿宋_GB2312"/>
          <w:color w:val="000000"/>
          <w:kern w:val="0"/>
          <w:sz w:val="32"/>
          <w:szCs w:val="32"/>
          <w:lang w:val="en-US" w:eastAsia="zh-CN" w:bidi="ar-SA"/>
        </w:rPr>
        <w:t>98</w:t>
      </w:r>
      <w:r>
        <w:rPr>
          <w:rFonts w:hint="eastAsia" w:ascii="仿宋_GB2312" w:hAnsi="仿宋_GB2312" w:eastAsia="仿宋_GB2312" w:cs="仿宋_GB2312"/>
          <w:color w:val="000000"/>
          <w:kern w:val="0"/>
          <w:sz w:val="32"/>
          <w:szCs w:val="32"/>
          <w:lang w:val="zh-CN" w:eastAsia="zh-CN" w:bidi="ar-SA"/>
        </w:rPr>
        <w:t>分。</w:t>
      </w:r>
      <w:r>
        <w:rPr>
          <w:rFonts w:hint="eastAsia" w:ascii="仿宋_GB2312" w:hAnsi="仿宋_GB2312" w:eastAsia="仿宋_GB2312" w:cs="仿宋_GB2312"/>
          <w:color w:val="000000"/>
          <w:kern w:val="0"/>
          <w:sz w:val="32"/>
          <w:szCs w:val="32"/>
          <w:lang w:val="en-US" w:eastAsia="zh-CN" w:bidi="ar-SA"/>
        </w:rPr>
        <w:t>对于以上预算项目绩效自评报告，按照要求我部门选取了4个项目进行完整汇报。</w:t>
      </w:r>
      <w:bookmarkEnd w:id="74"/>
      <w:bookmarkStart w:id="75" w:name="OLE_LINK10"/>
      <w:r>
        <w:rPr>
          <w:rFonts w:hint="eastAsia" w:ascii="仿宋_GB2312" w:hAnsi="仿宋_GB2312" w:eastAsia="仿宋_GB2312" w:cs="仿宋_GB2312"/>
          <w:color w:val="000000"/>
          <w:kern w:val="0"/>
          <w:sz w:val="32"/>
          <w:szCs w:val="32"/>
          <w:lang w:val="zh-CN" w:eastAsia="zh-CN" w:bidi="ar-SA"/>
        </w:rPr>
        <w:t>（详见第四部分附件</w:t>
      </w:r>
      <w:r>
        <w:rPr>
          <w:rFonts w:hint="eastAsia" w:ascii="仿宋_GB2312" w:hAnsi="仿宋_GB2312" w:eastAsia="仿宋_GB2312" w:cs="仿宋_GB2312"/>
          <w:color w:val="000000"/>
          <w:kern w:val="0"/>
          <w:sz w:val="32"/>
          <w:szCs w:val="32"/>
          <w:lang w:val="en-US" w:eastAsia="zh-CN" w:bidi="ar-SA"/>
        </w:rPr>
        <w:t>2-1至2-4</w:t>
      </w:r>
      <w:r>
        <w:rPr>
          <w:rFonts w:hint="eastAsia" w:ascii="仿宋_GB2312" w:hAnsi="仿宋_GB2312" w:eastAsia="仿宋_GB2312" w:cs="仿宋_GB2312"/>
          <w:color w:val="000000"/>
          <w:kern w:val="0"/>
          <w:sz w:val="32"/>
          <w:szCs w:val="32"/>
          <w:lang w:val="zh-CN" w:eastAsia="zh-CN" w:bidi="ar-SA"/>
        </w:rPr>
        <w:t>）</w:t>
      </w:r>
      <w:bookmarkEnd w:id="75"/>
      <w:r>
        <w:rPr>
          <w:rFonts w:hint="eastAsia" w:ascii="仿宋_GB2312" w:hAnsi="仿宋_GB2312" w:eastAsia="仿宋_GB2312" w:cs="仿宋_GB2312"/>
          <w:color w:val="000000"/>
          <w:kern w:val="0"/>
          <w:sz w:val="32"/>
          <w:szCs w:val="32"/>
          <w:lang w:val="en-US" w:eastAsia="zh-CN" w:bidi="ar-SA"/>
        </w:rPr>
        <w:t>。</w:t>
      </w:r>
    </w:p>
    <w:p w14:paraId="660786CE">
      <w:pPr>
        <w:pStyle w:val="3"/>
        <w:jc w:val="center"/>
        <w:rPr>
          <w:b w:val="0"/>
          <w:bCs w:val="0"/>
          <w:color w:val="auto"/>
        </w:rPr>
      </w:pPr>
      <w:bookmarkStart w:id="76" w:name="_Toc28433"/>
      <w:r>
        <w:rPr>
          <w:rFonts w:hint="eastAsia"/>
          <w:b w:val="0"/>
          <w:bCs w:val="0"/>
          <w:color w:val="auto"/>
        </w:rPr>
        <w:t>第三部分 名词解释</w:t>
      </w:r>
      <w:bookmarkEnd w:id="76"/>
    </w:p>
    <w:p w14:paraId="69D2FDD3">
      <w:pPr>
        <w:pStyle w:val="29"/>
        <w:spacing w:line="560" w:lineRule="exact"/>
        <w:ind w:firstLine="640" w:firstLineChars="200"/>
        <w:rPr>
          <w:rFonts w:ascii="仿宋_GB2312" w:eastAsia="仿宋_GB2312"/>
          <w:b w:val="0"/>
          <w:bCs w:val="0"/>
          <w:color w:val="auto"/>
          <w:sz w:val="32"/>
          <w:szCs w:val="32"/>
        </w:rPr>
      </w:pPr>
      <w:r>
        <w:rPr>
          <w:rFonts w:ascii="仿宋_GB2312" w:eastAsia="仿宋_GB2312"/>
          <w:b w:val="0"/>
          <w:bCs w:val="0"/>
          <w:color w:val="auto"/>
          <w:sz w:val="32"/>
          <w:szCs w:val="32"/>
        </w:rPr>
        <w:t>1.</w:t>
      </w:r>
      <w:r>
        <w:rPr>
          <w:rFonts w:hint="eastAsia" w:ascii="仿宋_GB2312" w:eastAsia="仿宋_GB2312"/>
          <w:b w:val="0"/>
          <w:bCs w:val="0"/>
          <w:color w:val="auto"/>
          <w:sz w:val="32"/>
          <w:szCs w:val="32"/>
        </w:rPr>
        <w:t>财政拨款收入：指单位从同级财政部门取得的财政预算资金。</w:t>
      </w:r>
    </w:p>
    <w:p w14:paraId="40C1F73D">
      <w:pPr>
        <w:pStyle w:val="29"/>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2</w:t>
      </w:r>
      <w:r>
        <w:rPr>
          <w:rFonts w:ascii="仿宋_GB2312" w:eastAsia="仿宋_GB2312"/>
          <w:b w:val="0"/>
          <w:bCs w:val="0"/>
          <w:color w:val="auto"/>
          <w:sz w:val="32"/>
          <w:szCs w:val="32"/>
        </w:rPr>
        <w:t>.</w:t>
      </w:r>
      <w:r>
        <w:rPr>
          <w:rFonts w:hint="eastAsia" w:ascii="仿宋_GB2312" w:eastAsia="仿宋_GB2312"/>
          <w:b w:val="0"/>
          <w:bCs w:val="0"/>
          <w:color w:val="auto"/>
          <w:sz w:val="32"/>
          <w:szCs w:val="32"/>
        </w:rPr>
        <w:t>年初结转和结余：指以前年度尚未完成、结转到本年按有关规定继续使用的资金。</w:t>
      </w:r>
      <w:r>
        <w:rPr>
          <w:rFonts w:ascii="仿宋_GB2312" w:eastAsia="仿宋_GB2312"/>
          <w:b w:val="0"/>
          <w:bCs w:val="0"/>
          <w:color w:val="auto"/>
          <w:sz w:val="32"/>
          <w:szCs w:val="32"/>
        </w:rPr>
        <w:t xml:space="preserve"> </w:t>
      </w:r>
    </w:p>
    <w:p w14:paraId="13006710">
      <w:pPr>
        <w:pStyle w:val="16"/>
        <w:widowControl/>
        <w:spacing w:beforeAutospacing="0" w:afterAutospacing="0" w:line="435" w:lineRule="atLeast"/>
        <w:ind w:firstLine="640" w:firstLineChars="200"/>
        <w:rPr>
          <w:rFonts w:ascii="仿宋_GB2312" w:eastAsia="仿宋_GB2312"/>
          <w:sz w:val="32"/>
          <w:szCs w:val="32"/>
        </w:rPr>
      </w:pPr>
      <w:r>
        <w:rPr>
          <w:rFonts w:hint="eastAsia" w:ascii="仿宋_GB2312" w:eastAsia="仿宋_GB2312"/>
          <w:b w:val="0"/>
          <w:bCs w:val="0"/>
          <w:color w:val="auto"/>
          <w:sz w:val="32"/>
          <w:szCs w:val="32"/>
        </w:rPr>
        <w:t>3.科学技术支出（206类）科学技术普及（07款）机构运行（01项）：反映科普事业单位基本支出，</w:t>
      </w:r>
      <w:r>
        <w:rPr>
          <w:rFonts w:hint="eastAsia" w:ascii="仿宋_GB2312" w:hAnsi="仿宋_GB2312" w:eastAsia="仿宋_GB2312" w:cs="仿宋_GB2312"/>
          <w:b w:val="0"/>
          <w:bCs w:val="0"/>
          <w:color w:val="auto"/>
          <w:sz w:val="32"/>
          <w:szCs w:val="32"/>
        </w:rPr>
        <w:t>指反映本单位</w:t>
      </w:r>
      <w:r>
        <w:rPr>
          <w:rFonts w:hint="eastAsia" w:ascii="仿宋_GB2312" w:hAnsi="仿宋_GB2312" w:eastAsia="仿宋_GB2312" w:cs="仿宋_GB2312"/>
          <w:sz w:val="32"/>
          <w:szCs w:val="32"/>
        </w:rPr>
        <w:t>基本支出，包括为保障机构正常运转、完成日常工作任而发生的人员支出和公用支出。</w:t>
      </w:r>
      <w:r>
        <w:rPr>
          <w:rFonts w:hint="eastAsia" w:ascii="仿宋_GB2312" w:eastAsia="仿宋_GB2312"/>
          <w:sz w:val="32"/>
          <w:szCs w:val="32"/>
        </w:rPr>
        <w:t>包括本机构正常运行的人员支出和公用支出。</w:t>
      </w:r>
    </w:p>
    <w:p w14:paraId="468514E0">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科学技术支出（206类）科学技术普及（07款）科普活动（02项）：指开展科学普及与推广。如开展科普活动月、科技活动周、科技工作者活动日，宣传疾病防治、卫生健康、禁毒防艾、崇尚科学、反邪教等科学思想理念。</w:t>
      </w:r>
    </w:p>
    <w:p w14:paraId="044B5633">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5.科学技术支出（206类）科学技术普及（07款）青少年科技活动（03项）：指为增强青少年科技创新意识，培养创新兴趣和能力，针对青少年开展的各类科技活动。如青少年科技创新大赛、</w:t>
      </w:r>
      <w:r>
        <w:rPr>
          <w:rFonts w:hint="eastAsia" w:ascii="仿宋_GB2312" w:eastAsia="仿宋_GB2312"/>
          <w:color w:val="auto"/>
          <w:sz w:val="32"/>
          <w:szCs w:val="32"/>
          <w:lang w:eastAsia="zh-CN"/>
        </w:rPr>
        <w:t>青少年科学研学</w:t>
      </w:r>
      <w:r>
        <w:rPr>
          <w:rFonts w:hint="eastAsia" w:ascii="仿宋_GB2312" w:eastAsia="仿宋_GB2312"/>
          <w:color w:val="auto"/>
          <w:sz w:val="32"/>
          <w:szCs w:val="32"/>
        </w:rPr>
        <w:t>活动等。</w:t>
      </w:r>
    </w:p>
    <w:p w14:paraId="09C762F6">
      <w:pPr>
        <w:pStyle w:val="29"/>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6.科学技术支出（206类）科学技术普及（07款）学术交流活动（04项）：指为科普工作者搭建科普平台，进行学术探讨、交流，不断提升自身科学素质，提高科普能力。</w:t>
      </w:r>
      <w:r>
        <w:rPr>
          <w:rFonts w:hint="eastAsia" w:ascii="仿宋_GB2312" w:eastAsia="仿宋_GB2312"/>
          <w:color w:val="auto"/>
          <w:sz w:val="32"/>
          <w:szCs w:val="32"/>
          <w:lang w:eastAsia="zh-CN"/>
        </w:rPr>
        <w:t>如</w:t>
      </w:r>
      <w:r>
        <w:rPr>
          <w:rFonts w:hint="eastAsia" w:ascii="仿宋_GB2312" w:eastAsia="仿宋_GB2312"/>
          <w:color w:val="auto"/>
          <w:sz w:val="32"/>
          <w:szCs w:val="32"/>
          <w:lang w:val="en-US" w:eastAsia="zh-CN"/>
        </w:rPr>
        <w:t>组织发动学会（协会）和科技人员参与科学研究、决策论证、科技攻关；指导学会积极开展学会科普、学术交流、科技创新与服务、建家服务等。</w:t>
      </w:r>
    </w:p>
    <w:p w14:paraId="4C9265F3">
      <w:pPr>
        <w:pStyle w:val="29"/>
        <w:spacing w:line="560" w:lineRule="exact"/>
        <w:ind w:firstLine="640" w:firstLineChars="200"/>
        <w:rPr>
          <w:rFonts w:ascii="仿宋_GB2312" w:eastAsia="仿宋_GB2312"/>
          <w:color w:val="FF0000"/>
          <w:sz w:val="32"/>
          <w:szCs w:val="32"/>
        </w:rPr>
      </w:pPr>
      <w:r>
        <w:rPr>
          <w:rFonts w:hint="eastAsia" w:ascii="仿宋_GB2312" w:eastAsia="仿宋_GB2312"/>
          <w:color w:val="auto"/>
          <w:sz w:val="32"/>
          <w:szCs w:val="32"/>
        </w:rPr>
        <w:t>7.科学技术支出（206类）科学技术普及（07款）其他科学技术普及支出（99项）：指其他多方面的科学技术普及支出。如科技、基地示范创建、举办科普培训、科普公共服务、科普资源开发、院士专家工作站等科技科普活动。</w:t>
      </w:r>
    </w:p>
    <w:p w14:paraId="133D348E">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8.科学技术支出（206类）其他科学技术支出（99款）其他科学技术支出（99项）：指除上述之外的各种科学技术活动。如开展老科协工作、全民科学素质纲要调查工作</w:t>
      </w:r>
      <w:r>
        <w:rPr>
          <w:rFonts w:hint="eastAsia" w:ascii="仿宋_GB2312" w:eastAsia="仿宋_GB2312"/>
          <w:color w:val="auto"/>
          <w:sz w:val="32"/>
          <w:szCs w:val="32"/>
          <w:lang w:eastAsia="zh-CN"/>
        </w:rPr>
        <w:t>、人才发展工作</w:t>
      </w:r>
      <w:r>
        <w:rPr>
          <w:rFonts w:hint="eastAsia" w:ascii="仿宋_GB2312" w:eastAsia="仿宋_GB2312"/>
          <w:color w:val="auto"/>
          <w:sz w:val="32"/>
          <w:szCs w:val="32"/>
        </w:rPr>
        <w:t xml:space="preserve">等。   </w:t>
      </w:r>
    </w:p>
    <w:p w14:paraId="2F4AA433">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w:t>
      </w:r>
      <w:r>
        <w:rPr>
          <w:rFonts w:hint="eastAsia" w:ascii="仿宋_GB2312" w:eastAsia="仿宋_GB2312"/>
          <w:color w:val="auto"/>
          <w:sz w:val="32"/>
          <w:szCs w:val="32"/>
        </w:rPr>
        <w:t>社会保障和就业支出（208类）行政事业单位离退休（05款）行政单位离退休（01项）：指行政单位离休人员离休费和退休人员统筹外交通费补贴及生活补助等。</w:t>
      </w:r>
    </w:p>
    <w:p w14:paraId="181C6785">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10.社会保障和就业支出（208类）行政事业单位离退休（05款）事业单位离退休（02项）：指事业单位退休人员生活补助等。</w:t>
      </w:r>
    </w:p>
    <w:p w14:paraId="4938AF6B">
      <w:pPr>
        <w:ind w:firstLine="640" w:firstLineChars="200"/>
        <w:rPr>
          <w:rFonts w:ascii="仿宋_GB2312" w:eastAsia="仿宋_GB2312"/>
          <w:sz w:val="32"/>
          <w:szCs w:val="32"/>
        </w:rPr>
      </w:pPr>
      <w:r>
        <w:rPr>
          <w:rFonts w:hint="eastAsia" w:ascii="仿宋_GB2312" w:eastAsia="仿宋_GB2312"/>
          <w:sz w:val="32"/>
          <w:szCs w:val="32"/>
        </w:rPr>
        <w:t>11.社会保障和就业支出（208类）行政事业单位离退休（05款）机关事业单位基本养老保险缴费支出（05项）：指国家实施养老保险制度后，财政拨款单位为在职职工缴纳的基本养老保险部分。</w:t>
      </w:r>
    </w:p>
    <w:p w14:paraId="79324261">
      <w:pPr>
        <w:ind w:firstLine="640" w:firstLineChars="200"/>
        <w:rPr>
          <w:rFonts w:ascii="仿宋_GB2312" w:eastAsia="仿宋_GB2312"/>
          <w:color w:val="auto"/>
          <w:sz w:val="32"/>
          <w:szCs w:val="32"/>
        </w:rPr>
      </w:pPr>
      <w:r>
        <w:rPr>
          <w:rFonts w:hint="eastAsia" w:ascii="仿宋_GB2312" w:eastAsia="仿宋_GB2312"/>
          <w:color w:val="auto"/>
          <w:sz w:val="32"/>
          <w:szCs w:val="32"/>
        </w:rPr>
        <w:t>12.社会保障和就业支出（208类）行政事业单位离退休（05款）为机关事业单位职业年金缴费支出（06项）：为机关事业单位职工职业年金缴费支出。</w:t>
      </w:r>
    </w:p>
    <w:p w14:paraId="483FE389">
      <w:pPr>
        <w:ind w:firstLine="640" w:firstLineChars="200"/>
        <w:rPr>
          <w:rFonts w:ascii="仿宋_GB2312" w:eastAsia="仿宋_GB2312"/>
          <w:color w:val="auto"/>
          <w:sz w:val="32"/>
          <w:szCs w:val="32"/>
        </w:rPr>
      </w:pPr>
      <w:r>
        <w:rPr>
          <w:rFonts w:hint="eastAsia" w:ascii="仿宋_GB2312" w:eastAsia="仿宋_GB2312"/>
          <w:color w:val="auto"/>
          <w:sz w:val="32"/>
          <w:szCs w:val="32"/>
        </w:rPr>
        <w:t>13.卫生健康支出（210类）行政事业单位医疗（11款）行政单位医疗（01项）：指本单位财政拨款安排的行政（参公）单位人员基本医疗保险缴费。</w:t>
      </w:r>
    </w:p>
    <w:p w14:paraId="4D1B22F8">
      <w:pPr>
        <w:pStyle w:val="16"/>
        <w:widowControl/>
        <w:spacing w:beforeAutospacing="0" w:afterAutospacing="0" w:line="435"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14.卫生健康支出（210类）行政事业单位医疗（11款）事业单位医疗02（项）：指本单位财政拨款安排的事业单位人员基本医疗保险缴费。</w:t>
      </w:r>
    </w:p>
    <w:p w14:paraId="5D0F6E27">
      <w:pPr>
        <w:pStyle w:val="16"/>
        <w:widowControl/>
        <w:spacing w:beforeAutospacing="0" w:afterAutospacing="0" w:line="435" w:lineRule="atLeas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15.卫生健康支出（210类）行政事业单位医疗（11款）公务员医疗补充（03项）：</w:t>
      </w:r>
      <w:r>
        <w:rPr>
          <w:rFonts w:hint="eastAsia" w:ascii="仿宋_GB2312" w:hAnsi="仿宋_GB2312" w:eastAsia="仿宋_GB2312" w:cs="仿宋_GB2312"/>
          <w:color w:val="auto"/>
          <w:sz w:val="32"/>
          <w:szCs w:val="32"/>
        </w:rPr>
        <w:t>指反映本单位财政部门集中安排的公务员医疗补助经费。</w:t>
      </w:r>
    </w:p>
    <w:p w14:paraId="304084B1">
      <w:pPr>
        <w:pStyle w:val="16"/>
        <w:widowControl/>
        <w:spacing w:beforeAutospacing="0" w:afterAutospacing="0" w:line="435"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w:t>
      </w:r>
      <w:r>
        <w:rPr>
          <w:rFonts w:hint="eastAsia" w:ascii="仿宋_GB2312" w:eastAsia="仿宋_GB2312"/>
          <w:color w:val="auto"/>
          <w:sz w:val="32"/>
          <w:szCs w:val="32"/>
        </w:rPr>
        <w:t>卫生健康支出（210类）行政事业单位医疗（11款）其他行政事业单位医疗（99项）：</w:t>
      </w:r>
      <w:r>
        <w:rPr>
          <w:rFonts w:hint="eastAsia" w:ascii="仿宋_GB2312" w:hAnsi="仿宋_GB2312" w:eastAsia="仿宋_GB2312" w:cs="仿宋_GB2312"/>
          <w:color w:val="auto"/>
          <w:sz w:val="32"/>
          <w:szCs w:val="32"/>
        </w:rPr>
        <w:t>指反映本单位财政部门集中安排的行政事业单位除上述以外的其他用于医疗方面的保险缴费支出。如行政事业单位工伤保险、事业单位失业保险、行政事业退休人员医疗补助缴费等。</w:t>
      </w:r>
    </w:p>
    <w:p w14:paraId="368B1B40">
      <w:pPr>
        <w:pStyle w:val="16"/>
        <w:widowControl/>
        <w:spacing w:beforeAutospacing="0" w:afterAutospacing="0" w:line="435"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w:t>
      </w:r>
      <w:r>
        <w:rPr>
          <w:rFonts w:hint="eastAsia" w:ascii="仿宋_GB2312" w:eastAsia="仿宋_GB2312"/>
          <w:color w:val="auto"/>
          <w:sz w:val="32"/>
          <w:szCs w:val="32"/>
        </w:rPr>
        <w:t>住房保障自出（221类）住房改革支出（02款）住房公积金（01项）：</w:t>
      </w:r>
      <w:r>
        <w:rPr>
          <w:rFonts w:hint="eastAsia" w:ascii="仿宋_GB2312" w:hAnsi="仿宋_GB2312" w:eastAsia="仿宋_GB2312" w:cs="仿宋_GB2312"/>
          <w:color w:val="auto"/>
          <w:sz w:val="32"/>
          <w:szCs w:val="32"/>
        </w:rPr>
        <w:t>指反映行政事业单位按人力资源和社会保障部、财政部规定的基本工资和津补贴以及规定比例为职工缴纳的住房公积金支出。</w:t>
      </w:r>
    </w:p>
    <w:p w14:paraId="1866C8C9">
      <w:pPr>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p>
    <w:p w14:paraId="60995733">
      <w:pPr>
        <w:ind w:firstLine="640" w:firstLineChars="200"/>
        <w:rPr>
          <w:rFonts w:ascii="仿宋_GB2312" w:eastAsia="仿宋_GB2312"/>
          <w:color w:val="auto"/>
          <w:sz w:val="32"/>
          <w:szCs w:val="32"/>
        </w:rPr>
      </w:pPr>
      <w:r>
        <w:rPr>
          <w:rFonts w:hint="eastAsia" w:ascii="仿宋_GB2312" w:eastAsia="仿宋_GB2312"/>
          <w:color w:val="auto"/>
          <w:sz w:val="32"/>
          <w:szCs w:val="32"/>
        </w:rPr>
        <w:t>19</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14:paraId="310BA4B7">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公务用车购置及运行费和公务接待费。其中公务用车购置及运行费反映单位公务用车车辆购置支出（含车辆购置税）及燃料费、维修费、过路过桥费、保险费等支出；公务接待费反映单位按规定开支的开展国内业务活动公务接待支出。</w:t>
      </w:r>
    </w:p>
    <w:p w14:paraId="1F8A3AA3">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w:t>
      </w:r>
      <w:r>
        <w:rPr>
          <w:rFonts w:ascii="仿宋_GB2312" w:eastAsia="仿宋_GB2312"/>
          <w:color w:val="auto"/>
          <w:sz w:val="32"/>
          <w:szCs w:val="32"/>
        </w:rPr>
        <w:t>.</w:t>
      </w:r>
      <w:r>
        <w:rPr>
          <w:rFonts w:hint="eastAsia" w:ascii="仿宋_GB2312" w:eastAsia="仿宋_GB2312"/>
          <w:color w:val="auto"/>
          <w:sz w:val="32"/>
          <w:szCs w:val="32"/>
        </w:rPr>
        <w:t>机关运行经费：为保障参照公务员法管理的行政单位运行用于购买货物和服务的各项资金，包括办公及印刷费、邮电费、差旅费、会议费、福利费、工会经费、日常维修（护）费、办公用房水电费、劳务费、委托业务费、公务用车运行维护费、其他交通费以及其他商品支出。</w:t>
      </w:r>
    </w:p>
    <w:p w14:paraId="2407CF0F">
      <w:pPr>
        <w:spacing w:line="600" w:lineRule="exact"/>
        <w:jc w:val="center"/>
        <w:outlineLvl w:val="9"/>
        <w:rPr>
          <w:rFonts w:ascii="黑体" w:hAnsi="黑体" w:eastAsia="黑体"/>
          <w:color w:val="auto"/>
          <w:sz w:val="44"/>
          <w:szCs w:val="44"/>
        </w:rPr>
      </w:pPr>
    </w:p>
    <w:p w14:paraId="76010DCA">
      <w:pPr>
        <w:jc w:val="both"/>
        <w:rPr>
          <w:rFonts w:hint="eastAsia" w:ascii="黑体" w:hAnsi="黑体" w:eastAsia="黑体"/>
          <w:b w:val="0"/>
          <w:color w:val="auto"/>
          <w:sz w:val="52"/>
          <w:szCs w:val="52"/>
        </w:rPr>
      </w:pPr>
    </w:p>
    <w:p w14:paraId="2376B1F0">
      <w:pPr>
        <w:jc w:val="center"/>
        <w:outlineLvl w:val="0"/>
        <w:rPr>
          <w:rFonts w:hint="eastAsia" w:ascii="黑体" w:hAnsi="黑体" w:eastAsia="黑体"/>
          <w:b w:val="0"/>
          <w:sz w:val="44"/>
          <w:szCs w:val="44"/>
        </w:rPr>
      </w:pPr>
      <w:bookmarkStart w:id="77" w:name="_Toc5153"/>
    </w:p>
    <w:p w14:paraId="5CE07CEA">
      <w:pPr>
        <w:jc w:val="center"/>
        <w:outlineLvl w:val="0"/>
        <w:rPr>
          <w:rFonts w:hint="eastAsia" w:ascii="黑体" w:hAnsi="黑体" w:eastAsia="黑体"/>
          <w:b w:val="0"/>
          <w:sz w:val="44"/>
          <w:szCs w:val="44"/>
        </w:rPr>
      </w:pPr>
    </w:p>
    <w:p w14:paraId="5D79FBE8">
      <w:pPr>
        <w:jc w:val="center"/>
        <w:outlineLvl w:val="0"/>
        <w:rPr>
          <w:rFonts w:hint="eastAsia" w:ascii="黑体" w:hAnsi="黑体" w:eastAsia="黑体"/>
          <w:b w:val="0"/>
          <w:sz w:val="44"/>
          <w:szCs w:val="44"/>
        </w:rPr>
      </w:pPr>
    </w:p>
    <w:p w14:paraId="6186BE18">
      <w:pPr>
        <w:jc w:val="center"/>
        <w:outlineLvl w:val="0"/>
        <w:rPr>
          <w:rFonts w:hint="eastAsia" w:ascii="黑体" w:hAnsi="黑体" w:eastAsia="黑体"/>
          <w:b w:val="0"/>
          <w:sz w:val="44"/>
          <w:szCs w:val="44"/>
        </w:rPr>
      </w:pPr>
    </w:p>
    <w:p w14:paraId="5CB57115">
      <w:pPr>
        <w:jc w:val="center"/>
        <w:outlineLvl w:val="0"/>
        <w:rPr>
          <w:rFonts w:hint="eastAsia" w:ascii="黑体" w:hAnsi="黑体" w:eastAsia="黑体"/>
          <w:b w:val="0"/>
          <w:sz w:val="44"/>
          <w:szCs w:val="44"/>
        </w:rPr>
      </w:pPr>
    </w:p>
    <w:p w14:paraId="1178631E">
      <w:pPr>
        <w:jc w:val="center"/>
        <w:outlineLvl w:val="0"/>
        <w:rPr>
          <w:rFonts w:hint="eastAsia" w:ascii="黑体" w:hAnsi="黑体" w:eastAsia="黑体"/>
          <w:b w:val="0"/>
          <w:sz w:val="44"/>
          <w:szCs w:val="44"/>
        </w:rPr>
      </w:pPr>
    </w:p>
    <w:p w14:paraId="3954E6DB">
      <w:pPr>
        <w:jc w:val="center"/>
        <w:outlineLvl w:val="0"/>
        <w:rPr>
          <w:rFonts w:hint="eastAsia" w:ascii="黑体" w:hAnsi="黑体" w:eastAsia="黑体"/>
          <w:sz w:val="44"/>
          <w:szCs w:val="44"/>
        </w:rPr>
      </w:pPr>
      <w:r>
        <w:rPr>
          <w:rFonts w:hint="eastAsia" w:ascii="黑体" w:hAnsi="黑体" w:eastAsia="黑体"/>
          <w:b w:val="0"/>
          <w:sz w:val="44"/>
          <w:szCs w:val="44"/>
        </w:rPr>
        <w:t>第四部分 附件</w:t>
      </w:r>
      <w:bookmarkEnd w:id="77"/>
    </w:p>
    <w:p w14:paraId="77EE19D3">
      <w:pPr>
        <w:outlineLvl w:val="0"/>
        <w:rPr>
          <w:rFonts w:hint="eastAsia" w:ascii="黑体" w:hAnsi="黑体" w:eastAsia="黑体"/>
          <w:sz w:val="32"/>
          <w:szCs w:val="32"/>
          <w:lang w:val="en-US" w:eastAsia="zh-CN"/>
        </w:rPr>
      </w:pPr>
      <w:bookmarkStart w:id="78" w:name="_Toc18376"/>
      <w:r>
        <w:rPr>
          <w:rFonts w:hint="eastAsia" w:ascii="黑体" w:hAnsi="黑体" w:eastAsia="黑体"/>
          <w:sz w:val="32"/>
          <w:szCs w:val="32"/>
        </w:rPr>
        <w:t>附件1</w:t>
      </w:r>
      <w:r>
        <w:rPr>
          <w:rFonts w:hint="eastAsia" w:ascii="黑体" w:hAnsi="黑体" w:eastAsia="黑体"/>
          <w:sz w:val="32"/>
          <w:szCs w:val="32"/>
          <w:lang w:val="en-US" w:eastAsia="zh-CN"/>
        </w:rPr>
        <w:t>-1</w:t>
      </w:r>
      <w:bookmarkEnd w:id="78"/>
    </w:p>
    <w:p w14:paraId="05270844">
      <w:pPr>
        <w:snapToGrid w:val="0"/>
        <w:spacing w:line="560" w:lineRule="exact"/>
        <w:ind w:firstLine="2640" w:firstLineChars="600"/>
        <w:jc w:val="both"/>
        <w:rPr>
          <w:rFonts w:ascii="方正小标宋_GBK" w:hAnsi="宋体" w:eastAsia="方正小标宋_GBK" w:cs="宋体"/>
          <w:bCs/>
          <w:color w:val="000000"/>
          <w:kern w:val="0"/>
          <w:sz w:val="44"/>
          <w:szCs w:val="44"/>
          <w:shd w:val="clear" w:color="auto" w:fill="FFFFFF"/>
          <w:lang w:val="zh-CN"/>
        </w:rPr>
      </w:pPr>
      <w:r>
        <w:rPr>
          <w:rFonts w:hint="eastAsia" w:ascii="方正小标宋_GBK" w:hAnsi="宋体" w:eastAsia="方正小标宋_GBK" w:cs="宋体"/>
          <w:bCs/>
          <w:color w:val="000000"/>
          <w:kern w:val="0"/>
          <w:sz w:val="44"/>
          <w:szCs w:val="44"/>
          <w:shd w:val="clear" w:color="auto" w:fill="FFFFFF"/>
          <w:lang w:val="zh-CN"/>
        </w:rPr>
        <w:t>凉山州科学技术协会</w:t>
      </w:r>
    </w:p>
    <w:p w14:paraId="751FD922">
      <w:pPr>
        <w:snapToGrid w:val="0"/>
        <w:spacing w:line="560" w:lineRule="exact"/>
        <w:ind w:firstLine="880" w:firstLineChars="200"/>
        <w:jc w:val="center"/>
        <w:rPr>
          <w:rFonts w:ascii="方正小标宋_GBK" w:hAnsi="宋体" w:eastAsia="方正小标宋_GBK" w:cs="宋体"/>
          <w:b/>
          <w:bCs/>
          <w:color w:val="000000"/>
          <w:kern w:val="0"/>
          <w:sz w:val="44"/>
          <w:szCs w:val="44"/>
          <w:shd w:val="clear" w:color="auto" w:fill="FFFFFF"/>
          <w:lang w:val="zh-CN"/>
        </w:rPr>
      </w:pPr>
      <w:r>
        <w:rPr>
          <w:rFonts w:ascii="方正小标宋_GBK" w:hAnsi="宋体" w:eastAsia="方正小标宋_GBK" w:cs="宋体"/>
          <w:bCs/>
          <w:color w:val="000000"/>
          <w:kern w:val="0"/>
          <w:sz w:val="44"/>
          <w:szCs w:val="44"/>
          <w:shd w:val="clear" w:color="auto" w:fill="FFFFFF"/>
          <w:lang w:val="zh-CN"/>
        </w:rPr>
        <w:t>20</w:t>
      </w:r>
      <w:r>
        <w:rPr>
          <w:rFonts w:ascii="方正小标宋_GBK" w:hAnsi="宋体" w:eastAsia="方正小标宋_GBK" w:cs="宋体"/>
          <w:bCs/>
          <w:color w:val="000000"/>
          <w:kern w:val="0"/>
          <w:sz w:val="44"/>
          <w:szCs w:val="44"/>
          <w:shd w:val="clear" w:color="auto" w:fill="FFFFFF"/>
        </w:rPr>
        <w:t>2</w:t>
      </w:r>
      <w:r>
        <w:rPr>
          <w:rFonts w:hint="eastAsia" w:ascii="方正小标宋_GBK" w:hAnsi="宋体" w:eastAsia="方正小标宋_GBK" w:cs="宋体"/>
          <w:bCs/>
          <w:color w:val="000000"/>
          <w:kern w:val="0"/>
          <w:sz w:val="44"/>
          <w:szCs w:val="44"/>
          <w:shd w:val="clear" w:color="auto" w:fill="FFFFFF"/>
        </w:rPr>
        <w:t>4</w:t>
      </w:r>
      <w:r>
        <w:rPr>
          <w:rFonts w:hint="eastAsia" w:ascii="方正小标宋_GBK" w:hAnsi="宋体" w:eastAsia="方正小标宋_GBK" w:cs="宋体"/>
          <w:bCs/>
          <w:color w:val="000000"/>
          <w:kern w:val="0"/>
          <w:sz w:val="44"/>
          <w:szCs w:val="44"/>
          <w:shd w:val="clear" w:color="auto" w:fill="FFFFFF"/>
          <w:lang w:val="zh-CN"/>
        </w:rPr>
        <w:t>年整体支出绩效评价自评报告</w:t>
      </w:r>
    </w:p>
    <w:p w14:paraId="2945FF93">
      <w:pPr>
        <w:snapToGrid w:val="0"/>
        <w:spacing w:line="560" w:lineRule="exact"/>
        <w:rPr>
          <w:rFonts w:ascii="仿宋_GB2312" w:hAnsi="宋体" w:cs="宋体"/>
          <w:b/>
          <w:bCs/>
          <w:color w:val="FF0000"/>
          <w:kern w:val="0"/>
          <w:sz w:val="30"/>
          <w:szCs w:val="30"/>
          <w:shd w:val="clear" w:color="auto" w:fill="FFFFFF"/>
        </w:rPr>
      </w:pPr>
    </w:p>
    <w:p w14:paraId="6D8B2D06">
      <w:pPr>
        <w:widowControl/>
        <w:adjustRightInd w:val="0"/>
        <w:snapToGrid w:val="0"/>
        <w:spacing w:line="540" w:lineRule="exact"/>
        <w:contextualSpacing/>
        <w:jc w:val="left"/>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zh-CN" w:eastAsia="zh-CN" w:bidi="ar-SA"/>
        </w:rPr>
        <w:t>一、部门（单位）基本情况</w:t>
      </w:r>
    </w:p>
    <w:p w14:paraId="63FE8D0B">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（一）机构组成。凉山州科学技术协会属地（市）级全额拨款独立核算单位。其中参照公务员法管理的单位1个，下属二级事业单位青少年科技活动中心1个。</w:t>
      </w:r>
    </w:p>
    <w:p w14:paraId="51F3B64D">
      <w:pPr>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机构职能。凉山州科学技术协会的职能一是开展学术交流，活跃学术思想，促进学科发展，推动决策的科学化和民主化；二是弘扬科学精神，普及科学技术知识，推广先进技术，开展青少年科技教育活动，提高全民族科学文化素质；三是维护科技工作者的合法权益，为科技团体和科技工作者服务，表彰和奖励优秀科技工作者，举荐人才。组织科技工作者参与科技政策、法规制定和政治协商、科学决策、民主工作。四是开展技术培训、技术咨询服务，进行咨询服务行业管理。推动科技成果向现实生产力的转化，接受委托承担项目评估，成果鉴定，专业技术职务评审等任务。五是开展国际民间科技交流活动，发展同国外的科学技术团体和科技工作者的友好交往。六是开展培训工作。七是对直属州级学会、协会、研究会进行管理，对县、市科协和基层组织进行业务指导。八是承担州委、州政府和省科协交办的其他事项。</w:t>
      </w:r>
    </w:p>
    <w:p w14:paraId="044FF752">
      <w:pPr>
        <w:widowControl/>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p>
    <w:p w14:paraId="1A409EB0">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（三）人员概况。</w:t>
      </w:r>
      <w:r>
        <w:rPr>
          <w:rFonts w:hint="eastAsia" w:ascii="仿宋_GB2312" w:hAnsi="Calibri" w:eastAsia="仿宋_GB2312" w:cs="仿宋"/>
          <w:color w:val="auto"/>
          <w:kern w:val="0"/>
          <w:sz w:val="32"/>
          <w:szCs w:val="32"/>
          <w:lang w:val="en-US" w:eastAsia="zh-CN" w:bidi="ar-SA"/>
        </w:rPr>
        <w:t>截至2024年末，凉山州科学技术协会经编办核定2024年末行政编制10人，行政工勤1个、事业编制6人。上年末实有行政人员11人，本年度减少外调2人、在职退休1人，故年末实有行政人员8人；上年末实有事业人员5人，本年无增减变动，故年末实有事业人员仍为5人；离休人员1人；上年末退休职工17人，本年增加退休职工1人，病故减少2人，故年末退休职工为16人。总计30人。</w:t>
      </w:r>
    </w:p>
    <w:p w14:paraId="3DFB7622">
      <w:pPr>
        <w:widowControl/>
        <w:adjustRightInd w:val="0"/>
        <w:snapToGrid w:val="0"/>
        <w:spacing w:line="540" w:lineRule="exact"/>
        <w:ind w:firstLine="643" w:firstLineChars="200"/>
        <w:contextualSpacing/>
        <w:jc w:val="left"/>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二、部门资金收支情况</w:t>
      </w:r>
    </w:p>
    <w:p w14:paraId="4D6470AC">
      <w:pPr>
        <w:widowControl/>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（一）收入情况。</w:t>
      </w:r>
      <w:r>
        <w:rPr>
          <w:rFonts w:hint="eastAsia" w:ascii="仿宋_GB2312" w:hAnsi="Calibri" w:eastAsia="仿宋_GB2312" w:cs="仿宋"/>
          <w:color w:val="auto"/>
          <w:kern w:val="0"/>
          <w:sz w:val="32"/>
          <w:szCs w:val="32"/>
          <w:lang w:val="en-US" w:eastAsia="zh-CN" w:bidi="ar-SA"/>
        </w:rPr>
        <w:t>凉山州科学技术协会2024年年初预算收入753.70万元，其中基本支出拨入472.33万元，占当年拨入总额的63%；项目支出拨入281.37万元，占当年拨入总额的37%。年度决算报表收入934.86万元，其中基本支出拨入485.04万元，占当年拨入总额的52%；项目支出拨入449.82万元，占当年拨入总额的48%</w:t>
      </w:r>
      <w:bookmarkStart w:id="79" w:name="OLE_LINK5"/>
      <w:r>
        <w:rPr>
          <w:rFonts w:hint="eastAsia" w:ascii="仿宋_GB2312" w:hAnsi="Calibri" w:eastAsia="仿宋_GB2312" w:cs="仿宋"/>
          <w:color w:val="auto"/>
          <w:kern w:val="0"/>
          <w:sz w:val="32"/>
          <w:szCs w:val="32"/>
          <w:lang w:val="en-US" w:eastAsia="zh-CN" w:bidi="ar-SA"/>
        </w:rPr>
        <w:t>。</w:t>
      </w:r>
      <w:bookmarkEnd w:id="79"/>
      <w:r>
        <w:rPr>
          <w:rFonts w:hint="eastAsia" w:ascii="仿宋_GB2312" w:hAnsi="Calibri" w:eastAsia="仿宋_GB2312" w:cs="仿宋"/>
          <w:color w:val="auto"/>
          <w:kern w:val="0"/>
          <w:sz w:val="32"/>
          <w:szCs w:val="32"/>
          <w:lang w:val="en-US" w:eastAsia="zh-CN" w:bidi="ar-SA"/>
        </w:rPr>
        <w:t xml:space="preserve">    </w:t>
      </w:r>
    </w:p>
    <w:p w14:paraId="0B2245F9">
      <w:pPr>
        <w:widowControl/>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（二）支出情况。</w:t>
      </w:r>
      <w:r>
        <w:rPr>
          <w:rFonts w:hint="eastAsia" w:ascii="仿宋_GB2312" w:hAnsi="Calibri" w:eastAsia="仿宋_GB2312" w:cs="仿宋"/>
          <w:color w:val="auto"/>
          <w:kern w:val="0"/>
          <w:sz w:val="32"/>
          <w:szCs w:val="32"/>
          <w:lang w:val="en-US" w:eastAsia="zh-CN" w:bidi="ar-SA"/>
        </w:rPr>
        <w:t xml:space="preserve">             </w:t>
      </w:r>
    </w:p>
    <w:p w14:paraId="3E0A6539">
      <w:pPr>
        <w:widowControl/>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 xml:space="preserve">凉山州科学技术协会充分利用财政拨款934.86万元,完成了⑴基本支出中的工资福利支出、对个人和家庭补助支出等人员经费支出433.93万元，日常公用经费主要用于办公、水电、邮电、差旅、公务用车运行维护费等支出51.17万元，以上基本支出合计485.04万元，占当年支出总额的52%；基本支出与去年同期比较有所增加，主要系职工正常晋级工资、增加行政退休职工病故抚恤金、清算目标绩效奖及社保医疗公积金等缴费所致。⑵项目支出449.82万元，占当年支出总额的48%，主要系围绕省科协重点工作天府科技云服务项目，开展科学技术普及、传播、科普阵地建设、学术交流、青少年科技创新活动、科普资源开发、全民科学素质调查、开展种养殖培训等项目支出，项目支出与去年同期比较有所增加，增幅11%，主要系增加省级科普专项资金拨款。  </w:t>
      </w:r>
    </w:p>
    <w:p w14:paraId="7CB23777">
      <w:pPr>
        <w:widowControl/>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w:t>
      </w:r>
      <w:r>
        <w:rPr>
          <w:rFonts w:hint="eastAsia" w:ascii="仿宋_GB2312" w:hAnsi="Calibri" w:eastAsia="仿宋_GB2312" w:cs="仿宋"/>
          <w:color w:val="auto"/>
          <w:kern w:val="0"/>
          <w:sz w:val="32"/>
          <w:szCs w:val="32"/>
          <w:lang w:val="en-US" w:eastAsia="zh-CN" w:bidi="ar-SA"/>
        </w:rPr>
        <w:t>结余分配和结转结余情况。凉山州科学技术协会2024年决算报表结转结余情况。为0。</w:t>
      </w:r>
    </w:p>
    <w:p w14:paraId="48323F36">
      <w:pPr>
        <w:widowControl/>
        <w:adjustRightInd w:val="0"/>
        <w:snapToGrid w:val="0"/>
        <w:spacing w:line="540" w:lineRule="exact"/>
        <w:ind w:firstLine="643" w:firstLineChars="200"/>
        <w:contextualSpacing/>
        <w:jc w:val="left"/>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三、部门预算绩效分析</w:t>
      </w:r>
    </w:p>
    <w:p w14:paraId="5B13D1BC">
      <w:pPr>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（一）部门预算总体绩效分析。</w:t>
      </w:r>
    </w:p>
    <w:p w14:paraId="05AE61CA">
      <w:pPr>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履职效能。</w:t>
      </w:r>
      <w:r>
        <w:rPr>
          <w:rFonts w:hint="eastAsia" w:ascii="仿宋_GB2312" w:hAnsi="Calibri" w:eastAsia="仿宋_GB2312" w:cs="仿宋"/>
          <w:color w:val="auto"/>
          <w:kern w:val="0"/>
          <w:sz w:val="32"/>
          <w:szCs w:val="32"/>
          <w:lang w:val="en-US" w:eastAsia="zh-CN" w:bidi="ar-SA"/>
        </w:rPr>
        <w:t>凉山州科学技术协会承担着全州科普宣传、学术交流、弘扬科学精神、举荐人才及院士（专家）工作站建设、青少年科技教育实践、提高全民“三农”科学素质、并紧扣“以科技创新为主线、以项目建设为载体、以服务为导向”，全力推进科普建设、科技创新，推动科技成果向现实生产力转化，为全州各级政府决策和科技工作者服务，充分发挥科技资源优势，助力乡村振兴。2024年州科协以“天府科技云服务”项目为中心，科普宣传为重点开展项目工作任务。凉山州科学技术协会选取了6个</w:t>
      </w:r>
      <w:r>
        <w:rPr>
          <w:rFonts w:hint="eastAsia" w:ascii="仿宋_GB2312" w:hAnsi="Calibri" w:eastAsia="仿宋_GB2312" w:cs="仿宋"/>
          <w:color w:val="auto"/>
          <w:kern w:val="0"/>
          <w:sz w:val="32"/>
          <w:szCs w:val="32"/>
          <w:lang w:val="zh-CN" w:eastAsia="zh-CN" w:bidi="ar-SA"/>
        </w:rPr>
        <w:t>核心职能目标</w:t>
      </w:r>
      <w:r>
        <w:rPr>
          <w:rFonts w:hint="eastAsia" w:ascii="仿宋_GB2312" w:hAnsi="Calibri" w:eastAsia="仿宋_GB2312" w:cs="仿宋"/>
          <w:color w:val="auto"/>
          <w:kern w:val="0"/>
          <w:sz w:val="32"/>
          <w:szCs w:val="32"/>
          <w:lang w:val="en-US" w:eastAsia="zh-CN" w:bidi="ar-SA"/>
        </w:rPr>
        <w:t>,故自评得</w:t>
      </w:r>
      <w:r>
        <w:rPr>
          <w:rFonts w:hint="eastAsia" w:ascii="仿宋_GB2312" w:hAnsi="Calibri" w:eastAsia="仿宋_GB2312" w:cs="仿宋"/>
          <w:color w:val="000000" w:themeColor="text1"/>
          <w:kern w:val="0"/>
          <w:sz w:val="32"/>
          <w:szCs w:val="32"/>
          <w:lang w:val="en-US" w:eastAsia="zh-CN" w:bidi="ar-SA"/>
        </w:rPr>
        <w:t>分15分</w:t>
      </w:r>
      <w:r>
        <w:rPr>
          <w:rFonts w:hint="eastAsia" w:ascii="仿宋_GB2312" w:hAnsi="Calibri" w:eastAsia="仿宋_GB2312" w:cs="仿宋"/>
          <w:color w:val="auto"/>
          <w:kern w:val="0"/>
          <w:sz w:val="32"/>
          <w:szCs w:val="32"/>
          <w:lang w:val="en-US" w:eastAsia="zh-CN" w:bidi="ar-SA"/>
        </w:rPr>
        <w:t>。现</w:t>
      </w:r>
      <w:r>
        <w:rPr>
          <w:rFonts w:hint="eastAsia" w:ascii="仿宋_GB2312" w:hAnsi="Calibri" w:eastAsia="仿宋_GB2312" w:cs="仿宋"/>
          <w:color w:val="auto"/>
          <w:kern w:val="0"/>
          <w:sz w:val="32"/>
          <w:szCs w:val="32"/>
          <w:lang w:val="zh-CN" w:eastAsia="zh-CN" w:bidi="ar-SA"/>
        </w:rPr>
        <w:t>对职能目标完成效果情况进行绩效汇报</w:t>
      </w:r>
      <w:r>
        <w:rPr>
          <w:rFonts w:hint="eastAsia" w:ascii="仿宋_GB2312" w:hAnsi="Calibri" w:eastAsia="仿宋_GB2312" w:cs="仿宋"/>
          <w:color w:val="auto"/>
          <w:kern w:val="0"/>
          <w:sz w:val="32"/>
          <w:szCs w:val="32"/>
          <w:lang w:val="en-US" w:eastAsia="zh-CN" w:bidi="ar-SA"/>
        </w:rPr>
        <w:t>如下</w:t>
      </w:r>
      <w:r>
        <w:rPr>
          <w:rFonts w:hint="eastAsia" w:ascii="仿宋_GB2312" w:hAnsi="Calibri" w:eastAsia="仿宋_GB2312" w:cs="仿宋"/>
          <w:color w:val="auto"/>
          <w:kern w:val="0"/>
          <w:sz w:val="32"/>
          <w:szCs w:val="32"/>
          <w:lang w:val="zh-CN" w:eastAsia="zh-CN" w:bidi="ar-SA"/>
        </w:rPr>
        <w:t>：</w:t>
      </w:r>
    </w:p>
    <w:p w14:paraId="2F4701CC">
      <w:pPr>
        <w:adjustRightInd w:val="0"/>
        <w:snapToGrid w:val="0"/>
        <w:spacing w:line="578" w:lineRule="exact"/>
        <w:ind w:firstLine="480" w:firstLineChars="15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“省级科普专项”，财政拨款资金156.6万元，</w:t>
      </w:r>
      <w:r>
        <w:rPr>
          <w:rFonts w:hint="eastAsia" w:ascii="仿宋_GB2312" w:hAnsi="Calibri" w:eastAsia="仿宋_GB2312" w:cs="仿宋"/>
          <w:color w:val="auto"/>
          <w:kern w:val="0"/>
          <w:sz w:val="32"/>
          <w:szCs w:val="32"/>
          <w:lang w:val="zh-CN" w:eastAsia="zh-CN" w:bidi="ar-SA"/>
        </w:rPr>
        <w:t>共设立</w:t>
      </w:r>
      <w:r>
        <w:rPr>
          <w:rFonts w:hint="eastAsia" w:ascii="仿宋_GB2312" w:hAnsi="Calibri" w:eastAsia="仿宋_GB2312" w:cs="仿宋"/>
          <w:color w:val="auto"/>
          <w:kern w:val="0"/>
          <w:sz w:val="32"/>
          <w:szCs w:val="32"/>
          <w:lang w:val="en-US" w:eastAsia="zh-CN" w:bidi="ar-SA"/>
        </w:rPr>
        <w:t>9个子项目，年度完成了</w:t>
      </w:r>
      <w:bookmarkStart w:id="80" w:name="OLE_LINK8"/>
      <w:bookmarkStart w:id="81" w:name="OLE_LINK7"/>
      <w:r>
        <w:rPr>
          <w:rFonts w:hint="eastAsia" w:ascii="仿宋_GB2312" w:hAnsi="Calibri" w:eastAsia="仿宋_GB2312" w:cs="仿宋"/>
          <w:color w:val="auto"/>
          <w:kern w:val="0"/>
          <w:sz w:val="32"/>
          <w:szCs w:val="32"/>
          <w:lang w:val="en-US" w:eastAsia="zh-CN" w:bidi="ar-SA"/>
        </w:rPr>
        <w:t>⑴</w:t>
      </w:r>
      <w:bookmarkEnd w:id="80"/>
      <w:bookmarkEnd w:id="81"/>
      <w:r>
        <w:rPr>
          <w:rFonts w:hint="eastAsia" w:ascii="仿宋_GB2312" w:hAnsi="Calibri" w:eastAsia="仿宋_GB2312" w:cs="仿宋"/>
          <w:color w:val="auto"/>
          <w:kern w:val="0"/>
          <w:sz w:val="32"/>
          <w:szCs w:val="32"/>
          <w:lang w:val="en-US" w:eastAsia="zh-CN" w:bidi="ar-SA"/>
        </w:rPr>
        <w:t>天府科技云服务项目，云服办技术性用房维改，确保省上重点项目基础设施的正常运行，项目工作持续稳步开展，实现了整体工作位居全省前列，群众获取精准科技供需对接。⑵全国科普日活动，已于2024年9月第二个星期开展，当年已圆满完成该项工作。⑶公民科学素质提升项目将依托农村电影放映员、凉山歌舞团等科普志愿者团队，向大众特别是广大农村（社区），通过讲座、培训、电影、文艺等大众喜爱的方式，广泛传播科学知识和科学技能，宣传和推广使用“天府科技云”“科普中国”等科普平台。⑷科普示范创建项目，创建15个州级科普示范单位（含科普示范乡镇（街道）、科普示范社区（村）、科普示范协会、科普示范基地和科普示范带头人），该项目已在12月前实施完成。⑸特色科普创作项目，该项目年度已完成制作特色科普作品动画沙画共计20条，聘请专家对科普作品进行评审、科普作品翻译，并在全州范围内广泛播放。⑹中国流动科技馆四川巡展—凉山站，该项目依托中国科技馆第二轮四川巡展将在冕宁县、越西县开展科普展示、使5万余人次获得了科普体验、科普宣传、科普互动活动，传播科学知识，培养科学兴趣、树立科学思维，提升全民科学素质。⑺科普凉山项目，与凉山州融媒体中心合作开设《科普凉山》电视专题节目，译制、采编24期科普节目，并在融媒微信公众号、APP天府科技云等新媒体推广，提升全民科学素质，助推乡村振兴。⑻中国科学院老科学家科普演讲团智力帮扶凉山科学家进校园科普宣讲活动由</w:t>
      </w:r>
      <w:r>
        <w:rPr>
          <w:rFonts w:hint="eastAsia" w:ascii="仿宋_GB2312" w:hAnsi="Calibri" w:eastAsia="仿宋_GB2312" w:cs="仿宋"/>
          <w:color w:val="auto"/>
          <w:kern w:val="0"/>
          <w:sz w:val="32"/>
          <w:szCs w:val="32"/>
          <w:lang w:val="en" w:eastAsia="zh-CN" w:bidi="ar-SA"/>
        </w:rPr>
        <w:t>中科院老科学家科普演讲团原魁、白武明、孙保卫、徐文耀等</w:t>
      </w:r>
      <w:r>
        <w:rPr>
          <w:rFonts w:hint="eastAsia" w:ascii="仿宋_GB2312" w:hAnsi="Calibri" w:eastAsia="仿宋_GB2312" w:cs="仿宋"/>
          <w:color w:val="auto"/>
          <w:kern w:val="0"/>
          <w:sz w:val="32"/>
          <w:szCs w:val="32"/>
          <w:lang w:val="en-US" w:eastAsia="zh-CN" w:bidi="ar-SA"/>
        </w:rPr>
        <w:t>8</w:t>
      </w:r>
      <w:r>
        <w:rPr>
          <w:rFonts w:hint="eastAsia" w:ascii="仿宋_GB2312" w:hAnsi="Calibri" w:eastAsia="仿宋_GB2312" w:cs="仿宋"/>
          <w:color w:val="auto"/>
          <w:kern w:val="0"/>
          <w:sz w:val="32"/>
          <w:szCs w:val="32"/>
          <w:lang w:val="en" w:eastAsia="zh-CN" w:bidi="ar-SA"/>
        </w:rPr>
        <w:t>位专家组成。宣讲团</w:t>
      </w:r>
      <w:r>
        <w:rPr>
          <w:rFonts w:hint="eastAsia" w:ascii="仿宋_GB2312" w:hAnsi="Calibri" w:eastAsia="仿宋_GB2312" w:cs="仿宋"/>
          <w:color w:val="auto"/>
          <w:kern w:val="0"/>
          <w:sz w:val="32"/>
          <w:szCs w:val="32"/>
          <w:lang w:val="en-US" w:eastAsia="zh-CN" w:bidi="ar-SA"/>
        </w:rPr>
        <w:t>先后深入凉山州布拖县布拖中学、盐源县润盐镇小学、木里县红科中学、普格县附城小学等24所学校</w:t>
      </w:r>
      <w:r>
        <w:rPr>
          <w:rFonts w:hint="eastAsia" w:ascii="仿宋_GB2312" w:hAnsi="Calibri" w:eastAsia="仿宋_GB2312" w:cs="仿宋"/>
          <w:color w:val="auto"/>
          <w:kern w:val="0"/>
          <w:sz w:val="32"/>
          <w:szCs w:val="32"/>
          <w:lang w:val="en" w:eastAsia="zh-CN" w:bidi="ar-SA"/>
        </w:rPr>
        <w:t>开展科普报告</w:t>
      </w:r>
      <w:r>
        <w:rPr>
          <w:rFonts w:hint="eastAsia" w:ascii="仿宋_GB2312" w:hAnsi="Calibri" w:eastAsia="仿宋_GB2312" w:cs="仿宋"/>
          <w:color w:val="auto"/>
          <w:kern w:val="0"/>
          <w:sz w:val="32"/>
          <w:szCs w:val="32"/>
          <w:lang w:val="en-US" w:eastAsia="zh-CN" w:bidi="ar-SA"/>
        </w:rPr>
        <w:t>54</w:t>
      </w:r>
      <w:r>
        <w:rPr>
          <w:rFonts w:hint="eastAsia" w:ascii="仿宋_GB2312" w:hAnsi="Calibri" w:eastAsia="仿宋_GB2312" w:cs="仿宋"/>
          <w:color w:val="auto"/>
          <w:kern w:val="0"/>
          <w:sz w:val="32"/>
          <w:szCs w:val="32"/>
          <w:lang w:val="en" w:eastAsia="zh-CN" w:bidi="ar-SA"/>
        </w:rPr>
        <w:t>场次，1</w:t>
      </w: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en" w:eastAsia="zh-CN" w:bidi="ar-SA"/>
        </w:rPr>
        <w:t>万余名青少年聆听报告，活动于</w:t>
      </w:r>
      <w:r>
        <w:rPr>
          <w:rFonts w:hint="eastAsia" w:ascii="仿宋_GB2312" w:hAnsi="Calibri" w:eastAsia="仿宋_GB2312" w:cs="仿宋"/>
          <w:color w:val="auto"/>
          <w:kern w:val="0"/>
          <w:sz w:val="32"/>
          <w:szCs w:val="32"/>
          <w:lang w:val="en-US" w:eastAsia="zh-CN" w:bidi="ar-SA"/>
        </w:rPr>
        <w:t>4月22日-28日已圆满完成。⑼《凉山科学发展》期刊建设，委托有资质的第三方承接，全年已完成发行4期，发行2000册的任务。发行对象为</w:t>
      </w:r>
      <w:r>
        <w:rPr>
          <w:rFonts w:hint="eastAsia" w:ascii="仿宋_GB2312" w:hAnsi="Calibri" w:eastAsia="仿宋_GB2312" w:cs="仿宋"/>
          <w:color w:val="auto"/>
          <w:kern w:val="0"/>
          <w:sz w:val="32"/>
          <w:szCs w:val="32"/>
          <w:lang w:val="zh-CN" w:eastAsia="zh-CN" w:bidi="ar-SA"/>
        </w:rPr>
        <w:t>本州级学（协）会、州、县市、乡镇各级党政机关、学术研究机构、企事业单位、专业技术工作者，并与州外和上级科协系统交流分享。期刊</w:t>
      </w:r>
      <w:r>
        <w:rPr>
          <w:rFonts w:hint="eastAsia" w:ascii="仿宋_GB2312" w:hAnsi="Calibri" w:eastAsia="仿宋_GB2312" w:cs="仿宋"/>
          <w:color w:val="auto"/>
          <w:kern w:val="0"/>
          <w:sz w:val="32"/>
          <w:szCs w:val="32"/>
          <w:lang w:val="en-US" w:eastAsia="zh-CN" w:bidi="ar-SA"/>
        </w:rPr>
        <w:t>凭借丰富多元的栏目，搭建起一座连接学界与业界的桥梁。通过刊发前沿论文与研究成果，不仅为学术交流创造了优质平台，更在知识传播方面持续发力，助力科学理念广泛普及。</w:t>
      </w:r>
    </w:p>
    <w:p w14:paraId="15968B17">
      <w:pPr>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州级科普专项资金”，财政拨款128万元，共设立7个子项目，当年完成了⑴公共服务及基础设施运行保障项目，通过科普月活动，盐源、木里科技馆筹备及冕宁流动科技馆布展，前往德昌、喜德等调研天府科技云等工作；组织人员参加省委党校、省科协及州委相关部门业务培训，参与县市科协换届大会、代表大会；完成森林草原防灭火科普宣传、督导调研；完成创文相关工作；完成档案整理数字化建设等，提升了工作人员业务能力，提高公众科学素养，降低森林草原火灾风险，创文工作改善区域环境，数字化档案提高科技资料利用效率。⑵“天府科技云服务”日常运维补助经费。完成信息收集、技术维护、咨询解答等，实现了供需精准对接，整体工作考评在全省科协系统名列前茅。⑶学会能力提升计划。年初开展了对全州17县市科技工作者进行慰问，大力宣传科技工作者先进事迹，营造尊重人才、崇尚科学的氛围。向州农学会、药学会、营养学会、州应急安全科技协会、生态摄影协会、农村专业技术协会等10个协会学会实施了学会能力提升计划，打造重点学会协会，努力提升学术交流、科技创新与服务能力。⑷院士（专家）工作站及企事业科协组织建设。通过向州委组织部人才办推荐杰出科技工作者候选人选，最终评选出唐廷茂、杨世忠、王友富、严光文、邹敏 5人为“菁英成长计划”凉山杰出科技工作者，</w:t>
      </w:r>
      <w:r>
        <w:rPr>
          <w:rFonts w:hint="eastAsia" w:ascii="仿宋_GB2312" w:hAnsi="Calibri" w:eastAsia="仿宋_GB2312" w:cs="仿宋"/>
          <w:color w:val="auto"/>
          <w:kern w:val="0"/>
          <w:sz w:val="32"/>
          <w:szCs w:val="32"/>
          <w:lang w:val="zh-CN" w:eastAsia="zh-CN" w:bidi="ar-SA"/>
        </w:rPr>
        <w:t>激励科技工作者为我州科技发展做出更大贡献</w:t>
      </w:r>
      <w:r>
        <w:rPr>
          <w:rFonts w:hint="eastAsia" w:ascii="仿宋_GB2312" w:hAnsi="Calibri" w:eastAsia="仿宋_GB2312" w:cs="仿宋"/>
          <w:color w:val="auto"/>
          <w:kern w:val="0"/>
          <w:sz w:val="32"/>
          <w:szCs w:val="32"/>
          <w:lang w:val="en-US" w:eastAsia="zh-CN" w:bidi="ar-SA"/>
        </w:rPr>
        <w:t>。开展州级院士（专家）工作站评审，最终确定攀钢集团西昌钒制品科技有限公司、凉山新鑫中药饮片有限公司、西昌新希望三牧乳业有限公司为凉山州第八批院士（专家）工作站建站单位。通过在我州重点行业、重点区域开展院士（专家）工作站建设，引导和支持各县（市）围绕各地支柱产业和主导产业，建立一批各具特色的院士（专家）工作站，促进技术攻关和科技成果转移转化，助推凉山经济高质量发展。⑸青少年科技创新教育活动。通过开展青少年科技创新大赛、青少年科学影像节、高校科学营等系列活动，多渠道多形式向广大青少年展示科技成就、传播科学知识，培养科学兴趣，激发科学梦想，培养造就具有科学潜质的青少年，推动公民素质整体提高，实现可持续发展社会效益。⑹农技协科普宣传培训。通过实施</w:t>
      </w:r>
      <w:r>
        <w:rPr>
          <w:rFonts w:hint="eastAsia" w:ascii="仿宋_GB2312" w:hAnsi="Calibri" w:eastAsia="仿宋_GB2312" w:cs="仿宋"/>
          <w:color w:val="auto"/>
          <w:kern w:val="0"/>
          <w:sz w:val="32"/>
          <w:szCs w:val="32"/>
          <w:lang w:val="zh-CN" w:eastAsia="zh-CN" w:bidi="ar-SA"/>
        </w:rPr>
        <w:t>科普宣传品印制发放、食用菌栽培冷藏技术、松露根苗仿生保育促繁技术、专业人员乡村振兴交流观摩、农技协高质量发展培训等活动，</w:t>
      </w:r>
      <w:r>
        <w:rPr>
          <w:rFonts w:hint="eastAsia" w:ascii="仿宋_GB2312" w:hAnsi="Calibri" w:eastAsia="仿宋_GB2312" w:cs="仿宋"/>
          <w:color w:val="auto"/>
          <w:kern w:val="0"/>
          <w:sz w:val="32"/>
          <w:szCs w:val="32"/>
          <w:lang w:val="en-US" w:eastAsia="zh-CN" w:bidi="ar-SA"/>
        </w:rPr>
        <w:t>实现普及农技科技知识，推广先进技术，提高农户收入，提升乡村整体素质，实现助力全州乡村振兴。⑺乡村振兴科普宣传培训，通过驻村工作组对村民生产生活水平、促进乡村经济发展和文明进步调研指导、举办养殖技术培训、移风易俗科普活动等培训和宣传活动，提升村民科学素养，促进乡村产业发展和文明建设。</w:t>
      </w:r>
    </w:p>
    <w:p w14:paraId="620529AD">
      <w:pPr>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科创中国·天府科技云服务大会”项目，财政拨款50万元。年度完成了组织全州科协系统干部、科服保姆、企事业代表、科技工作者、项目负责人共计60余人参会。凉山共征集遴选91个项目参会，其中3个项目从全省4670个项目中脱颖而出，入选省级重大项目推介会。冕宁县“降低氟碳铈矿湿法冶炼产生废水中盐含量的工艺研究”入选开幕式十个重大科技难题待攻关项目，西昌市“牛粪+酒糟有机肥的研发与生产”、甘洛县“特色彝绣技艺传承与规划”2个项目入选“食品轻纺与能源化工”重大科创项目专场推介会。西昌市“特色杂粮作物现代农业产业示范基地建设与规划”项目入选科创沙龙。凉山州科协荣获“成效突出组织单位”，凉山13个项目获评“特别推荐优质科创项目”、12个项目获评“重点推荐优质科创项目”、4人获评百优“科服保姆”荣誉。凉山设计搭建了具有文化特色的专属展区，展示了一系列以现代农业、特色文化为代表的科创产品和科普资源，展现了凉山筹备“科创会”以来的贡献和成绩，吸引了众多企业和科技工作者前来咨询和洽谈。</w:t>
      </w:r>
    </w:p>
    <w:p w14:paraId="60A2C7E3">
      <w:pPr>
        <w:spacing w:line="578" w:lineRule="exact"/>
        <w:ind w:firstLine="640" w:firstLineChars="200"/>
        <w:rPr>
          <w:rFonts w:hint="eastAsia" w:ascii="仿宋_GB2312" w:hAnsi="Calibri" w:eastAsia="仿宋_GB2312" w:cs="仿宋"/>
          <w:color w:val="auto"/>
          <w:kern w:val="0"/>
          <w:sz w:val="32"/>
          <w:szCs w:val="32"/>
          <w:lang w:val="en-US" w:eastAsia="en-US" w:bidi="ar-SA"/>
        </w:rPr>
      </w:pPr>
      <w:r>
        <w:rPr>
          <w:rFonts w:hint="eastAsia" w:ascii="仿宋_GB2312" w:hAnsi="Calibri" w:eastAsia="仿宋_GB2312" w:cs="仿宋"/>
          <w:color w:val="auto"/>
          <w:kern w:val="0"/>
          <w:sz w:val="32"/>
          <w:szCs w:val="32"/>
          <w:lang w:val="en-US" w:eastAsia="zh-CN" w:bidi="ar-SA"/>
        </w:rPr>
        <w:t xml:space="preserve"> “天府科技云服务项目”，财政拨款25万元，年度完成了组建凉山天府科技云服务中心运营团队，包括安排2人入驻及3人线上远程支撑。维持凉山州云服务中心日常开设与运营，每日通过线上+线下的方式为17县(市)协助支撑。8月27日-30日，在凉山州云服务中心共分4批次为凉山17县（市）保姆开展天府科技云高质量发展相关工作培训。针对宁南、雷波等有新保姆入职或平台操作不熟悉、操作过程中容易出现问题的县（市）进行针对性的平台介绍、操作讲解。对17个县共计3098项科技交易订单进行了严格审核，保障交易的规范性与合法性。为提升服务质量与水平，积极与省云服务中心交易服务部和攀枝花市、绵阳市兄弟单位交流，学习典型案例经验，并将案例标准整理成详细文档，同步给各县云服务中心学习，促进整体业务能力提升。协助</w:t>
      </w:r>
      <w:r>
        <w:rPr>
          <w:rFonts w:hint="eastAsia" w:ascii="仿宋_GB2312" w:hAnsi="Calibri" w:eastAsia="仿宋_GB2312" w:cs="仿宋"/>
          <w:color w:val="auto"/>
          <w:kern w:val="0"/>
          <w:sz w:val="32"/>
          <w:szCs w:val="32"/>
          <w:lang w:val="en-US" w:eastAsia="en-US" w:bidi="ar-SA"/>
        </w:rPr>
        <w:t>州本级各学协会完成11家</w:t>
      </w:r>
      <w:r>
        <w:rPr>
          <w:rFonts w:hint="eastAsia" w:ascii="仿宋_GB2312" w:hAnsi="Calibri" w:eastAsia="仿宋_GB2312" w:cs="仿宋"/>
          <w:color w:val="auto"/>
          <w:kern w:val="0"/>
          <w:sz w:val="32"/>
          <w:szCs w:val="32"/>
          <w:lang w:val="en-US" w:eastAsia="zh-CN" w:bidi="ar-SA"/>
        </w:rPr>
        <w:t>示范工作室</w:t>
      </w:r>
      <w:r>
        <w:rPr>
          <w:rFonts w:hint="eastAsia" w:ascii="仿宋_GB2312" w:hAnsi="Calibri" w:eastAsia="仿宋_GB2312" w:cs="仿宋"/>
          <w:color w:val="auto"/>
          <w:kern w:val="0"/>
          <w:sz w:val="32"/>
          <w:szCs w:val="32"/>
          <w:lang w:val="en-US" w:eastAsia="en-US" w:bidi="ar-SA"/>
        </w:rPr>
        <w:t>打造。</w:t>
      </w:r>
    </w:p>
    <w:p w14:paraId="2E80EF89">
      <w:pPr>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最美科技工作者活动”项目，财政拨款25万元，于2024年5月30日，在西昌月城广场开展了以“弘扬科学家精神，勇当高水平科技自立自强排头兵”为主题的第八个“全国科技工作者日”活动。吸引了众多科技工作者、市民群众积极参与。科技工作者代表进行文艺表演，活动现场还开展科普进社区等活动。拍摄的最美科技工作者纪录片《追光》在庆祝活动和融媒体中心进行播放。活动的开展，为大力弘扬新时代科学家精神，激发全州科技工作者的荣誉感、自豪感、责任感，引导鼓励全州科技工作者勇做高水平科技自立自强排头兵，发挥科技创新助推凉山高质量发展。</w:t>
      </w:r>
    </w:p>
    <w:p w14:paraId="5D55E212">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“科普宣传活动业务经费”，财政拨款12万元。凉山州科学技术协会下属青少年科技活动中心于2024年7月20-24日，组织开展了以“感受科技之光  树立强国之志”为主题的2024年凉山州青少年科学研学活动。西昌二小、会东南山实验学校、会理现代职业学校、西昌二中等学校的26名优秀科创少年在成都参加了丰富多彩的科技文化交流活动。这批学生均为第38届州赛、省赛获得优异奖项的学生。活动中，同学们走进成都理工大博物馆，学习了解古生物化石、恐龙化石、矿产资源、岩石晶体等，感受生命奇迹和自然奥秘；走进成飞航空主题教育基地，探寻世界航空的发展历程，从早期飞行器到第五代战斗机，感受科技发展的不竭动力；走进四川科技馆，从机械力学到声光电、从磁悬浮到机器人，体验科技的无穷魅力；走进成都电子科技大学，聆听导师讲座、拼装小赛车、与学霸对话、畅游大学校园，感受大学氛围、树立大学理想；走进成都动物园，了解生物多样性，亲近动物，体味人与自然和谐相处；走进武侯祠、杜甫草堂，聆听历史故事、领略三国文化、感受诗人忧国忧民情怀。为期5天的科学探索之旅，同学们受益匪浅，不仅拓宽了科技视野，更激发了对科学探究的无限热情与憧憬，树立了科技报国的远大志向。</w:t>
      </w:r>
    </w:p>
    <w:p w14:paraId="5EADE8B8">
      <w:pPr>
        <w:numPr>
          <w:ilvl w:val="0"/>
          <w:numId w:val="0"/>
        </w:numPr>
        <w:adjustRightInd w:val="0"/>
        <w:snapToGrid w:val="0"/>
        <w:spacing w:line="540" w:lineRule="exact"/>
        <w:ind w:firstLine="640" w:firstLineChars="200"/>
        <w:contextualSpacing/>
        <w:jc w:val="left"/>
        <w:rPr>
          <w:rFonts w:hint="eastAsia" w:ascii="仿宋_GB2312" w:hAnsi="Calibri" w:eastAsia="仿宋_GB2312" w:cs="仿宋"/>
          <w:b w:val="0"/>
          <w:bCs w:val="0"/>
          <w:color w:val="auto"/>
          <w:kern w:val="0"/>
          <w:sz w:val="32"/>
          <w:szCs w:val="32"/>
          <w:lang w:val="zh-CN" w:eastAsia="zh-CN" w:bidi="ar-SA"/>
        </w:rPr>
      </w:pPr>
      <w:r>
        <w:rPr>
          <w:rFonts w:hint="eastAsia" w:ascii="仿宋_GB2312" w:hAnsi="Calibri" w:eastAsia="仿宋_GB2312" w:cs="仿宋"/>
          <w:b w:val="0"/>
          <w:bCs w:val="0"/>
          <w:color w:val="auto"/>
          <w:kern w:val="0"/>
          <w:sz w:val="32"/>
          <w:szCs w:val="32"/>
          <w:lang w:val="en-US" w:eastAsia="zh-CN" w:bidi="ar-SA"/>
        </w:rPr>
        <w:t>2.</w:t>
      </w:r>
      <w:r>
        <w:rPr>
          <w:rFonts w:hint="eastAsia" w:ascii="仿宋_GB2312" w:hAnsi="Calibri" w:eastAsia="仿宋_GB2312" w:cs="仿宋"/>
          <w:b w:val="0"/>
          <w:bCs w:val="0"/>
          <w:color w:val="auto"/>
          <w:kern w:val="0"/>
          <w:sz w:val="32"/>
          <w:szCs w:val="32"/>
          <w:lang w:val="zh-CN" w:eastAsia="zh-CN" w:bidi="ar-SA"/>
        </w:rPr>
        <w:t>预算管理。</w:t>
      </w:r>
    </w:p>
    <w:p w14:paraId="5F13578C">
      <w:pPr>
        <w:spacing w:line="600"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 xml:space="preserve">我部门严格按照《中华人民共和国预算法》编制预算，严格执行政府会计制度。党组在年初进行了各项工作任务安排，制定了部门绩效目标。2024年初财政拨款总收支753.7万元全面完整编入当年年初预算，其中基本支出经费472.33万元、项目支出经费281.37万元。对以上项目绩效目标进行量化，以确保预算编制的科学、准确、合理、完整。编报了部门预算一上、二上，部门预算公开报表。年初在预算一体化中全覆盖的编制了项目支出绩效目标、部门整体支出绩效目标，全年资金应编尽编，预算编制较准确，并于财政规定的时间内在州政府网站和州科协网站进行公开公示，接受政府和社会的监督审查。年度执行预算财政拨款支出934.86万元,其中⑴基本支出485.04万元，占当年支出总额的52%；基本支出与去年同期比较有所增加，主要系职工正常晋级工资、增加行政退休职工抚恤金、清算目标绩效奖及社保医疗公积金等缴费所致。⑵项目支出449.82万元，占当年支出总额的48%，主要系围绕省科协重点工作天府科技云服务项目，开展科学技术普及、传播、科普阵地建设、学术交流、青少年科技创新活动、科普资源开发、全民科学素质调查、开展种养殖培训等项目支出，项目支出与去年同期比较有所增加，增幅11%，主要系增加省级科普专项资金拨款。  </w:t>
      </w:r>
    </w:p>
    <w:p w14:paraId="305575F8">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部门按照配置定额，逐人核定编制执行，并及时发放职工工资、按时缴交五险一金，严格执行中央和省八项规定，厉行节约，严管严控一般性支出。全年“三公”经费中招待费支出仅0.19万元，公务用车运行维护费支出7.16万元，结余2.54万元上缴财政，无出国出境事项支出。会议费7.45万元，培训费1.34万元，差旅费17.47万元，办节办展费0万元、办公设备购置费0万元、信息网络及软件购置更新费0万元、课题经费0万元。整体支出前期较缓慢，截至2024年11月，我单位预算支出执行进度77.38%，在州级机关单位中排名第98位。故</w:t>
      </w:r>
      <w:r>
        <w:rPr>
          <w:rFonts w:hint="eastAsia" w:ascii="仿宋_GB2312" w:hAnsi="Calibri" w:eastAsia="仿宋_GB2312" w:cs="仿宋"/>
          <w:color w:val="auto"/>
          <w:kern w:val="0"/>
          <w:sz w:val="32"/>
          <w:szCs w:val="32"/>
          <w:lang w:val="zh-CN" w:eastAsia="zh-CN" w:bidi="ar-SA"/>
        </w:rPr>
        <w:t>自评扣分</w:t>
      </w:r>
      <w:r>
        <w:rPr>
          <w:rFonts w:hint="eastAsia" w:ascii="仿宋_GB2312" w:hAnsi="Calibri" w:eastAsia="仿宋_GB2312" w:cs="仿宋"/>
          <w:color w:val="auto"/>
          <w:kern w:val="0"/>
          <w:sz w:val="32"/>
          <w:szCs w:val="32"/>
          <w:lang w:val="en-US" w:eastAsia="zh-CN" w:bidi="ar-SA"/>
        </w:rPr>
        <w:t>1分、</w:t>
      </w:r>
      <w:r>
        <w:rPr>
          <w:rFonts w:hint="eastAsia" w:ascii="仿宋_GB2312" w:hAnsi="Calibri" w:eastAsia="仿宋_GB2312" w:cs="仿宋"/>
          <w:color w:val="auto"/>
          <w:kern w:val="0"/>
          <w:sz w:val="32"/>
          <w:szCs w:val="32"/>
          <w:lang w:val="zh-CN" w:eastAsia="zh-CN" w:bidi="ar-SA"/>
        </w:rPr>
        <w:t>得分</w:t>
      </w:r>
      <w:r>
        <w:rPr>
          <w:rFonts w:hint="eastAsia" w:ascii="仿宋_GB2312" w:hAnsi="Calibri" w:eastAsia="仿宋_GB2312" w:cs="仿宋"/>
          <w:color w:val="auto"/>
          <w:kern w:val="0"/>
          <w:sz w:val="32"/>
          <w:szCs w:val="32"/>
          <w:lang w:val="en-US" w:eastAsia="zh-CN" w:bidi="ar-SA"/>
        </w:rPr>
        <w:t>24分。</w:t>
      </w:r>
    </w:p>
    <w:p w14:paraId="6C774BC8">
      <w:pPr>
        <w:numPr>
          <w:ilvl w:val="0"/>
          <w:numId w:val="0"/>
        </w:numPr>
        <w:adjustRightInd w:val="0"/>
        <w:snapToGrid w:val="0"/>
        <w:spacing w:line="540" w:lineRule="exact"/>
        <w:ind w:firstLine="640" w:firstLineChars="200"/>
        <w:contextualSpacing/>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财务管理。</w:t>
      </w:r>
    </w:p>
    <w:p w14:paraId="0045DDA1">
      <w:pPr>
        <w:spacing w:line="600" w:lineRule="exact"/>
        <w:ind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部门根据《中华人民共和国预算法》、《中华人民共和国会计法》、《中华人民共和国政府采购法》、《政府会计制度》以及《行政单位财务规则》等法律法规，建立健全本单位财务管理制度。此制度覆盖了预算编制、执行、监督全过程，明确了审批权限、支付过程和风险防控措施，确保了财务管理制度合法合规、账务执行结果公开透明。在财务岗位设置上遵循不相容职务分离原则，科学配置会计、出纳人员，形成相互制约、相互监督工作机制。财务人员需持证上岗，定期接受专业培训，强化责任意识和风险防控能力。在资金使用方面，严格执行国库集中支付制度，强化预算刚性约束。大额资金支付须按“三重一大”程序报批，专项资金必须专款专用，并实施绩效跟踪管理。确保每一笔资金支出合规、高效、切实提升财政资金使用效益。故自评得分10分。</w:t>
      </w:r>
    </w:p>
    <w:p w14:paraId="49AC8F0F">
      <w:pPr>
        <w:numPr>
          <w:ilvl w:val="0"/>
          <w:numId w:val="0"/>
        </w:numPr>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4.</w:t>
      </w:r>
      <w:r>
        <w:rPr>
          <w:rFonts w:hint="eastAsia" w:ascii="仿宋_GB2312" w:hAnsi="Calibri" w:eastAsia="仿宋_GB2312" w:cs="仿宋"/>
          <w:color w:val="auto"/>
          <w:kern w:val="0"/>
          <w:sz w:val="32"/>
          <w:szCs w:val="32"/>
          <w:lang w:val="zh-CN" w:eastAsia="zh-CN" w:bidi="ar-SA"/>
        </w:rPr>
        <w:t>资产管理。</w:t>
      </w:r>
    </w:p>
    <w:p w14:paraId="4170A530">
      <w:pPr>
        <w:spacing w:line="600" w:lineRule="exact"/>
        <w:ind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资产管理是规范财政资金使用、提升公共服务效能的重要保障。我单位坚持“科学配置、使用高效、处置规范、监督有力”的管理原则。在资产配置环节，严格执行财政部门制定的配置标准，杜绝超标配置和重复购置；在使用环节，落实资产保管责任制，定期开展资产清查盘点，确保账实相符；在处置环节，规范资产报废、调拨审批程序。但</w:t>
      </w:r>
      <w:r>
        <w:rPr>
          <w:rFonts w:hint="eastAsia" w:ascii="仿宋_GB2312" w:hAnsi="Calibri" w:eastAsia="仿宋_GB2312" w:cs="仿宋"/>
          <w:color w:val="auto"/>
          <w:kern w:val="0"/>
          <w:sz w:val="32"/>
          <w:szCs w:val="32"/>
          <w:lang w:val="en-US" w:eastAsia="zh-CN" w:bidi="ar-SA"/>
        </w:rPr>
        <w:t>资产管理上存在少量较陈旧资产，</w:t>
      </w:r>
      <w:r>
        <w:rPr>
          <w:rFonts w:hint="eastAsia" w:ascii="仿宋_GB2312" w:hAnsi="Calibri" w:eastAsia="仿宋_GB2312" w:cs="仿宋"/>
          <w:color w:val="auto"/>
          <w:kern w:val="0"/>
          <w:sz w:val="32"/>
          <w:szCs w:val="32"/>
          <w:lang w:val="zh-CN" w:eastAsia="zh-CN" w:bidi="ar-SA"/>
        </w:rPr>
        <w:t>人均资产变化率无变化的情况。故自评扣</w:t>
      </w:r>
      <w:r>
        <w:rPr>
          <w:rFonts w:hint="eastAsia" w:ascii="仿宋_GB2312" w:hAnsi="Calibri" w:eastAsia="仿宋_GB2312" w:cs="仿宋"/>
          <w:color w:val="auto"/>
          <w:kern w:val="0"/>
          <w:sz w:val="32"/>
          <w:szCs w:val="32"/>
          <w:lang w:val="en-US" w:eastAsia="zh-CN" w:bidi="ar-SA"/>
        </w:rPr>
        <w:t>1分，得分8分。</w:t>
      </w:r>
    </w:p>
    <w:p w14:paraId="28497F6D">
      <w:pPr>
        <w:numPr>
          <w:ilvl w:val="0"/>
          <w:numId w:val="3"/>
        </w:numPr>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采购管理。</w:t>
      </w:r>
    </w:p>
    <w:p w14:paraId="5F4CFCE2">
      <w:pPr>
        <w:numPr>
          <w:ilvl w:val="0"/>
          <w:numId w:val="0"/>
        </w:numPr>
        <w:adjustRightInd w:val="0"/>
        <w:snapToGrid w:val="0"/>
        <w:spacing w:line="540" w:lineRule="exact"/>
        <w:ind w:firstLine="640" w:firstLineChars="200"/>
        <w:contextualSpacing/>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2024年度我部门政府采购两笔，为公务车保险的采购</w:t>
      </w:r>
      <w:r>
        <w:rPr>
          <w:rFonts w:hint="eastAsia" w:ascii="仿宋_GB2312" w:hAnsi="Calibri" w:eastAsia="仿宋_GB2312" w:cs="仿宋"/>
          <w:color w:val="auto"/>
          <w:kern w:val="0"/>
          <w:sz w:val="32"/>
          <w:szCs w:val="32"/>
          <w:lang w:val="en-US" w:eastAsia="zh-CN" w:bidi="ar-SA"/>
        </w:rPr>
        <w:t>0.54万元、公务用车油料购置4万元</w:t>
      </w:r>
      <w:r>
        <w:rPr>
          <w:rFonts w:hint="eastAsia" w:ascii="仿宋_GB2312" w:hAnsi="Calibri" w:eastAsia="仿宋_GB2312" w:cs="仿宋"/>
          <w:color w:val="auto"/>
          <w:kern w:val="0"/>
          <w:sz w:val="32"/>
          <w:szCs w:val="32"/>
          <w:lang w:val="zh-CN" w:eastAsia="zh-CN" w:bidi="ar-SA"/>
        </w:rPr>
        <w:t>。均在政府采购定点供应商购买。年末，</w:t>
      </w:r>
      <w:r>
        <w:rPr>
          <w:rFonts w:hint="eastAsia" w:ascii="仿宋_GB2312" w:hAnsi="Calibri" w:eastAsia="仿宋_GB2312" w:cs="仿宋"/>
          <w:color w:val="auto"/>
          <w:kern w:val="0"/>
          <w:sz w:val="32"/>
          <w:szCs w:val="32"/>
          <w:lang w:val="en-US" w:eastAsia="zh-CN" w:bidi="ar-SA"/>
        </w:rPr>
        <w:t>将公务用车运行维护费政府采购结余2.54万元上缴财政，政府采购执行率未达100%。故自评扣分1分、得分5分。</w:t>
      </w:r>
    </w:p>
    <w:p w14:paraId="6ACAF040">
      <w:pPr>
        <w:widowControl/>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（二）部门预算项目绩效分析。</w:t>
      </w:r>
    </w:p>
    <w:p w14:paraId="5D8D6757">
      <w:pPr>
        <w:adjustRightInd w:val="0"/>
        <w:snapToGrid w:val="0"/>
        <w:spacing w:line="540" w:lineRule="exact"/>
        <w:ind w:firstLine="640" w:firstLineChars="200"/>
        <w:contextualSpacing/>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凉山州科学技术协会</w:t>
      </w:r>
      <w:r>
        <w:rPr>
          <w:rFonts w:hint="eastAsia" w:ascii="仿宋_GB2312" w:hAnsi="Calibri" w:eastAsia="仿宋_GB2312" w:cs="仿宋"/>
          <w:color w:val="auto"/>
          <w:kern w:val="0"/>
          <w:sz w:val="32"/>
          <w:szCs w:val="32"/>
          <w:lang w:val="en-US" w:eastAsia="zh-CN" w:bidi="ar-SA"/>
        </w:rPr>
        <w:t>2024年</w:t>
      </w:r>
      <w:r>
        <w:rPr>
          <w:rFonts w:hint="eastAsia" w:ascii="仿宋_GB2312" w:hAnsi="Calibri" w:eastAsia="仿宋_GB2312" w:cs="仿宋"/>
          <w:color w:val="auto"/>
          <w:kern w:val="0"/>
          <w:sz w:val="32"/>
          <w:szCs w:val="32"/>
          <w:lang w:val="zh-CN" w:eastAsia="zh-CN" w:bidi="ar-SA"/>
        </w:rPr>
        <w:t>预算项目共计</w:t>
      </w:r>
      <w:r>
        <w:rPr>
          <w:rFonts w:hint="eastAsia" w:ascii="仿宋_GB2312" w:hAnsi="Calibri" w:eastAsia="仿宋_GB2312" w:cs="仿宋"/>
          <w:color w:val="auto"/>
          <w:kern w:val="0"/>
          <w:sz w:val="32"/>
          <w:szCs w:val="32"/>
          <w:lang w:val="en-US" w:eastAsia="zh-CN" w:bidi="ar-SA"/>
        </w:rPr>
        <w:t>11个，其中</w:t>
      </w:r>
      <w:r>
        <w:rPr>
          <w:rFonts w:hint="eastAsia" w:ascii="仿宋_GB2312" w:hAnsi="Calibri" w:eastAsia="仿宋_GB2312" w:cs="仿宋"/>
          <w:color w:val="auto"/>
          <w:kern w:val="0"/>
          <w:sz w:val="32"/>
          <w:szCs w:val="32"/>
          <w:lang w:val="zh-CN" w:eastAsia="zh-CN" w:bidi="ar-SA"/>
        </w:rPr>
        <w:t>常年项目总数</w:t>
      </w:r>
      <w:r>
        <w:rPr>
          <w:rFonts w:hint="eastAsia" w:ascii="仿宋_GB2312" w:hAnsi="Calibri" w:eastAsia="仿宋_GB2312" w:cs="仿宋"/>
          <w:color w:val="auto"/>
          <w:kern w:val="0"/>
          <w:sz w:val="32"/>
          <w:szCs w:val="32"/>
          <w:lang w:val="en-US" w:eastAsia="zh-CN" w:bidi="ar-SA"/>
        </w:rPr>
        <w:t>10</w:t>
      </w:r>
      <w:r>
        <w:rPr>
          <w:rFonts w:hint="eastAsia" w:ascii="仿宋_GB2312" w:hAnsi="Calibri" w:eastAsia="仿宋_GB2312" w:cs="仿宋"/>
          <w:color w:val="auto"/>
          <w:kern w:val="0"/>
          <w:sz w:val="32"/>
          <w:szCs w:val="32"/>
          <w:lang w:val="zh-CN" w:eastAsia="zh-CN" w:bidi="ar-SA"/>
        </w:rPr>
        <w:t xml:space="preserve">个，涉及预算总金额 </w:t>
      </w:r>
      <w:r>
        <w:rPr>
          <w:rFonts w:hint="eastAsia" w:ascii="仿宋_GB2312" w:hAnsi="Calibri" w:eastAsia="仿宋_GB2312" w:cs="仿宋"/>
          <w:color w:val="auto"/>
          <w:kern w:val="0"/>
          <w:sz w:val="32"/>
          <w:szCs w:val="32"/>
          <w:lang w:val="en-US" w:eastAsia="zh-CN" w:bidi="ar-SA"/>
        </w:rPr>
        <w:t>437.97</w:t>
      </w:r>
      <w:r>
        <w:rPr>
          <w:rFonts w:hint="eastAsia" w:ascii="仿宋_GB2312" w:hAnsi="Calibri" w:eastAsia="仿宋_GB2312" w:cs="仿宋"/>
          <w:color w:val="auto"/>
          <w:kern w:val="0"/>
          <w:sz w:val="32"/>
          <w:szCs w:val="32"/>
          <w:lang w:val="zh-CN" w:eastAsia="zh-CN" w:bidi="ar-SA"/>
        </w:rPr>
        <w:t>万元，1—12月预算执行总体进度为</w:t>
      </w:r>
      <w:r>
        <w:rPr>
          <w:rFonts w:hint="eastAsia" w:ascii="仿宋_GB2312" w:hAnsi="Calibri" w:eastAsia="仿宋_GB2312" w:cs="仿宋"/>
          <w:color w:val="auto"/>
          <w:kern w:val="0"/>
          <w:sz w:val="32"/>
          <w:szCs w:val="32"/>
          <w:lang w:val="en-US" w:eastAsia="zh-CN" w:bidi="ar-SA"/>
        </w:rPr>
        <w:t>100</w:t>
      </w:r>
      <w:r>
        <w:rPr>
          <w:rFonts w:hint="eastAsia" w:ascii="仿宋_GB2312" w:hAnsi="Calibri" w:eastAsia="仿宋_GB2312" w:cs="仿宋"/>
          <w:color w:val="auto"/>
          <w:kern w:val="0"/>
          <w:sz w:val="32"/>
          <w:szCs w:val="32"/>
          <w:lang w:val="zh-CN" w:eastAsia="zh-CN" w:bidi="ar-SA"/>
        </w:rPr>
        <w:t>%，其中：预算结余率大于</w:t>
      </w:r>
      <w:r>
        <w:rPr>
          <w:rFonts w:hint="eastAsia" w:ascii="仿宋_GB2312" w:hAnsi="Calibri" w:eastAsia="仿宋_GB2312" w:cs="仿宋"/>
          <w:color w:val="auto"/>
          <w:kern w:val="0"/>
          <w:sz w:val="32"/>
          <w:szCs w:val="32"/>
          <w:lang w:val="en-US" w:eastAsia="zh-CN" w:bidi="ar-SA"/>
        </w:rPr>
        <w:t>10%</w:t>
      </w:r>
      <w:r>
        <w:rPr>
          <w:rFonts w:hint="eastAsia" w:ascii="仿宋_GB2312" w:hAnsi="Calibri" w:eastAsia="仿宋_GB2312" w:cs="仿宋"/>
          <w:color w:val="auto"/>
          <w:kern w:val="0"/>
          <w:sz w:val="32"/>
          <w:szCs w:val="32"/>
          <w:lang w:val="zh-CN" w:eastAsia="zh-CN" w:bidi="ar-SA"/>
        </w:rPr>
        <w:t>的项目共计</w:t>
      </w:r>
      <w:r>
        <w:rPr>
          <w:rFonts w:hint="eastAsia" w:ascii="仿宋_GB2312" w:hAnsi="Calibri" w:eastAsia="仿宋_GB2312" w:cs="仿宋"/>
          <w:color w:val="auto"/>
          <w:kern w:val="0"/>
          <w:sz w:val="32"/>
          <w:szCs w:val="32"/>
          <w:lang w:val="en-US" w:eastAsia="zh-CN" w:bidi="ar-SA"/>
        </w:rPr>
        <w:t>0</w:t>
      </w:r>
      <w:r>
        <w:rPr>
          <w:rFonts w:hint="eastAsia" w:ascii="仿宋_GB2312" w:hAnsi="Calibri" w:eastAsia="仿宋_GB2312" w:cs="仿宋"/>
          <w:color w:val="auto"/>
          <w:kern w:val="0"/>
          <w:sz w:val="32"/>
          <w:szCs w:val="32"/>
          <w:lang w:val="zh-CN" w:eastAsia="zh-CN" w:bidi="ar-SA"/>
        </w:rPr>
        <w:t>个；</w:t>
      </w:r>
      <w:r>
        <w:rPr>
          <w:rFonts w:hint="eastAsia" w:ascii="仿宋_GB2312" w:hAnsi="Calibri" w:eastAsia="仿宋_GB2312" w:cs="仿宋"/>
          <w:color w:val="auto"/>
          <w:kern w:val="0"/>
          <w:sz w:val="32"/>
          <w:szCs w:val="32"/>
          <w:lang w:val="en-US" w:eastAsia="zh-CN" w:bidi="ar-SA"/>
        </w:rPr>
        <w:t>阶段（含一次性）项目</w:t>
      </w:r>
      <w:r>
        <w:rPr>
          <w:rFonts w:hint="eastAsia" w:ascii="仿宋_GB2312" w:hAnsi="Calibri" w:eastAsia="仿宋_GB2312" w:cs="仿宋"/>
          <w:color w:val="auto"/>
          <w:kern w:val="0"/>
          <w:sz w:val="32"/>
          <w:szCs w:val="32"/>
          <w:lang w:val="zh-CN" w:eastAsia="zh-CN" w:bidi="ar-SA"/>
        </w:rPr>
        <w:t>总数</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个，涉及预算总金额</w:t>
      </w:r>
      <w:r>
        <w:rPr>
          <w:rFonts w:hint="eastAsia" w:ascii="仿宋_GB2312" w:hAnsi="Calibri" w:eastAsia="仿宋_GB2312" w:cs="仿宋"/>
          <w:color w:val="auto"/>
          <w:kern w:val="0"/>
          <w:sz w:val="32"/>
          <w:szCs w:val="32"/>
          <w:lang w:val="en-US" w:eastAsia="zh-CN" w:bidi="ar-SA"/>
        </w:rPr>
        <w:t>11.85</w:t>
      </w:r>
      <w:r>
        <w:rPr>
          <w:rFonts w:hint="eastAsia" w:ascii="仿宋_GB2312" w:hAnsi="Calibri" w:eastAsia="仿宋_GB2312" w:cs="仿宋"/>
          <w:color w:val="auto"/>
          <w:kern w:val="0"/>
          <w:sz w:val="32"/>
          <w:szCs w:val="32"/>
          <w:lang w:val="zh-CN" w:eastAsia="zh-CN" w:bidi="ar-SA"/>
        </w:rPr>
        <w:t>万元，1—1</w:t>
      </w: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月预算执行总体进度为</w:t>
      </w:r>
      <w:r>
        <w:rPr>
          <w:rFonts w:hint="eastAsia" w:ascii="仿宋_GB2312" w:hAnsi="Calibri" w:eastAsia="仿宋_GB2312" w:cs="仿宋"/>
          <w:color w:val="auto"/>
          <w:kern w:val="0"/>
          <w:sz w:val="32"/>
          <w:szCs w:val="32"/>
          <w:lang w:val="en-US" w:eastAsia="zh-CN" w:bidi="ar-SA"/>
        </w:rPr>
        <w:t>100</w:t>
      </w:r>
      <w:r>
        <w:rPr>
          <w:rFonts w:hint="eastAsia" w:ascii="仿宋_GB2312" w:hAnsi="Calibri" w:eastAsia="仿宋_GB2312" w:cs="仿宋"/>
          <w:color w:val="auto"/>
          <w:kern w:val="0"/>
          <w:sz w:val="32"/>
          <w:szCs w:val="32"/>
          <w:lang w:val="zh-CN" w:eastAsia="zh-CN" w:bidi="ar-SA"/>
        </w:rPr>
        <w:t>%，其中：预算结余率大于</w:t>
      </w:r>
      <w:r>
        <w:rPr>
          <w:rFonts w:hint="eastAsia" w:ascii="仿宋_GB2312" w:hAnsi="Calibri" w:eastAsia="仿宋_GB2312" w:cs="仿宋"/>
          <w:color w:val="auto"/>
          <w:kern w:val="0"/>
          <w:sz w:val="32"/>
          <w:szCs w:val="32"/>
          <w:lang w:val="en-US" w:eastAsia="zh-CN" w:bidi="ar-SA"/>
        </w:rPr>
        <w:t>10%</w:t>
      </w:r>
      <w:r>
        <w:rPr>
          <w:rFonts w:hint="eastAsia" w:ascii="仿宋_GB2312" w:hAnsi="Calibri" w:eastAsia="仿宋_GB2312" w:cs="仿宋"/>
          <w:color w:val="auto"/>
          <w:kern w:val="0"/>
          <w:sz w:val="32"/>
          <w:szCs w:val="32"/>
          <w:lang w:val="zh-CN" w:eastAsia="zh-CN" w:bidi="ar-SA"/>
        </w:rPr>
        <w:t>的项目共计</w:t>
      </w:r>
      <w:r>
        <w:rPr>
          <w:rFonts w:hint="eastAsia" w:ascii="仿宋_GB2312" w:hAnsi="Calibri" w:eastAsia="仿宋_GB2312" w:cs="仿宋"/>
          <w:color w:val="auto"/>
          <w:kern w:val="0"/>
          <w:sz w:val="32"/>
          <w:szCs w:val="32"/>
          <w:lang w:val="en-US" w:eastAsia="zh-CN" w:bidi="ar-SA"/>
        </w:rPr>
        <w:t>0</w:t>
      </w:r>
      <w:r>
        <w:rPr>
          <w:rFonts w:hint="eastAsia" w:ascii="仿宋_GB2312" w:hAnsi="Calibri" w:eastAsia="仿宋_GB2312" w:cs="仿宋"/>
          <w:color w:val="auto"/>
          <w:kern w:val="0"/>
          <w:sz w:val="32"/>
          <w:szCs w:val="32"/>
          <w:lang w:val="zh-CN" w:eastAsia="zh-CN" w:bidi="ar-SA"/>
        </w:rPr>
        <w:t>个。我部门对以上项目按照项目决策、项目执行、目标实现等</w:t>
      </w:r>
      <w:r>
        <w:rPr>
          <w:rFonts w:hint="eastAsia" w:ascii="仿宋_GB2312" w:hAnsi="Calibri" w:eastAsia="仿宋_GB2312" w:cs="仿宋"/>
          <w:color w:val="auto"/>
          <w:kern w:val="0"/>
          <w:sz w:val="32"/>
          <w:szCs w:val="32"/>
          <w:lang w:val="en-US" w:eastAsia="zh-CN" w:bidi="ar-SA"/>
        </w:rPr>
        <w:t>开展以下自评。</w:t>
      </w:r>
    </w:p>
    <w:p w14:paraId="69B49557">
      <w:pPr>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项目决策。</w:t>
      </w:r>
    </w:p>
    <w:p w14:paraId="044589CF">
      <w:pPr>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在专项资金的分配上，州科协在接到州财政局年度预算通知后，即刻组织各办公室、各项目组进行分配安排。州科协党组按照省科协的重点项目计划和州委、州政府重点工作安排，结合各项目组申报年度工作计划，逐级逐项进行分配，将分配结果报备纪检组。并要求项目资金使用科室按照要求提供明确项目立项依据和目的、项目主要内容、项目绩效目标及预期成果、项目实施条件、项目执行进度及阶段目标等，严格划分资金</w:t>
      </w:r>
      <w:r>
        <w:rPr>
          <w:rFonts w:hint="eastAsia" w:ascii="仿宋_GB2312" w:hAnsi="Calibri" w:eastAsia="仿宋_GB2312" w:cs="仿宋"/>
          <w:color w:val="auto"/>
          <w:kern w:val="0"/>
          <w:sz w:val="32"/>
          <w:szCs w:val="32"/>
          <w:lang w:val="en-US" w:eastAsia="zh-CN" w:bidi="ar-SA"/>
        </w:rPr>
        <w:t>使用科室的责、权、利，最大限度提高项目资金的使用效率。</w:t>
      </w:r>
      <w:r>
        <w:rPr>
          <w:rFonts w:hint="eastAsia" w:ascii="仿宋_GB2312" w:hAnsi="Calibri" w:eastAsia="仿宋_GB2312" w:cs="仿宋"/>
          <w:color w:val="auto"/>
          <w:kern w:val="0"/>
          <w:sz w:val="32"/>
          <w:szCs w:val="32"/>
          <w:lang w:val="zh-CN" w:eastAsia="zh-CN" w:bidi="ar-SA"/>
        </w:rPr>
        <w:t>分配依据科学充分、审批程序完整严谨，项目决策透明。</w:t>
      </w:r>
      <w:r>
        <w:rPr>
          <w:rFonts w:hint="eastAsia" w:ascii="仿宋_GB2312" w:hAnsi="Calibri" w:eastAsia="仿宋_GB2312" w:cs="仿宋"/>
          <w:color w:val="auto"/>
          <w:kern w:val="0"/>
          <w:sz w:val="32"/>
          <w:szCs w:val="32"/>
          <w:lang w:val="en-US" w:eastAsia="zh-CN" w:bidi="ar-SA"/>
        </w:rPr>
        <w:t>部门预算项目绩效目标与计划期内的任务量一致、预算安排的资金量匹配，绩效目标设置科学合理、规范完整、能量化细化、与预算匹配。</w:t>
      </w:r>
      <w:r>
        <w:rPr>
          <w:rFonts w:hint="eastAsia" w:ascii="仿宋_GB2312" w:hAnsi="Calibri" w:eastAsia="仿宋_GB2312" w:cs="仿宋"/>
          <w:color w:val="auto"/>
          <w:kern w:val="0"/>
          <w:sz w:val="32"/>
          <w:szCs w:val="32"/>
          <w:lang w:val="zh-CN" w:eastAsia="zh-CN" w:bidi="ar-SA"/>
        </w:rPr>
        <w:t>故自评得分</w:t>
      </w:r>
      <w:r>
        <w:rPr>
          <w:rFonts w:hint="eastAsia" w:ascii="仿宋_GB2312" w:hAnsi="Calibri" w:eastAsia="仿宋_GB2312" w:cs="仿宋"/>
          <w:color w:val="auto"/>
          <w:kern w:val="0"/>
          <w:sz w:val="32"/>
          <w:szCs w:val="32"/>
          <w:lang w:val="en-US" w:eastAsia="zh-CN" w:bidi="ar-SA"/>
        </w:rPr>
        <w:t>12</w:t>
      </w:r>
      <w:r>
        <w:rPr>
          <w:rFonts w:hint="eastAsia" w:ascii="仿宋_GB2312" w:hAnsi="Calibri" w:eastAsia="仿宋_GB2312" w:cs="仿宋"/>
          <w:color w:val="auto"/>
          <w:kern w:val="0"/>
          <w:sz w:val="32"/>
          <w:szCs w:val="32"/>
          <w:lang w:val="zh-CN" w:eastAsia="zh-CN" w:bidi="ar-SA"/>
        </w:rPr>
        <w:t>分。</w:t>
      </w:r>
    </w:p>
    <w:p w14:paraId="0B579405">
      <w:pPr>
        <w:numPr>
          <w:ilvl w:val="0"/>
          <w:numId w:val="0"/>
        </w:numPr>
        <w:adjustRightInd w:val="0"/>
        <w:snapToGrid w:val="0"/>
        <w:spacing w:line="54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2.项目执行</w:t>
      </w:r>
      <w:r>
        <w:rPr>
          <w:rFonts w:hint="eastAsia" w:ascii="仿宋_GB2312" w:hAnsi="Calibri" w:eastAsia="仿宋_GB2312" w:cs="仿宋"/>
          <w:color w:val="auto"/>
          <w:kern w:val="0"/>
          <w:sz w:val="32"/>
          <w:szCs w:val="32"/>
          <w:lang w:val="zh-CN" w:eastAsia="zh-CN" w:bidi="ar-SA"/>
        </w:rPr>
        <w:t>。</w:t>
      </w:r>
    </w:p>
    <w:p w14:paraId="4455B864">
      <w:pPr>
        <w:spacing w:line="578" w:lineRule="exact"/>
        <w:ind w:firstLine="64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凉山州科学技术协会在项目执行过程中，</w:t>
      </w:r>
      <w:r>
        <w:rPr>
          <w:rFonts w:hint="eastAsia" w:ascii="仿宋_GB2312" w:hAnsi="Calibri" w:eastAsia="仿宋_GB2312" w:cs="仿宋"/>
          <w:color w:val="auto"/>
          <w:kern w:val="0"/>
          <w:sz w:val="32"/>
          <w:szCs w:val="32"/>
          <w:lang w:val="en-US" w:eastAsia="zh-CN" w:bidi="ar-SA"/>
        </w:rPr>
        <w:t>对</w:t>
      </w:r>
      <w:r>
        <w:rPr>
          <w:rFonts w:hint="eastAsia" w:ascii="仿宋_GB2312" w:hAnsi="Calibri" w:eastAsia="仿宋_GB2312" w:cs="仿宋"/>
          <w:color w:val="auto"/>
          <w:kern w:val="0"/>
          <w:sz w:val="32"/>
          <w:szCs w:val="32"/>
          <w:lang w:val="zh-CN" w:eastAsia="zh-CN" w:bidi="ar-SA"/>
        </w:rPr>
        <w:t>项目的管理严谨，</w:t>
      </w:r>
      <w:r>
        <w:rPr>
          <w:rFonts w:hint="eastAsia" w:ascii="仿宋_GB2312" w:hAnsi="Calibri" w:eastAsia="仿宋_GB2312" w:cs="仿宋"/>
          <w:color w:val="auto"/>
          <w:kern w:val="0"/>
          <w:sz w:val="32"/>
          <w:szCs w:val="32"/>
          <w:lang w:val="en-US" w:eastAsia="zh-CN" w:bidi="ar-SA"/>
        </w:rPr>
        <w:t>严格执行《四川省科普专项资金管理办法》（川财教［2020］83号）、《凉山州科技计划项目专项资金管理办法》（凉财规［2020］2号）以及地方配套科普专项资金管理办法和相关财务管理制度，</w:t>
      </w:r>
      <w:r>
        <w:rPr>
          <w:rFonts w:hint="eastAsia" w:ascii="仿宋_GB2312" w:hAnsi="Calibri" w:eastAsia="仿宋_GB2312" w:cs="仿宋"/>
          <w:color w:val="auto"/>
          <w:kern w:val="0"/>
          <w:sz w:val="32"/>
          <w:szCs w:val="32"/>
          <w:lang w:val="zh-CN" w:eastAsia="zh-CN" w:bidi="ar-SA"/>
        </w:rPr>
        <w:t>认真贯彻“用钱必问效、无效必问责”的绩效管理原则，党组</w:t>
      </w:r>
      <w:r>
        <w:rPr>
          <w:rFonts w:hint="eastAsia" w:ascii="仿宋_GB2312" w:hAnsi="Calibri" w:eastAsia="仿宋_GB2312" w:cs="仿宋"/>
          <w:color w:val="auto"/>
          <w:kern w:val="0"/>
          <w:sz w:val="32"/>
          <w:szCs w:val="32"/>
          <w:lang w:val="en-US" w:eastAsia="zh-CN" w:bidi="ar-SA"/>
        </w:rPr>
        <w:t>按照财政要求将绩效管理的理念贯穿于项目的事前、事中、事后。部门预算项目实际列支内容与绩效目标设置方向相符，部门预算项目设置有备选项目，能相应采取对应调整措施，年度部门预算项目预算执行完成11个、金额449.82万元。</w:t>
      </w:r>
      <w:r>
        <w:rPr>
          <w:rFonts w:hint="eastAsia" w:ascii="仿宋_GB2312" w:hAnsi="Calibri" w:eastAsia="仿宋_GB2312" w:cs="仿宋"/>
          <w:color w:val="auto"/>
          <w:kern w:val="0"/>
          <w:sz w:val="32"/>
          <w:szCs w:val="32"/>
          <w:lang w:val="zh-CN" w:eastAsia="zh-CN" w:bidi="ar-SA"/>
        </w:rPr>
        <w:t>故自评得分1</w:t>
      </w: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分。</w:t>
      </w:r>
    </w:p>
    <w:p w14:paraId="5F335C04">
      <w:pPr>
        <w:numPr>
          <w:ilvl w:val="0"/>
          <w:numId w:val="0"/>
        </w:numPr>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目标实现。</w:t>
      </w:r>
    </w:p>
    <w:p w14:paraId="04E07F76">
      <w:pPr>
        <w:spacing w:line="578" w:lineRule="exact"/>
        <w:ind w:firstLine="64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我</w:t>
      </w:r>
      <w:r>
        <w:rPr>
          <w:rFonts w:hint="eastAsia" w:ascii="仿宋_GB2312" w:hAnsi="Calibri" w:eastAsia="仿宋_GB2312" w:cs="仿宋"/>
          <w:color w:val="auto"/>
          <w:kern w:val="0"/>
          <w:sz w:val="32"/>
          <w:szCs w:val="32"/>
          <w:lang w:val="en-US" w:eastAsia="zh-CN" w:bidi="ar-SA"/>
        </w:rPr>
        <w:t>部门按照年初预算项目绩效目标，年度预算执行完成“科普宣传活动业务经费”、“青少年科技活动”、“学术交流活动业务经费”、“科创中国.天府科技云服务大会”、“老科技工作者科普活动保障经费”、“最美科技工作者活动”、“天府科技云服务项目”、“凉山州全民科学素质提升专项”、“凉山州级科普专项资金”、“省级科普专项资金”。“全州急需紧缺专业大学生顶岗实习补助”11个项目设定任务，支出金额共计449.82万元。部门预算项目绩效目标数量指标实现程度与预期目标不存在偏离情况。通过项目实施，能够实现传播科学思想，普及科技知识，推广先进技术，提高公众科学素质，引导群众逐步地向学科学、懂科学、用科学的方向迈进，为推动科技进步、促进现代化进程起到积极的推动作用，实现助力全州乡村振兴，更好为科技工作者、创新驱动发展、党和政府科学决策服务、为凉山经济社会发展服务的最终目的。</w:t>
      </w:r>
    </w:p>
    <w:p w14:paraId="22030293">
      <w:pPr>
        <w:widowControl/>
        <w:adjustRightInd w:val="0"/>
        <w:snapToGrid w:val="0"/>
        <w:spacing w:line="540" w:lineRule="exact"/>
        <w:ind w:firstLine="640" w:firstLineChars="200"/>
        <w:contextualSpacing/>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部门2024年度一般公共预算年度执行预算财政拨款934.86万元,其中⑴基本支出485.04万元，占当年支出总额的52%；基本支出与去年同期比较有所增加，主要系职工正常晋级工资、增加行政退休职工抚恤金、清算目标绩效奖及社保医疗公积金等缴费所致。⑵项目支出449.82万元，占当年支出总额的48%，主要系围绕省科协重点工作天府科技云服务项目，开展科学技术普及、传播、科普阵地建设、学术交流、青少年科技创新活动、科普资源开发、全民科学素质调查、开展种养殖培训等项目支出，项目支出与去年同期比较有所增加，增幅11%，主要系增加省级科普专项资金拨款。</w:t>
      </w:r>
      <w:r>
        <w:rPr>
          <w:rFonts w:hint="eastAsia" w:ascii="仿宋_GB2312" w:hAnsi="Calibri" w:eastAsia="仿宋_GB2312" w:cs="仿宋"/>
          <w:color w:val="auto"/>
          <w:kern w:val="0"/>
          <w:sz w:val="32"/>
          <w:szCs w:val="32"/>
          <w:lang w:val="zh-CN" w:eastAsia="zh-CN" w:bidi="ar-SA"/>
        </w:rPr>
        <w:t>2024年度</w:t>
      </w:r>
      <w:r>
        <w:rPr>
          <w:rFonts w:hint="eastAsia" w:ascii="仿宋_GB2312" w:hAnsi="Calibri" w:eastAsia="仿宋_GB2312" w:cs="仿宋"/>
          <w:color w:val="auto"/>
          <w:kern w:val="0"/>
          <w:sz w:val="32"/>
          <w:szCs w:val="32"/>
          <w:lang w:val="en-US" w:eastAsia="zh-CN" w:bidi="ar-SA"/>
        </w:rPr>
        <w:t>政府</w:t>
      </w:r>
      <w:r>
        <w:rPr>
          <w:rFonts w:hint="eastAsia" w:ascii="仿宋_GB2312" w:hAnsi="Calibri" w:eastAsia="仿宋_GB2312" w:cs="仿宋"/>
          <w:color w:val="auto"/>
          <w:kern w:val="0"/>
          <w:sz w:val="32"/>
          <w:szCs w:val="32"/>
          <w:lang w:val="zh-CN" w:eastAsia="zh-CN" w:bidi="ar-SA"/>
        </w:rPr>
        <w:t>采购两笔，为公务车保险的采购</w:t>
      </w:r>
      <w:r>
        <w:rPr>
          <w:rFonts w:hint="eastAsia" w:ascii="仿宋_GB2312" w:hAnsi="Calibri" w:eastAsia="仿宋_GB2312" w:cs="仿宋"/>
          <w:color w:val="auto"/>
          <w:kern w:val="0"/>
          <w:sz w:val="32"/>
          <w:szCs w:val="32"/>
          <w:lang w:val="en-US" w:eastAsia="zh-CN" w:bidi="ar-SA"/>
        </w:rPr>
        <w:t>0.54万元、公务用车油料购置4万元</w:t>
      </w:r>
      <w:r>
        <w:rPr>
          <w:rFonts w:hint="eastAsia" w:ascii="仿宋_GB2312" w:hAnsi="Calibri" w:eastAsia="仿宋_GB2312" w:cs="仿宋"/>
          <w:color w:val="auto"/>
          <w:kern w:val="0"/>
          <w:sz w:val="32"/>
          <w:szCs w:val="32"/>
          <w:lang w:val="zh-CN" w:eastAsia="zh-CN" w:bidi="ar-SA"/>
        </w:rPr>
        <w:t>。均在政府采购定点供应商购买。</w:t>
      </w:r>
      <w:r>
        <w:rPr>
          <w:rFonts w:hint="eastAsia" w:ascii="仿宋_GB2312" w:hAnsi="Calibri" w:eastAsia="仿宋_GB2312" w:cs="仿宋"/>
          <w:color w:val="auto"/>
          <w:kern w:val="0"/>
          <w:sz w:val="32"/>
          <w:szCs w:val="32"/>
          <w:lang w:val="en-US" w:eastAsia="zh-CN" w:bidi="ar-SA"/>
        </w:rPr>
        <w:t>2024年政府购买服务年初预算60.3万元，年末预算执行206.94万元。与年初预算相比增幅243%，主要系年中拨入省级科普专项资金，年初无预算所致。政府购买服务项目主要为科创中国·天府科技云服务大会，天府科技云运维尾款，科技工作者日活动，《凉山州科学发展》杂志办刊服务，档案数据化加工服务，特色科普作品制作，全国科普日活动，流动科技馆科普科服宣传广告，项目法律顾问，院士专家工作站评审会、天府云工作推进会、州科协工作推进布置等会议，天府科技云调研科普科服活动等租车，天府科技云工作科普科服活动等印制等，均与中小企业签订购买服务合同，积极支持中小企业发展。无政府性基金预算、无社保基金预算、无国有资本经营预算安排的常年项目、阶段项目绩效目标，无债券资金。故自评得分11分。</w:t>
      </w:r>
    </w:p>
    <w:p w14:paraId="03DBB7FC">
      <w:pPr>
        <w:snapToGrid w:val="0"/>
        <w:spacing w:line="560"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（三）绩效结果应用情况。</w:t>
      </w:r>
    </w:p>
    <w:p w14:paraId="4686F575">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们结合财政指标，按照州财政局工作要求，我单位2024年度本级部门预算、决算批复、整体支出和项目支出绩效评价相关表格在规定的时间内，在凉山州政府网站和州科学技术协会网站进行公开；州科协党组针对审计、财政抽查指出的问题，进行认真思考整改，一是进一步强化绩效考核意识，加强绩效中期评估工作，将绩效考核工作纳入全单位工作目标；二是优化细化预算编制，重视对经济科目的编制，防止执行预算时发生较大的差异，在资金使用上确保无挪用、无占用情况发生；三是预算编制与实际支出项目进度上有的存在一定差异，预算资金使用的管理上有待加强，应按预算进度及时支付，完成工作，避免资金滞留账上。并对以上整改问题及时写出报告说明附佐证资料报相关部门，并归档妥善保管专卷备查。我们在单位开展部门整体支出绩效管理工作自查自评，内容完整、观点客观、建议举措具有一定价值，工作中能够对照巡察、审计问题修订单位规章制度并严格执行立即整改。</w:t>
      </w:r>
    </w:p>
    <w:p w14:paraId="07D52392">
      <w:pPr>
        <w:widowControl/>
        <w:adjustRightInd w:val="0"/>
        <w:snapToGrid w:val="0"/>
        <w:spacing w:line="540" w:lineRule="exact"/>
        <w:ind w:firstLine="643" w:firstLineChars="200"/>
        <w:contextualSpacing/>
        <w:jc w:val="left"/>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四、评价结论及建议</w:t>
      </w:r>
    </w:p>
    <w:p w14:paraId="63C46EC8">
      <w:pPr>
        <w:widowControl/>
        <w:adjustRightInd w:val="0"/>
        <w:snapToGrid w:val="0"/>
        <w:spacing w:line="540" w:lineRule="exact"/>
        <w:ind w:firstLine="643" w:firstLineChars="200"/>
        <w:contextualSpacing/>
        <w:jc w:val="left"/>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zh-CN" w:eastAsia="zh-CN" w:bidi="ar-SA"/>
        </w:rPr>
        <w:t>（一）评价结论。</w:t>
      </w:r>
    </w:p>
    <w:p w14:paraId="591AF05F">
      <w:pPr>
        <w:pStyle w:val="2"/>
        <w:numPr>
          <w:ilvl w:val="0"/>
          <w:numId w:val="0"/>
        </w:numPr>
        <w:tabs>
          <w:tab w:val="left" w:pos="2160"/>
        </w:tabs>
        <w:spacing w:line="600" w:lineRule="exact"/>
        <w:ind w:firstLine="640" w:firstLineChars="200"/>
        <w:rPr>
          <w:rFonts w:hint="eastAsia" w:ascii="仿宋_GB2312" w:hAnsi="仿宋_GB2312" w:cs="仿宋_GB2312"/>
          <w:szCs w:val="32"/>
          <w:lang w:val="zh-CN" w:eastAsia="zh-CN"/>
        </w:rPr>
      </w:pPr>
      <w:r>
        <w:rPr>
          <w:rFonts w:hint="eastAsia" w:ascii="仿宋_GB2312" w:hAnsi="Calibri" w:eastAsia="仿宋_GB2312" w:cs="仿宋"/>
          <w:color w:val="auto"/>
          <w:kern w:val="0"/>
          <w:sz w:val="32"/>
          <w:szCs w:val="32"/>
          <w:lang w:val="zh-CN" w:eastAsia="zh-CN" w:bidi="ar-SA"/>
        </w:rPr>
        <w:t>我部门充分利用</w:t>
      </w:r>
      <w:r>
        <w:rPr>
          <w:rFonts w:hint="eastAsia" w:ascii="仿宋_GB2312" w:hAnsi="Calibri" w:eastAsia="仿宋_GB2312" w:cs="仿宋"/>
          <w:color w:val="auto"/>
          <w:kern w:val="0"/>
          <w:sz w:val="32"/>
          <w:szCs w:val="32"/>
          <w:lang w:val="en-US" w:eastAsia="zh-CN" w:bidi="ar-SA"/>
        </w:rPr>
        <w:t>一般公共预算财政拨款934.86万元,完成了年度基本支出485.04万元，</w:t>
      </w:r>
      <w:r>
        <w:rPr>
          <w:rFonts w:hint="eastAsia" w:ascii="仿宋_GB2312" w:hAnsi="Calibri" w:eastAsia="仿宋_GB2312" w:cs="仿宋"/>
          <w:color w:val="auto"/>
          <w:kern w:val="0"/>
          <w:sz w:val="32"/>
          <w:szCs w:val="32"/>
          <w:lang w:val="zh-CN" w:eastAsia="zh-CN" w:bidi="ar-SA"/>
        </w:rPr>
        <w:t>每月按财政要求及时发放职工工资，按时缴纳职工五险一金，确保职工权益。保障日常公务用车运行和办公、水电、差旅、印刷、邮电等的支用，确保部门日常工作正常高效运转；</w:t>
      </w:r>
      <w:r>
        <w:rPr>
          <w:rFonts w:hint="eastAsia" w:ascii="仿宋_GB2312" w:hAnsi="Calibri" w:eastAsia="仿宋_GB2312" w:cs="仿宋"/>
          <w:color w:val="auto"/>
          <w:kern w:val="0"/>
          <w:sz w:val="32"/>
          <w:szCs w:val="32"/>
          <w:lang w:val="en-US" w:eastAsia="zh-CN" w:bidi="ar-SA"/>
        </w:rPr>
        <w:t>完成了项目支出449.82万元，围绕省科协重点工作天府科技云服务项目，开展科学技术普及、传播、科普阵地建设、学术交流、青少年科技创新活动、科普资源开发、全民科学素质调查、开展种养殖培训等项目圆满完成。因资金使用支付进度前期较缓慢、部门政府采购项目资金支付比例未达100%、资产管理上存在资产老化。</w:t>
      </w:r>
      <w:r>
        <w:rPr>
          <w:rFonts w:hint="eastAsia" w:ascii="仿宋_GB2312" w:hAnsi="Calibri" w:eastAsia="仿宋_GB2312" w:cs="仿宋"/>
          <w:color w:val="auto"/>
          <w:kern w:val="0"/>
          <w:sz w:val="32"/>
          <w:szCs w:val="32"/>
          <w:lang w:val="zh-CN" w:eastAsia="zh-CN" w:bidi="ar-SA"/>
        </w:rPr>
        <w:t>故自评扣分</w:t>
      </w: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分，得分</w:t>
      </w:r>
      <w:r>
        <w:rPr>
          <w:rFonts w:hint="eastAsia" w:ascii="仿宋_GB2312" w:hAnsi="仿宋_GB2312" w:cs="仿宋_GB2312"/>
          <w:szCs w:val="32"/>
          <w:lang w:val="zh-CN" w:eastAsia="zh-CN"/>
        </w:rPr>
        <w:t>9</w:t>
      </w:r>
      <w:r>
        <w:rPr>
          <w:rFonts w:hint="eastAsia" w:ascii="仿宋_GB2312" w:hAnsi="仿宋_GB2312" w:cs="仿宋_GB2312"/>
          <w:szCs w:val="32"/>
          <w:lang w:val="en-US" w:eastAsia="zh-CN"/>
        </w:rPr>
        <w:t>7</w:t>
      </w:r>
      <w:r>
        <w:rPr>
          <w:rFonts w:hint="eastAsia" w:ascii="仿宋_GB2312" w:hAnsi="仿宋_GB2312" w:cs="仿宋_GB2312"/>
          <w:szCs w:val="32"/>
          <w:lang w:val="zh-CN" w:eastAsia="zh-CN"/>
        </w:rPr>
        <w:t>分。</w:t>
      </w:r>
    </w:p>
    <w:p w14:paraId="65041198">
      <w:pPr>
        <w:widowControl/>
        <w:numPr>
          <w:ilvl w:val="0"/>
          <w:numId w:val="0"/>
        </w:numPr>
        <w:adjustRightInd w:val="0"/>
        <w:snapToGrid w:val="0"/>
        <w:spacing w:line="540" w:lineRule="exact"/>
        <w:ind w:left="630" w:leftChars="0"/>
        <w:contextualSpacing/>
        <w:jc w:val="left"/>
        <w:rPr>
          <w:rFonts w:hint="eastAsia" w:ascii="仿宋_GB2312" w:hAnsi="仿宋_GB2312" w:eastAsia="仿宋_GB2312" w:cs="仿宋_GB2312"/>
          <w:b/>
          <w:bCs/>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zh-CN" w:eastAsia="zh-CN" w:bidi="ar-SA"/>
        </w:rPr>
        <w:t>（二）存在问题。</w:t>
      </w:r>
    </w:p>
    <w:p w14:paraId="045B3DA1">
      <w:pPr>
        <w:pStyle w:val="2"/>
        <w:keepNext w:val="0"/>
        <w:keepLines w:val="0"/>
        <w:pageBreakBefore w:val="0"/>
        <w:widowControl/>
        <w:tabs>
          <w:tab w:val="left" w:pos="2160"/>
        </w:tabs>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position w:val="0"/>
          <w:sz w:val="32"/>
          <w:szCs w:val="32"/>
          <w:lang w:eastAsia="zh-CN"/>
        </w:rPr>
      </w:pPr>
      <w:r>
        <w:rPr>
          <w:rFonts w:hint="eastAsia" w:ascii="仿宋_GB2312" w:hAnsi="仿宋_GB2312" w:eastAsia="仿宋_GB2312" w:cs="仿宋_GB2312"/>
          <w:position w:val="0"/>
          <w:sz w:val="32"/>
          <w:szCs w:val="32"/>
          <w:lang w:eastAsia="zh-CN"/>
        </w:rPr>
        <w:t>1.</w:t>
      </w:r>
      <w:r>
        <w:rPr>
          <w:rFonts w:hint="eastAsia" w:ascii="Times New Roman" w:hAnsi="Times New Roman" w:eastAsia="仿宋_GB2312" w:cs="仿宋_GB2312"/>
          <w:sz w:val="32"/>
          <w:szCs w:val="32"/>
          <w:lang w:val="en-US" w:eastAsia="zh-CN"/>
        </w:rPr>
        <w:t>资金使用支付进度前期较缓慢。</w:t>
      </w:r>
    </w:p>
    <w:p w14:paraId="79E50DC7">
      <w:pPr>
        <w:pStyle w:val="2"/>
        <w:numPr>
          <w:ilvl w:val="0"/>
          <w:numId w:val="0"/>
        </w:numPr>
        <w:tabs>
          <w:tab w:val="left" w:pos="2160"/>
        </w:tabs>
        <w:spacing w:line="600" w:lineRule="exact"/>
        <w:ind w:firstLine="640" w:firstLineChars="200"/>
        <w:rPr>
          <w:rFonts w:hint="eastAsia" w:ascii="仿宋_GB2312" w:hAnsi="仿宋_GB2312" w:cs="仿宋_GB2312"/>
          <w:position w:val="0"/>
          <w:sz w:val="32"/>
          <w:szCs w:val="32"/>
          <w:lang w:val="en-US" w:eastAsia="zh-CN"/>
        </w:rPr>
      </w:pPr>
      <w:r>
        <w:rPr>
          <w:rFonts w:hint="eastAsia" w:ascii="仿宋_GB2312" w:hAnsi="仿宋_GB2312" w:cs="仿宋_GB2312"/>
          <w:position w:val="0"/>
          <w:sz w:val="32"/>
          <w:szCs w:val="32"/>
          <w:lang w:val="en-US" w:eastAsia="zh-CN"/>
        </w:rPr>
        <w:t>2.</w:t>
      </w:r>
      <w:r>
        <w:rPr>
          <w:rFonts w:hint="eastAsia" w:ascii="仿宋_GB2312" w:hAnsi="仿宋_GB2312" w:cs="仿宋_GB2312"/>
          <w:position w:val="0"/>
          <w:sz w:val="32"/>
          <w:szCs w:val="32"/>
          <w:lang w:eastAsia="zh-CN"/>
        </w:rPr>
        <w:t>部门政府采购项目资金支付比例未达</w:t>
      </w:r>
      <w:r>
        <w:rPr>
          <w:rFonts w:hint="eastAsia" w:ascii="仿宋_GB2312" w:hAnsi="仿宋_GB2312" w:cs="仿宋_GB2312"/>
          <w:position w:val="0"/>
          <w:sz w:val="32"/>
          <w:szCs w:val="32"/>
          <w:lang w:val="en-US" w:eastAsia="zh-CN"/>
        </w:rPr>
        <w:t>100%。</w:t>
      </w:r>
    </w:p>
    <w:p w14:paraId="7847B3A8">
      <w:pPr>
        <w:pStyle w:val="2"/>
        <w:numPr>
          <w:ilvl w:val="0"/>
          <w:numId w:val="0"/>
        </w:numPr>
        <w:tabs>
          <w:tab w:val="left" w:pos="2160"/>
        </w:tabs>
        <w:spacing w:line="600" w:lineRule="exact"/>
        <w:ind w:firstLine="640" w:firstLineChars="200"/>
        <w:rPr>
          <w:rFonts w:hint="eastAsia" w:ascii="仿宋_GB2312" w:hAnsi="仿宋_GB2312" w:cs="仿宋_GB2312"/>
          <w:position w:val="0"/>
          <w:sz w:val="32"/>
          <w:szCs w:val="32"/>
          <w:lang w:val="en-US" w:eastAsia="zh-CN"/>
        </w:rPr>
      </w:pPr>
      <w:r>
        <w:rPr>
          <w:rFonts w:hint="eastAsia" w:ascii="仿宋_GB2312" w:hAnsi="仿宋_GB2312" w:cs="仿宋_GB2312"/>
          <w:position w:val="0"/>
          <w:sz w:val="32"/>
          <w:szCs w:val="32"/>
          <w:lang w:val="en-US" w:eastAsia="zh-CN"/>
        </w:rPr>
        <w:t>3.资产管理上存在较陈旧资产，无更新率。</w:t>
      </w:r>
    </w:p>
    <w:p w14:paraId="2FE8A14D">
      <w:pPr>
        <w:pStyle w:val="2"/>
        <w:numPr>
          <w:ilvl w:val="0"/>
          <w:numId w:val="0"/>
        </w:numPr>
        <w:tabs>
          <w:tab w:val="left" w:pos="2160"/>
        </w:tabs>
        <w:spacing w:line="600" w:lineRule="exact"/>
        <w:ind w:firstLine="602" w:firstLineChars="200"/>
        <w:rPr>
          <w:color w:val="FF0000"/>
          <w:kern w:val="0"/>
          <w:szCs w:val="32"/>
        </w:rPr>
      </w:pPr>
      <w:r>
        <w:rPr>
          <w:rFonts w:eastAsia="楷体_GB2312"/>
          <w:b/>
          <w:bCs/>
          <w:color w:val="000000"/>
          <w:kern w:val="0"/>
          <w:szCs w:val="32"/>
          <w:shd w:val="clear" w:color="auto" w:fill="FFFFFF"/>
          <w:lang w:val="zh-CN"/>
        </w:rPr>
        <w:t>（三）改进建议。</w:t>
      </w:r>
      <w:bookmarkStart w:id="82" w:name="_Hlk110546638"/>
    </w:p>
    <w:p w14:paraId="75A6B0BC">
      <w:pPr>
        <w:pageBreakBefore w:val="0"/>
        <w:widowControl w:val="0"/>
        <w:tabs>
          <w:tab w:val="left" w:pos="1911"/>
        </w:tabs>
        <w:kinsoku/>
        <w:wordWrap/>
        <w:overflowPunct/>
        <w:topLinePunct w:val="0"/>
        <w:autoSpaceDE/>
        <w:autoSpaceDN/>
        <w:bidi w:val="0"/>
        <w:adjustRightInd/>
        <w:snapToGrid/>
        <w:spacing w:line="578" w:lineRule="exact"/>
        <w:ind w:firstLine="640"/>
        <w:jc w:val="left"/>
        <w:textAlignment w:val="auto"/>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1.相关部室提早谋划，做好多方协调沟通，合理安排部署项目实施工作，及时对接财务部门支付。着力解决资金使用支付进度前期较缓慢问题。</w:t>
      </w:r>
    </w:p>
    <w:p w14:paraId="1AFA36FC">
      <w:pPr>
        <w:pStyle w:val="2"/>
        <w:numPr>
          <w:ilvl w:val="0"/>
          <w:numId w:val="0"/>
        </w:numPr>
        <w:tabs>
          <w:tab w:val="left" w:pos="2160"/>
        </w:tabs>
        <w:spacing w:line="600" w:lineRule="exact"/>
        <w:ind w:firstLine="640"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2.部门政府采购项目资金做好预测，尽量使预算和支付一致，支付率达100%。</w:t>
      </w:r>
    </w:p>
    <w:p w14:paraId="285ACC31">
      <w:pPr>
        <w:pStyle w:val="2"/>
        <w:numPr>
          <w:ilvl w:val="0"/>
          <w:numId w:val="0"/>
        </w:numPr>
        <w:tabs>
          <w:tab w:val="left" w:pos="2160"/>
        </w:tabs>
        <w:spacing w:line="600" w:lineRule="exact"/>
        <w:ind w:firstLine="640"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3.资产管理部门应定期核实资产的新旧程度，对已到使用年限，陈旧坏损的资产按照资产管理程序及时报经相关部门核批报损。</w:t>
      </w:r>
      <w:bookmarkEnd w:id="82"/>
    </w:p>
    <w:p w14:paraId="65BD979B">
      <w:pPr>
        <w:spacing w:line="578" w:lineRule="exact"/>
        <w:jc w:val="left"/>
        <w:rPr>
          <w:rFonts w:hint="eastAsia" w:ascii="仿宋_GB2312" w:hAnsi="仿宋_GB2312" w:eastAsia="仿宋_GB2312" w:cs="仿宋_GB2312"/>
          <w:kern w:val="0"/>
          <w:position w:val="0"/>
          <w:sz w:val="32"/>
          <w:szCs w:val="32"/>
          <w:lang w:val="en-US" w:eastAsia="zh-CN" w:bidi="ar-SA"/>
        </w:rPr>
      </w:pPr>
    </w:p>
    <w:p w14:paraId="73411290">
      <w:pPr>
        <w:spacing w:line="578" w:lineRule="exact"/>
        <w:ind w:firstLine="4480" w:firstLineChars="1400"/>
        <w:jc w:val="left"/>
        <w:rPr>
          <w:rFonts w:hint="eastAsia" w:ascii="仿宋_GB2312" w:hAnsi="仿宋_GB2312" w:eastAsia="仿宋_GB2312" w:cs="仿宋_GB2312"/>
          <w:kern w:val="0"/>
          <w:position w:val="0"/>
          <w:sz w:val="32"/>
          <w:szCs w:val="32"/>
          <w:lang w:val="en-US" w:eastAsia="zh-CN" w:bidi="ar-SA"/>
        </w:rPr>
      </w:pPr>
    </w:p>
    <w:p w14:paraId="2A3D4012">
      <w:pPr>
        <w:spacing w:line="578" w:lineRule="exact"/>
        <w:ind w:firstLine="4480" w:firstLineChars="1400"/>
        <w:jc w:val="left"/>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凉山州科学技术协会</w:t>
      </w:r>
    </w:p>
    <w:p w14:paraId="422C9BB5">
      <w:pPr>
        <w:pStyle w:val="2"/>
        <w:ind w:firstLine="4800" w:firstLineChars="1500"/>
        <w:rPr>
          <w:rFonts w:hint="default"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2025年6月20日</w:t>
      </w:r>
    </w:p>
    <w:p w14:paraId="41739EA8">
      <w:pPr>
        <w:snapToGrid w:val="0"/>
        <w:spacing w:line="560" w:lineRule="exact"/>
        <w:ind w:firstLine="880" w:firstLineChars="200"/>
        <w:jc w:val="center"/>
        <w:rPr>
          <w:rFonts w:hint="eastAsia" w:ascii="方正小标宋_GBK" w:hAnsi="宋体" w:eastAsia="方正小标宋_GBK" w:cs="宋体"/>
          <w:bCs/>
          <w:color w:val="000000"/>
          <w:kern w:val="0"/>
          <w:sz w:val="44"/>
          <w:szCs w:val="44"/>
          <w:shd w:val="clear" w:color="auto" w:fill="FFFFFF"/>
          <w:lang w:val="zh-CN"/>
        </w:rPr>
      </w:pPr>
    </w:p>
    <w:p w14:paraId="460215E8">
      <w:pPr>
        <w:snapToGrid w:val="0"/>
        <w:spacing w:line="560" w:lineRule="exact"/>
        <w:ind w:firstLine="880" w:firstLineChars="200"/>
        <w:jc w:val="center"/>
        <w:rPr>
          <w:rFonts w:hint="eastAsia" w:ascii="方正小标宋_GBK" w:hAnsi="宋体" w:eastAsia="方正小标宋_GBK" w:cs="宋体"/>
          <w:bCs/>
          <w:color w:val="FF0000"/>
          <w:kern w:val="0"/>
          <w:sz w:val="44"/>
          <w:szCs w:val="44"/>
          <w:shd w:val="clear" w:color="auto" w:fill="FFFFFF"/>
          <w:lang w:val="zh-CN"/>
        </w:rPr>
      </w:pPr>
    </w:p>
    <w:p w14:paraId="3436CC45">
      <w:pPr>
        <w:snapToGrid w:val="0"/>
        <w:spacing w:line="560" w:lineRule="exact"/>
        <w:ind w:firstLine="880" w:firstLineChars="200"/>
        <w:jc w:val="center"/>
        <w:rPr>
          <w:rFonts w:hint="eastAsia" w:ascii="方正小标宋_GBK" w:hAnsi="宋体" w:eastAsia="方正小标宋_GBK" w:cs="宋体"/>
          <w:bCs/>
          <w:color w:val="FF0000"/>
          <w:kern w:val="0"/>
          <w:sz w:val="44"/>
          <w:szCs w:val="44"/>
          <w:shd w:val="clear" w:color="auto" w:fill="FFFFFF"/>
          <w:lang w:val="zh-CN"/>
        </w:rPr>
      </w:pPr>
    </w:p>
    <w:p w14:paraId="692D49B0">
      <w:pPr>
        <w:spacing w:line="578" w:lineRule="exact"/>
        <w:rPr>
          <w:rFonts w:hint="eastAsia" w:ascii="仿宋_GB2312" w:hAnsi="仿宋_GB2312" w:eastAsia="仿宋_GB2312" w:cs="仿宋_GB2312"/>
          <w:kern w:val="0"/>
          <w:position w:val="0"/>
          <w:sz w:val="32"/>
          <w:szCs w:val="32"/>
          <w:lang w:val="en-US" w:eastAsia="zh-CN" w:bidi="ar-SA"/>
        </w:rPr>
      </w:pPr>
    </w:p>
    <w:p w14:paraId="0EF2B2D6">
      <w:pPr>
        <w:spacing w:line="578" w:lineRule="exact"/>
        <w:rPr>
          <w:rFonts w:hint="eastAsia" w:ascii="仿宋_GB2312" w:hAnsi="仿宋_GB2312" w:eastAsia="仿宋_GB2312" w:cs="仿宋_GB2312"/>
          <w:kern w:val="0"/>
          <w:position w:val="0"/>
          <w:sz w:val="32"/>
          <w:szCs w:val="32"/>
          <w:lang w:val="en-US" w:eastAsia="zh-CN" w:bidi="ar-SA"/>
        </w:rPr>
      </w:pPr>
    </w:p>
    <w:p w14:paraId="2CF37D60">
      <w:pPr>
        <w:spacing w:line="578" w:lineRule="exact"/>
        <w:rPr>
          <w:rFonts w:hint="eastAsia" w:ascii="仿宋_GB2312" w:hAnsi="仿宋_GB2312" w:eastAsia="仿宋_GB2312" w:cs="仿宋_GB2312"/>
          <w:kern w:val="0"/>
          <w:position w:val="0"/>
          <w:sz w:val="32"/>
          <w:szCs w:val="32"/>
          <w:lang w:val="en-US" w:eastAsia="zh-CN" w:bidi="ar-SA"/>
        </w:rPr>
      </w:pPr>
    </w:p>
    <w:p w14:paraId="0C82B9DB">
      <w:pPr>
        <w:spacing w:line="578" w:lineRule="exact"/>
        <w:rPr>
          <w:rFonts w:hint="eastAsia" w:ascii="仿宋_GB2312" w:hAnsi="仿宋_GB2312" w:eastAsia="仿宋_GB2312" w:cs="仿宋_GB2312"/>
          <w:kern w:val="0"/>
          <w:position w:val="0"/>
          <w:sz w:val="32"/>
          <w:szCs w:val="32"/>
          <w:lang w:val="en-US" w:eastAsia="zh-CN" w:bidi="ar-SA"/>
        </w:rPr>
      </w:pPr>
    </w:p>
    <w:p w14:paraId="1160C6D4">
      <w:pPr>
        <w:spacing w:line="578" w:lineRule="exact"/>
        <w:rPr>
          <w:rFonts w:hint="eastAsia" w:ascii="仿宋_GB2312" w:hAnsi="仿宋_GB2312" w:eastAsia="仿宋_GB2312" w:cs="仿宋_GB2312"/>
          <w:kern w:val="0"/>
          <w:position w:val="0"/>
          <w:sz w:val="32"/>
          <w:szCs w:val="32"/>
          <w:lang w:val="en-US" w:eastAsia="zh-CN" w:bidi="ar-SA"/>
        </w:rPr>
      </w:pPr>
    </w:p>
    <w:p w14:paraId="5ED29EA1">
      <w:pPr>
        <w:spacing w:line="578" w:lineRule="exact"/>
        <w:rPr>
          <w:rFonts w:hint="eastAsia" w:ascii="仿宋_GB2312" w:hAnsi="仿宋_GB2312" w:eastAsia="仿宋_GB2312" w:cs="仿宋_GB2312"/>
          <w:kern w:val="0"/>
          <w:position w:val="0"/>
          <w:sz w:val="32"/>
          <w:szCs w:val="32"/>
          <w:lang w:val="en-US" w:eastAsia="zh-CN" w:bidi="ar-SA"/>
        </w:rPr>
      </w:pPr>
    </w:p>
    <w:p w14:paraId="37EEA567">
      <w:pPr>
        <w:spacing w:line="578" w:lineRule="exact"/>
        <w:rPr>
          <w:rFonts w:hint="eastAsia" w:ascii="仿宋_GB2312" w:hAnsi="仿宋_GB2312" w:eastAsia="仿宋_GB2312" w:cs="仿宋_GB2312"/>
          <w:kern w:val="0"/>
          <w:position w:val="0"/>
          <w:sz w:val="32"/>
          <w:szCs w:val="32"/>
          <w:lang w:val="en-US" w:eastAsia="zh-CN" w:bidi="ar-SA"/>
        </w:rPr>
      </w:pPr>
    </w:p>
    <w:p w14:paraId="51667EDE">
      <w:pPr>
        <w:spacing w:line="578" w:lineRule="exact"/>
        <w:rPr>
          <w:rFonts w:hint="eastAsia" w:ascii="仿宋_GB2312" w:hAnsi="仿宋_GB2312" w:eastAsia="仿宋_GB2312" w:cs="仿宋_GB2312"/>
          <w:kern w:val="0"/>
          <w:position w:val="0"/>
          <w:sz w:val="32"/>
          <w:szCs w:val="32"/>
          <w:lang w:val="en-US" w:eastAsia="zh-CN" w:bidi="ar-SA"/>
        </w:rPr>
      </w:pPr>
    </w:p>
    <w:p w14:paraId="0A92F061">
      <w:pPr>
        <w:spacing w:line="578" w:lineRule="exact"/>
        <w:rPr>
          <w:rFonts w:hint="eastAsia" w:ascii="仿宋_GB2312" w:hAnsi="仿宋_GB2312" w:eastAsia="仿宋_GB2312" w:cs="仿宋_GB2312"/>
          <w:kern w:val="0"/>
          <w:position w:val="0"/>
          <w:sz w:val="32"/>
          <w:szCs w:val="32"/>
          <w:lang w:val="en-US" w:eastAsia="zh-CN" w:bidi="ar-SA"/>
        </w:rPr>
      </w:pPr>
    </w:p>
    <w:p w14:paraId="2889750A">
      <w:pPr>
        <w:spacing w:line="578" w:lineRule="exact"/>
        <w:outlineLvl w:val="0"/>
        <w:rPr>
          <w:rFonts w:hint="default" w:ascii="仿宋_GB2312" w:hAnsi="仿宋_GB2312" w:eastAsia="仿宋_GB2312" w:cs="仿宋_GB2312"/>
          <w:kern w:val="0"/>
          <w:position w:val="0"/>
          <w:sz w:val="32"/>
          <w:szCs w:val="32"/>
          <w:lang w:val="en-US" w:eastAsia="zh-CN" w:bidi="ar-SA"/>
        </w:rPr>
      </w:pPr>
      <w:bookmarkStart w:id="83" w:name="_Toc2561"/>
      <w:r>
        <w:rPr>
          <w:rFonts w:hint="eastAsia" w:ascii="仿宋_GB2312" w:hAnsi="仿宋_GB2312" w:eastAsia="仿宋_GB2312" w:cs="仿宋_GB2312"/>
          <w:kern w:val="0"/>
          <w:position w:val="0"/>
          <w:sz w:val="32"/>
          <w:szCs w:val="32"/>
          <w:lang w:val="en-US" w:eastAsia="zh-CN" w:bidi="ar-SA"/>
        </w:rPr>
        <w:t>附件2-1</w:t>
      </w:r>
      <w:bookmarkEnd w:id="83"/>
    </w:p>
    <w:p w14:paraId="028AF84C">
      <w:pPr>
        <w:pStyle w:val="37"/>
        <w:spacing w:line="780" w:lineRule="exact"/>
        <w:jc w:val="center"/>
        <w:rPr>
          <w:rFonts w:hint="eastAsia" w:ascii="楷体_GB2312" w:hAnsi="宋体" w:eastAsia="楷体_GB2312" w:cs="宋体"/>
          <w:b/>
          <w:bCs/>
          <w:color w:val="auto"/>
          <w:kern w:val="2"/>
          <w:sz w:val="36"/>
          <w:szCs w:val="36"/>
          <w:lang w:val="en-US"/>
        </w:rPr>
      </w:pPr>
      <w:r>
        <w:rPr>
          <w:rFonts w:hint="eastAsia" w:ascii="楷体_GB2312" w:hAnsi="宋体" w:eastAsia="楷体_GB2312" w:cs="宋体"/>
          <w:b/>
          <w:bCs/>
          <w:color w:val="auto"/>
          <w:kern w:val="2"/>
          <w:sz w:val="36"/>
          <w:szCs w:val="36"/>
          <w:lang w:val="en-US"/>
        </w:rPr>
        <w:t>凉山州科学技术协会</w:t>
      </w:r>
    </w:p>
    <w:p w14:paraId="0378F8BB">
      <w:pPr>
        <w:pStyle w:val="37"/>
        <w:spacing w:line="780" w:lineRule="exact"/>
        <w:jc w:val="center"/>
        <w:rPr>
          <w:rFonts w:hint="eastAsia" w:ascii="楷体_GB2312" w:hAnsi="宋体" w:eastAsia="楷体_GB2312" w:cs="宋体"/>
          <w:b/>
          <w:bCs/>
          <w:color w:val="auto"/>
          <w:kern w:val="2"/>
          <w:sz w:val="36"/>
          <w:szCs w:val="36"/>
          <w:lang w:val="en-US"/>
        </w:rPr>
      </w:pPr>
      <w:r>
        <w:rPr>
          <w:rFonts w:hint="eastAsia" w:ascii="楷体_GB2312" w:hAnsi="宋体" w:eastAsia="楷体_GB2312" w:cs="宋体"/>
          <w:b/>
          <w:bCs/>
          <w:color w:val="auto"/>
          <w:kern w:val="2"/>
          <w:sz w:val="36"/>
          <w:szCs w:val="36"/>
          <w:lang w:val="en-US"/>
        </w:rPr>
        <w:t>2024年</w:t>
      </w:r>
      <w:r>
        <w:rPr>
          <w:rFonts w:hint="eastAsia" w:ascii="楷体_GB2312" w:hAnsi="宋体" w:eastAsia="楷体_GB2312" w:cs="宋体"/>
          <w:b/>
          <w:bCs/>
          <w:color w:val="auto"/>
          <w:kern w:val="2"/>
          <w:sz w:val="36"/>
          <w:szCs w:val="36"/>
          <w:lang w:val="en-US" w:eastAsia="zh-CN"/>
        </w:rPr>
        <w:t>凉山州</w:t>
      </w:r>
      <w:r>
        <w:rPr>
          <w:rFonts w:hint="eastAsia" w:ascii="楷体_GB2312" w:hAnsi="宋体" w:eastAsia="楷体_GB2312" w:cs="宋体"/>
          <w:b/>
          <w:bCs/>
          <w:color w:val="auto"/>
          <w:kern w:val="2"/>
          <w:sz w:val="36"/>
          <w:szCs w:val="36"/>
          <w:lang w:val="en-US"/>
        </w:rPr>
        <w:t>级科普专项</w:t>
      </w:r>
      <w:r>
        <w:rPr>
          <w:rFonts w:hint="eastAsia" w:ascii="楷体_GB2312" w:hAnsi="宋体" w:eastAsia="楷体_GB2312" w:cs="宋体"/>
          <w:b/>
          <w:bCs/>
          <w:color w:val="auto"/>
          <w:kern w:val="2"/>
          <w:sz w:val="36"/>
          <w:szCs w:val="36"/>
          <w:lang w:val="en-US" w:eastAsia="zh-CN"/>
        </w:rPr>
        <w:t>经费</w:t>
      </w:r>
      <w:r>
        <w:rPr>
          <w:rFonts w:hint="eastAsia" w:ascii="楷体_GB2312" w:hAnsi="宋体" w:eastAsia="楷体_GB2312" w:cs="宋体"/>
          <w:b/>
          <w:bCs/>
          <w:color w:val="auto"/>
          <w:kern w:val="2"/>
          <w:sz w:val="36"/>
          <w:szCs w:val="36"/>
          <w:lang w:val="en-US"/>
        </w:rPr>
        <w:t>预算绩效自评报告</w:t>
      </w:r>
    </w:p>
    <w:p w14:paraId="2BBAA5C5">
      <w:pPr>
        <w:widowControl/>
        <w:adjustRightInd w:val="0"/>
        <w:snapToGrid w:val="0"/>
        <w:spacing w:line="578" w:lineRule="exact"/>
        <w:ind w:firstLine="720" w:firstLineChars="200"/>
        <w:contextualSpacing/>
        <w:jc w:val="left"/>
        <w:rPr>
          <w:rFonts w:hint="eastAsia" w:ascii="楷体_GB2312" w:hAnsi="仿宋_GB2312" w:eastAsia="楷体_GB2312" w:cs="仿宋_GB2312"/>
          <w:kern w:val="0"/>
          <w:sz w:val="36"/>
          <w:szCs w:val="36"/>
          <w:shd w:val="clear" w:color="auto" w:fill="FFFFFF"/>
        </w:rPr>
      </w:pPr>
    </w:p>
    <w:p w14:paraId="19F3D9C8">
      <w:pPr>
        <w:spacing w:line="578" w:lineRule="exact"/>
        <w:ind w:firstLine="640"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凉山州科学技术协会（以下简称州科协）按照《凉山州财政局关于开展全州财政支出绩效评价工作的通知》（凉财绩效〔2025〕5号）文件精神及要求，州科协组织开展了2024年度绩效自评工作。现将2024年凉山州级</w:t>
      </w:r>
      <w:r>
        <w:rPr>
          <w:rFonts w:hint="eastAsia" w:ascii="仿宋_GB2312" w:hAnsi="仿宋_GB2312" w:eastAsia="仿宋_GB2312" w:cs="仿宋_GB2312"/>
          <w:kern w:val="0"/>
          <w:position w:val="0"/>
          <w:sz w:val="32"/>
          <w:szCs w:val="32"/>
          <w:lang w:val="zh-CN" w:eastAsia="zh-CN" w:bidi="ar-SA"/>
        </w:rPr>
        <w:t>科普</w:t>
      </w:r>
      <w:r>
        <w:rPr>
          <w:rFonts w:hint="eastAsia" w:ascii="仿宋_GB2312" w:hAnsi="仿宋_GB2312" w:eastAsia="仿宋_GB2312" w:cs="仿宋_GB2312"/>
          <w:kern w:val="0"/>
          <w:position w:val="0"/>
          <w:sz w:val="32"/>
          <w:szCs w:val="32"/>
          <w:lang w:val="en-US" w:eastAsia="zh-CN" w:bidi="ar-SA"/>
        </w:rPr>
        <w:t>专项经费128万元</w:t>
      </w:r>
      <w:r>
        <w:rPr>
          <w:rFonts w:hint="eastAsia" w:ascii="仿宋_GB2312" w:hAnsi="仿宋_GB2312" w:eastAsia="仿宋_GB2312" w:cs="仿宋_GB2312"/>
          <w:kern w:val="0"/>
          <w:position w:val="0"/>
          <w:sz w:val="32"/>
          <w:szCs w:val="32"/>
          <w:lang w:val="zh-CN" w:eastAsia="zh-CN" w:bidi="ar-SA"/>
        </w:rPr>
        <w:t>实施绩效情况自评汇报如下：</w:t>
      </w:r>
    </w:p>
    <w:p w14:paraId="06A5EA1F">
      <w:pPr>
        <w:spacing w:line="578" w:lineRule="exact"/>
        <w:ind w:firstLine="321" w:firstLineChars="100"/>
        <w:rPr>
          <w:rFonts w:hint="eastAsia" w:ascii="仿宋_GB2312" w:hAnsi="仿宋_GB2312" w:eastAsia="仿宋_GB2312" w:cs="仿宋_GB2312"/>
          <w:b/>
          <w:bCs/>
          <w:kern w:val="0"/>
          <w:position w:val="0"/>
          <w:sz w:val="32"/>
          <w:szCs w:val="32"/>
          <w:lang w:val="zh-CN" w:eastAsia="zh-CN" w:bidi="ar-SA"/>
        </w:rPr>
      </w:pPr>
      <w:r>
        <w:rPr>
          <w:rFonts w:hint="eastAsia" w:ascii="仿宋_GB2312" w:hAnsi="仿宋_GB2312" w:eastAsia="仿宋_GB2312" w:cs="仿宋_GB2312"/>
          <w:b/>
          <w:bCs/>
          <w:kern w:val="0"/>
          <w:position w:val="0"/>
          <w:sz w:val="32"/>
          <w:szCs w:val="32"/>
          <w:lang w:val="en-US" w:eastAsia="zh-CN" w:bidi="ar-SA"/>
        </w:rPr>
        <w:t>一、</w:t>
      </w:r>
      <w:r>
        <w:rPr>
          <w:rFonts w:hint="eastAsia" w:ascii="仿宋_GB2312" w:hAnsi="仿宋_GB2312" w:eastAsia="仿宋_GB2312" w:cs="仿宋_GB2312"/>
          <w:b/>
          <w:bCs/>
          <w:kern w:val="0"/>
          <w:position w:val="0"/>
          <w:sz w:val="32"/>
          <w:szCs w:val="32"/>
          <w:lang w:val="zh-CN" w:eastAsia="zh-CN" w:bidi="ar-SA"/>
        </w:rPr>
        <w:t>项目概况</w:t>
      </w:r>
    </w:p>
    <w:p w14:paraId="7D66DF3C">
      <w:pPr>
        <w:spacing w:line="578" w:lineRule="exact"/>
        <w:ind w:firstLine="643"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zh-CN" w:eastAsia="zh-CN" w:bidi="ar-SA"/>
        </w:rPr>
        <w:t>（一）设立背景及基本情况。</w:t>
      </w:r>
      <w:r>
        <w:rPr>
          <w:rFonts w:hint="eastAsia" w:ascii="仿宋_GB2312" w:hAnsi="仿宋_GB2312" w:eastAsia="仿宋_GB2312" w:cs="仿宋_GB2312"/>
          <w:kern w:val="0"/>
          <w:position w:val="0"/>
          <w:sz w:val="32"/>
          <w:szCs w:val="32"/>
          <w:lang w:val="zh-CN" w:eastAsia="zh-CN" w:bidi="ar-SA"/>
        </w:rPr>
        <w:t>州</w:t>
      </w:r>
      <w:r>
        <w:rPr>
          <w:rFonts w:hint="eastAsia" w:ascii="仿宋_GB2312" w:hAnsi="仿宋_GB2312" w:eastAsia="仿宋_GB2312" w:cs="仿宋_GB2312"/>
          <w:kern w:val="0"/>
          <w:position w:val="0"/>
          <w:sz w:val="32"/>
          <w:szCs w:val="32"/>
          <w:lang w:val="en-US" w:eastAsia="zh-CN" w:bidi="ar-SA"/>
        </w:rPr>
        <w:t>科协依据习近平总书记强调的科技创新、科学普及是实现创新发展的两翼，要把科学普及放在与科技创新同等重要的位置,以及《中华人民共和国科普法》、《全民科学素质行动规划纲要》。为贯彻落实习近平总书记重要指示精神和党中央决策部署，加强科学技术普及工作、提高公民科学文化素质、推动经济发展和社会进步，以及省委省政府州委、州政府制定了发展规划和重点工作任务。《四川省科协开展“天府科技云服务”总体方案》、各科室根据自身工作特点及围绕省科协重点项目天府科技云服务工作，向党组提交本年度项目任务并测算所需工作经费，经党组研究同意后，</w:t>
      </w:r>
      <w:r>
        <w:rPr>
          <w:rFonts w:hint="eastAsia" w:ascii="仿宋_GB2312" w:hAnsi="仿宋_GB2312" w:eastAsia="仿宋_GB2312" w:cs="仿宋_GB2312"/>
          <w:kern w:val="0"/>
          <w:position w:val="0"/>
          <w:sz w:val="32"/>
          <w:szCs w:val="32"/>
          <w:lang w:val="zh-CN" w:eastAsia="zh-CN" w:bidi="ar-SA"/>
        </w:rPr>
        <w:t>州科协设立了该年度项目任务。</w:t>
      </w:r>
      <w:r>
        <w:rPr>
          <w:rFonts w:hint="eastAsia" w:ascii="仿宋_GB2312" w:hAnsi="仿宋_GB2312" w:eastAsia="仿宋_GB2312" w:cs="仿宋_GB2312"/>
          <w:kern w:val="0"/>
          <w:position w:val="0"/>
          <w:sz w:val="32"/>
          <w:szCs w:val="32"/>
          <w:lang w:val="en-US" w:eastAsia="zh-CN" w:bidi="ar-SA"/>
        </w:rPr>
        <w:t>2024年凉山州财政局以凉财预〔2024〕8号文下达了州级科普专项经费128万元。我部门共设立7个子项目。州科协是科普专项资金项目组织和实施的主管单位，在该项目管理中具有审查、指导、验收、监管的职能。</w:t>
      </w:r>
    </w:p>
    <w:p w14:paraId="4F0629B3">
      <w:pPr>
        <w:spacing w:line="578" w:lineRule="exact"/>
        <w:ind w:firstLine="643" w:firstLineChars="200"/>
        <w:rPr>
          <w:rFonts w:hint="eastAsia" w:ascii="仿宋_GB2312" w:hAnsi="仿宋_GB2312" w:eastAsia="仿宋_GB2312" w:cs="仿宋_GB2312"/>
          <w:kern w:val="0"/>
          <w:position w:val="0"/>
          <w:sz w:val="32"/>
          <w:szCs w:val="32"/>
          <w:lang w:val="zh-CN" w:eastAsia="zh-CN" w:bidi="ar-SA"/>
        </w:rPr>
      </w:pPr>
      <w:r>
        <w:rPr>
          <w:rFonts w:hint="eastAsia" w:ascii="仿宋_GB2312" w:hAnsi="仿宋_GB2312" w:eastAsia="仿宋_GB2312" w:cs="仿宋_GB2312"/>
          <w:b/>
          <w:bCs/>
          <w:kern w:val="0"/>
          <w:position w:val="0"/>
          <w:sz w:val="32"/>
          <w:szCs w:val="32"/>
          <w:lang w:val="zh-CN" w:eastAsia="zh-CN" w:bidi="ar-SA"/>
        </w:rPr>
        <w:t>（二）</w:t>
      </w:r>
      <w:r>
        <w:rPr>
          <w:rFonts w:hint="eastAsia" w:ascii="仿宋_GB2312" w:hAnsi="仿宋_GB2312" w:eastAsia="仿宋_GB2312" w:cs="仿宋_GB2312"/>
          <w:b/>
          <w:bCs/>
          <w:kern w:val="0"/>
          <w:position w:val="0"/>
          <w:sz w:val="32"/>
          <w:szCs w:val="32"/>
          <w:lang w:val="en-US" w:eastAsia="zh-CN" w:bidi="ar-SA"/>
        </w:rPr>
        <w:t>实施目的及支持方向。</w:t>
      </w:r>
      <w:r>
        <w:rPr>
          <w:rFonts w:hint="eastAsia" w:ascii="仿宋_GB2312" w:hAnsi="仿宋_GB2312" w:eastAsia="仿宋_GB2312" w:cs="仿宋_GB2312"/>
          <w:kern w:val="0"/>
          <w:position w:val="0"/>
          <w:sz w:val="32"/>
          <w:szCs w:val="32"/>
          <w:lang w:val="en-US" w:eastAsia="zh-CN" w:bidi="ar-SA"/>
        </w:rPr>
        <w:t>州科协承担着全州科普宣传、学术交流、弘扬科学精神、维护科技工作者合法权益、青少年科技教育实践、提高全民科学素质、并紧扣“以科技创新为主线、以项目建设为载体、以服务“三农”为导向”，全力推进科普建设、科技创新，推动科技成果向现实生产力转化，为全州各级政府决策和科技工作者服务，充分发挥科技资源优势，助力乡村振兴。州科协要求所有科普项目资金，必须严格执行《四川省科普专项资金管理办法》（川财教〔2020〕83号）及配套科普专项资金管理办法和相关财务管理制度，按照预算绩效设定目标明细进行实施。项目预算支出执行中坚持专款专用，不互为挪用挤占、隐瞒、截留、虚支虚列等弄虚作假违法违规行为，做到全面完整真实反映经济业务、建立专账准确核算会计科目，公开、公正、公平、透明的使用每一笔专项资金，最大化促进资金使用率及工作绩效的提高。2024年州科协以“天府科技云服务”项目为中心，科普宣传为重点开展各项目工作任务。</w:t>
      </w:r>
    </w:p>
    <w:p w14:paraId="46DA40A7">
      <w:pPr>
        <w:spacing w:line="578" w:lineRule="exact"/>
        <w:ind w:firstLine="643" w:firstLineChars="200"/>
        <w:rPr>
          <w:rFonts w:hint="eastAsia" w:ascii="仿宋_GB2312" w:hAnsi="仿宋_GB2312" w:eastAsia="仿宋_GB2312" w:cs="仿宋_GB2312"/>
          <w:kern w:val="0"/>
          <w:position w:val="0"/>
          <w:sz w:val="32"/>
          <w:szCs w:val="32"/>
          <w:lang w:val="zh-CN" w:eastAsia="zh-CN" w:bidi="ar-SA"/>
        </w:rPr>
      </w:pPr>
      <w:r>
        <w:rPr>
          <w:rFonts w:hint="eastAsia" w:ascii="仿宋_GB2312" w:hAnsi="仿宋_GB2312" w:eastAsia="仿宋_GB2312" w:cs="仿宋_GB2312"/>
          <w:b/>
          <w:bCs/>
          <w:kern w:val="0"/>
          <w:position w:val="0"/>
          <w:sz w:val="32"/>
          <w:szCs w:val="32"/>
          <w:lang w:val="zh-CN" w:eastAsia="zh-CN" w:bidi="ar-SA"/>
        </w:rPr>
        <w:t>（三）</w:t>
      </w:r>
      <w:r>
        <w:rPr>
          <w:rFonts w:hint="eastAsia" w:ascii="仿宋_GB2312" w:hAnsi="仿宋_GB2312" w:eastAsia="仿宋_GB2312" w:cs="仿宋_GB2312"/>
          <w:b/>
          <w:bCs/>
          <w:kern w:val="0"/>
          <w:position w:val="0"/>
          <w:sz w:val="32"/>
          <w:szCs w:val="32"/>
          <w:lang w:val="en-US" w:eastAsia="zh-CN" w:bidi="ar-SA"/>
        </w:rPr>
        <w:t>预算安排及分配管理</w:t>
      </w:r>
      <w:r>
        <w:rPr>
          <w:rFonts w:hint="eastAsia" w:ascii="仿宋_GB2312" w:hAnsi="仿宋_GB2312" w:eastAsia="仿宋_GB2312" w:cs="仿宋_GB2312"/>
          <w:b/>
          <w:bCs/>
          <w:kern w:val="0"/>
          <w:position w:val="0"/>
          <w:sz w:val="32"/>
          <w:szCs w:val="32"/>
          <w:lang w:val="zh-CN" w:eastAsia="zh-CN" w:bidi="ar-SA"/>
        </w:rPr>
        <w:t>。</w:t>
      </w:r>
      <w:r>
        <w:rPr>
          <w:rFonts w:hint="eastAsia" w:ascii="仿宋_GB2312" w:hAnsi="仿宋_GB2312" w:eastAsia="仿宋_GB2312" w:cs="仿宋_GB2312"/>
          <w:kern w:val="0"/>
          <w:position w:val="0"/>
          <w:sz w:val="32"/>
          <w:szCs w:val="32"/>
          <w:lang w:val="zh-CN" w:eastAsia="zh-CN" w:bidi="ar-SA"/>
        </w:rPr>
        <w:t>州科协党组对2024年的州级科普项目资金分配原则，围绕省科协重点工作“天府科技云服务”为主线，结合各科室具体工作，统筹考虑、科学分配，共设立项目</w:t>
      </w:r>
      <w:r>
        <w:rPr>
          <w:rFonts w:hint="eastAsia" w:ascii="仿宋_GB2312" w:hAnsi="仿宋_GB2312" w:eastAsia="仿宋_GB2312" w:cs="仿宋_GB2312"/>
          <w:kern w:val="0"/>
          <w:position w:val="0"/>
          <w:sz w:val="32"/>
          <w:szCs w:val="32"/>
          <w:lang w:val="en-US" w:eastAsia="zh-CN" w:bidi="ar-SA"/>
        </w:rPr>
        <w:t>7个，分别为公共服务及基础设施运行保障等经费57.3万元；“天府科技云服务”日常运维补助经费14万元；学会能力提升计划21万元；院士（专家）工作站及企事业科协组织建设7万元；青少年科技创新教育活动8.7万元；农技协科普宣传培训15万元；乡村振兴科普宣传培训5万元；共计128万元。并</w:t>
      </w:r>
      <w:r>
        <w:rPr>
          <w:rFonts w:hint="eastAsia" w:ascii="仿宋_GB2312" w:hAnsi="仿宋_GB2312" w:eastAsia="仿宋_GB2312" w:cs="仿宋_GB2312"/>
          <w:kern w:val="0"/>
          <w:position w:val="0"/>
          <w:sz w:val="32"/>
          <w:szCs w:val="32"/>
          <w:lang w:val="zh-CN" w:eastAsia="zh-CN" w:bidi="ar-SA"/>
        </w:rPr>
        <w:t>报纪检组备案。州科协以“关于</w:t>
      </w:r>
      <w:r>
        <w:rPr>
          <w:rFonts w:hint="eastAsia" w:ascii="仿宋_GB2312" w:hAnsi="仿宋_GB2312" w:eastAsia="仿宋_GB2312" w:cs="仿宋_GB2312"/>
          <w:kern w:val="0"/>
          <w:position w:val="0"/>
          <w:sz w:val="32"/>
          <w:szCs w:val="32"/>
          <w:lang w:val="en-US" w:eastAsia="zh-CN" w:bidi="ar-SA"/>
        </w:rPr>
        <w:t>2024年度州本级科普经费预算安排的通知</w:t>
      </w:r>
      <w:r>
        <w:rPr>
          <w:rFonts w:hint="eastAsia" w:ascii="仿宋_GB2312" w:hAnsi="仿宋_GB2312" w:eastAsia="仿宋_GB2312" w:cs="仿宋_GB2312"/>
          <w:kern w:val="0"/>
          <w:position w:val="0"/>
          <w:sz w:val="32"/>
          <w:szCs w:val="32"/>
          <w:lang w:val="zh-CN" w:eastAsia="zh-CN" w:bidi="ar-SA"/>
        </w:rPr>
        <w:t>”（凉科协〔</w:t>
      </w:r>
      <w:r>
        <w:rPr>
          <w:rFonts w:hint="eastAsia" w:ascii="仿宋_GB2312" w:hAnsi="仿宋_GB2312" w:eastAsia="仿宋_GB2312" w:cs="仿宋_GB2312"/>
          <w:kern w:val="0"/>
          <w:position w:val="0"/>
          <w:sz w:val="32"/>
          <w:szCs w:val="32"/>
          <w:lang w:val="en-US" w:eastAsia="zh-CN" w:bidi="ar-SA"/>
        </w:rPr>
        <w:t>2024</w:t>
      </w:r>
      <w:r>
        <w:rPr>
          <w:rFonts w:hint="eastAsia" w:ascii="仿宋_GB2312" w:hAnsi="仿宋_GB2312" w:eastAsia="仿宋_GB2312" w:cs="仿宋_GB2312"/>
          <w:kern w:val="0"/>
          <w:position w:val="0"/>
          <w:sz w:val="32"/>
          <w:szCs w:val="32"/>
          <w:lang w:val="zh-CN" w:eastAsia="zh-CN" w:bidi="ar-SA"/>
        </w:rPr>
        <w:t>〕</w:t>
      </w:r>
      <w:r>
        <w:rPr>
          <w:rFonts w:hint="eastAsia" w:ascii="仿宋_GB2312" w:hAnsi="仿宋_GB2312" w:eastAsia="仿宋_GB2312" w:cs="仿宋_GB2312"/>
          <w:kern w:val="0"/>
          <w:position w:val="0"/>
          <w:sz w:val="32"/>
          <w:szCs w:val="32"/>
          <w:lang w:val="en-US" w:eastAsia="zh-CN" w:bidi="ar-SA"/>
        </w:rPr>
        <w:t>18号</w:t>
      </w:r>
      <w:r>
        <w:rPr>
          <w:rFonts w:hint="eastAsia" w:ascii="仿宋_GB2312" w:hAnsi="仿宋_GB2312" w:eastAsia="仿宋_GB2312" w:cs="仿宋_GB2312"/>
          <w:kern w:val="0"/>
          <w:position w:val="0"/>
          <w:sz w:val="32"/>
          <w:szCs w:val="32"/>
          <w:lang w:val="zh-CN" w:eastAsia="zh-CN" w:bidi="ar-SA"/>
        </w:rPr>
        <w:t>）正式下达经费，要求各项目组严格按照年初预算安排推进各项工作，确保年度圆满完成任务。</w:t>
      </w:r>
    </w:p>
    <w:p w14:paraId="0AFD8FA2">
      <w:pPr>
        <w:spacing w:line="578" w:lineRule="exact"/>
        <w:ind w:firstLine="643" w:firstLineChars="200"/>
        <w:rPr>
          <w:rFonts w:hint="eastAsia" w:ascii="仿宋_GB2312" w:hAnsi="仿宋_GB2312" w:eastAsia="仿宋_GB2312" w:cs="仿宋_GB2312"/>
          <w:kern w:val="0"/>
          <w:position w:val="0"/>
          <w:sz w:val="32"/>
          <w:szCs w:val="32"/>
          <w:lang w:val="zh-CN" w:eastAsia="zh-CN" w:bidi="ar-SA"/>
        </w:rPr>
      </w:pPr>
      <w:r>
        <w:rPr>
          <w:rFonts w:hint="eastAsia" w:ascii="仿宋_GB2312" w:hAnsi="仿宋_GB2312" w:eastAsia="仿宋_GB2312" w:cs="仿宋_GB2312"/>
          <w:b/>
          <w:bCs/>
          <w:kern w:val="0"/>
          <w:position w:val="0"/>
          <w:sz w:val="32"/>
          <w:szCs w:val="32"/>
          <w:lang w:val="zh-CN" w:eastAsia="zh-CN" w:bidi="ar-SA"/>
        </w:rPr>
        <w:t>（四）项目绩效目标设置。</w:t>
      </w:r>
      <w:r>
        <w:rPr>
          <w:rFonts w:hint="eastAsia" w:ascii="仿宋_GB2312" w:hAnsi="仿宋_GB2312" w:eastAsia="仿宋_GB2312" w:cs="仿宋_GB2312"/>
          <w:kern w:val="0"/>
          <w:position w:val="0"/>
          <w:sz w:val="32"/>
          <w:szCs w:val="32"/>
          <w:lang w:val="zh-CN" w:eastAsia="zh-CN" w:bidi="ar-SA"/>
        </w:rPr>
        <w:t>州科协围绕省级重点项目工作“天府科技云服务”，开展科学技术普及、传播、科普资源开发、公民素质提升等工作任务为整体体目标，该目标在年初预算时即设定了绩效目标。州科协在项目决策和实施方面坚持“资金跟着项目走、项目跟着决策走”的理念，各项目组在接到通知后立即对本科室承担的项目开展自评。此次自评按照年初绩效目标设定，认真梳理年度项目工作完成情况，填写了《专项预算项目绩效自评打分表》、《专项预算项目绩效目标完成情况自评表》并撰写《专项预算项目绩效评价报告》，查找差距，为下一年项目申报绩效目标设置打下良好基础。</w:t>
      </w:r>
    </w:p>
    <w:p w14:paraId="0F98037E">
      <w:pPr>
        <w:spacing w:line="578" w:lineRule="exact"/>
        <w:ind w:firstLine="321" w:firstLineChars="100"/>
        <w:rPr>
          <w:rFonts w:hint="eastAsia" w:ascii="仿宋_GB2312" w:hAnsi="仿宋_GB2312" w:eastAsia="仿宋_GB2312" w:cs="仿宋_GB2312"/>
          <w:b/>
          <w:bCs/>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en-US" w:eastAsia="zh-CN" w:bidi="ar-SA"/>
        </w:rPr>
        <w:t>二、评价实施</w:t>
      </w:r>
    </w:p>
    <w:p w14:paraId="481B769E">
      <w:pPr>
        <w:spacing w:line="578" w:lineRule="exact"/>
        <w:ind w:firstLine="643"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zh-CN" w:eastAsia="zh-CN" w:bidi="ar-SA"/>
        </w:rPr>
        <w:t>（一）评价目的。</w:t>
      </w:r>
      <w:r>
        <w:rPr>
          <w:rFonts w:hint="eastAsia" w:ascii="仿宋_GB2312" w:hAnsi="仿宋_GB2312" w:eastAsia="仿宋_GB2312" w:cs="仿宋_GB2312"/>
          <w:kern w:val="0"/>
          <w:position w:val="0"/>
          <w:sz w:val="32"/>
          <w:szCs w:val="32"/>
          <w:lang w:val="en-US" w:eastAsia="zh-CN" w:bidi="ar-SA"/>
        </w:rPr>
        <w:t>通过本次项目绩效自评，了解资金使用是否达到了预期目标、资金管理是否规范、资金使用是否有效，检验资金支出效率和效果，分析存在的问题及原因，及时总结经验，改进管理措施，提高资金管理水平和使用效率。</w:t>
      </w:r>
    </w:p>
    <w:p w14:paraId="1A22FBE5">
      <w:pPr>
        <w:spacing w:line="578" w:lineRule="exact"/>
        <w:ind w:firstLine="643"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zh-CN" w:eastAsia="zh-CN" w:bidi="ar-SA"/>
        </w:rPr>
        <w:t>（二）预设问题及评价重点。</w:t>
      </w:r>
      <w:r>
        <w:rPr>
          <w:rFonts w:hint="eastAsia" w:ascii="仿宋_GB2312" w:hAnsi="仿宋_GB2312" w:eastAsia="仿宋_GB2312" w:cs="仿宋_GB2312"/>
          <w:kern w:val="0"/>
          <w:position w:val="0"/>
          <w:sz w:val="32"/>
          <w:szCs w:val="32"/>
          <w:lang w:val="en-US" w:eastAsia="zh-CN" w:bidi="ar-SA"/>
        </w:rPr>
        <w:t>从自评情况可见，州本级对项目的管理严谨、严格执行《四川省科普专项资金管理办法》（川财教〔2020〕83号）以及各县市地方配套科普专项资金管理办法和相关财务管理制度，认真贯彻“用钱必问效、无效必问责”的财政资金绩效管理原则，党组按照财政要求将绩效管理的理念贯穿于项目的事前、事中、事后。党组要求项目组要事前进行调研，掌握必要的基本情况，便于党组制定项目决策；事中加强实地考察以指导项目不偏离预期计划；事后组织对项目进行验收，确保项目实现目标。因此相关管理制度机制健全、组织程序完善。本次评价重点在于项目实施情况、资金使用情况及绩效目标完成情况。</w:t>
      </w:r>
    </w:p>
    <w:p w14:paraId="565A639B">
      <w:pPr>
        <w:spacing w:line="578" w:lineRule="exact"/>
        <w:ind w:firstLine="643" w:firstLineChars="200"/>
        <w:rPr>
          <w:rFonts w:hint="eastAsia" w:ascii="仿宋_GB2312" w:hAnsi="仿宋_GB2312" w:eastAsia="仿宋_GB2312" w:cs="仿宋_GB2312"/>
          <w:kern w:val="0"/>
          <w:position w:val="0"/>
          <w:sz w:val="32"/>
          <w:szCs w:val="32"/>
          <w:lang w:val="zh-CN" w:eastAsia="zh-CN" w:bidi="ar-SA"/>
        </w:rPr>
      </w:pPr>
      <w:r>
        <w:rPr>
          <w:rFonts w:hint="eastAsia" w:ascii="仿宋_GB2312" w:hAnsi="仿宋_GB2312" w:eastAsia="仿宋_GB2312" w:cs="仿宋_GB2312"/>
          <w:b/>
          <w:bCs/>
          <w:kern w:val="0"/>
          <w:position w:val="0"/>
          <w:sz w:val="32"/>
          <w:szCs w:val="32"/>
          <w:lang w:val="zh-CN" w:eastAsia="zh-CN" w:bidi="ar-SA"/>
        </w:rPr>
        <w:t>（三）评价选点。</w:t>
      </w:r>
      <w:r>
        <w:rPr>
          <w:rFonts w:hint="eastAsia" w:ascii="仿宋_GB2312" w:hAnsi="仿宋_GB2312" w:eastAsia="仿宋_GB2312" w:cs="仿宋_GB2312"/>
          <w:kern w:val="0"/>
          <w:position w:val="0"/>
          <w:sz w:val="32"/>
          <w:szCs w:val="32"/>
          <w:lang w:val="zh-CN" w:eastAsia="zh-CN" w:bidi="ar-SA"/>
        </w:rPr>
        <w:t>本次项目绩效自评采取所有项目资金全覆盖，聚焦专项资金使用“最小单元”，督促各项目组开展绩效自评工作。</w:t>
      </w:r>
    </w:p>
    <w:p w14:paraId="169E7FF5">
      <w:pPr>
        <w:spacing w:line="578" w:lineRule="exact"/>
        <w:ind w:firstLine="643"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zh-CN" w:eastAsia="zh-CN" w:bidi="ar-SA"/>
        </w:rPr>
        <w:t>（四）评价方法。</w:t>
      </w:r>
      <w:r>
        <w:rPr>
          <w:rFonts w:hint="eastAsia" w:ascii="仿宋_GB2312" w:hAnsi="仿宋_GB2312" w:eastAsia="仿宋_GB2312" w:cs="仿宋_GB2312"/>
          <w:kern w:val="0"/>
          <w:position w:val="0"/>
          <w:sz w:val="32"/>
          <w:szCs w:val="32"/>
          <w:lang w:val="en-US" w:eastAsia="zh-CN" w:bidi="ar-SA"/>
        </w:rPr>
        <w:t>本次项目绩效自评评价方法采取单位自评法。</w:t>
      </w:r>
    </w:p>
    <w:p w14:paraId="3CA6691A">
      <w:pPr>
        <w:spacing w:line="578" w:lineRule="exact"/>
        <w:ind w:firstLine="640"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zh-CN" w:eastAsia="zh-CN" w:bidi="ar-SA"/>
        </w:rPr>
        <w:t>（</w:t>
      </w:r>
      <w:r>
        <w:rPr>
          <w:rFonts w:hint="eastAsia" w:ascii="仿宋_GB2312" w:hAnsi="仿宋_GB2312" w:eastAsia="仿宋_GB2312" w:cs="仿宋_GB2312"/>
          <w:b/>
          <w:bCs/>
          <w:kern w:val="0"/>
          <w:position w:val="0"/>
          <w:sz w:val="32"/>
          <w:szCs w:val="32"/>
          <w:lang w:val="zh-CN" w:eastAsia="zh-CN" w:bidi="ar-SA"/>
        </w:rPr>
        <w:t>五）评价组织。</w:t>
      </w:r>
      <w:r>
        <w:rPr>
          <w:rFonts w:hint="eastAsia" w:ascii="仿宋_GB2312" w:hAnsi="仿宋_GB2312" w:eastAsia="仿宋_GB2312" w:cs="仿宋_GB2312"/>
          <w:kern w:val="0"/>
          <w:position w:val="0"/>
          <w:sz w:val="32"/>
          <w:szCs w:val="32"/>
          <w:lang w:val="en-US" w:eastAsia="zh-CN" w:bidi="ar-SA"/>
        </w:rPr>
        <w:t>收到《凉山州财政局关于开展全州财政支出绩效评价工作的通知》（凉财绩效〔2025〕5号）文件精神及要求，州科协党组高度重视，组织职工认真学习领会文件精神。秉承“谁用钱，谁负责”的原则，把此项任务落实到每个科室项目组，压实工作责任。</w:t>
      </w:r>
    </w:p>
    <w:p w14:paraId="76008E4C">
      <w:pPr>
        <w:spacing w:line="578" w:lineRule="exact"/>
        <w:ind w:firstLine="321" w:firstLineChars="100"/>
        <w:rPr>
          <w:rFonts w:hint="eastAsia" w:ascii="仿宋_GB2312" w:hAnsi="仿宋_GB2312" w:eastAsia="仿宋_GB2312" w:cs="仿宋_GB2312"/>
          <w:b/>
          <w:bCs/>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en-US" w:eastAsia="zh-CN" w:bidi="ar-SA"/>
        </w:rPr>
        <w:t>三、绩效分析</w:t>
      </w:r>
      <w:r>
        <w:rPr>
          <w:rFonts w:hint="eastAsia" w:ascii="仿宋_GB2312" w:hAnsi="仿宋_GB2312" w:eastAsia="仿宋_GB2312" w:cs="仿宋_GB2312"/>
          <w:b/>
          <w:bCs/>
          <w:kern w:val="0"/>
          <w:position w:val="0"/>
          <w:sz w:val="32"/>
          <w:szCs w:val="32"/>
          <w:lang w:val="zh-CN" w:eastAsia="zh-CN" w:bidi="ar-SA"/>
        </w:rPr>
        <w:tab/>
      </w:r>
    </w:p>
    <w:p w14:paraId="7A0B0CEE">
      <w:pPr>
        <w:spacing w:line="578" w:lineRule="exact"/>
        <w:ind w:firstLine="321" w:firstLineChars="1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zh-CN" w:eastAsia="zh-CN" w:bidi="ar-SA"/>
        </w:rPr>
        <w:t>（一）</w:t>
      </w:r>
      <w:r>
        <w:rPr>
          <w:rFonts w:hint="eastAsia" w:ascii="仿宋_GB2312" w:hAnsi="仿宋_GB2312" w:eastAsia="仿宋_GB2312" w:cs="仿宋_GB2312"/>
          <w:b/>
          <w:bCs/>
          <w:kern w:val="0"/>
          <w:position w:val="0"/>
          <w:sz w:val="32"/>
          <w:szCs w:val="32"/>
          <w:lang w:val="en-US" w:eastAsia="zh-CN" w:bidi="ar-SA"/>
        </w:rPr>
        <w:t>通用指标</w:t>
      </w:r>
      <w:r>
        <w:rPr>
          <w:rFonts w:hint="eastAsia" w:ascii="仿宋_GB2312" w:hAnsi="仿宋_GB2312" w:eastAsia="仿宋_GB2312" w:cs="仿宋_GB2312"/>
          <w:b/>
          <w:bCs/>
          <w:kern w:val="0"/>
          <w:position w:val="0"/>
          <w:sz w:val="32"/>
          <w:szCs w:val="32"/>
          <w:lang w:val="zh-CN" w:eastAsia="zh-CN" w:bidi="ar-SA"/>
        </w:rPr>
        <w:t>绩效分析。</w:t>
      </w:r>
      <w:r>
        <w:rPr>
          <w:rFonts w:hint="eastAsia" w:ascii="仿宋_GB2312" w:hAnsi="仿宋_GB2312" w:eastAsia="仿宋_GB2312" w:cs="仿宋_GB2312"/>
          <w:kern w:val="0"/>
          <w:position w:val="0"/>
          <w:sz w:val="32"/>
          <w:szCs w:val="32"/>
          <w:lang w:val="zh-CN" w:eastAsia="zh-CN" w:bidi="ar-SA"/>
        </w:rPr>
        <w:t>自评得分53分。</w:t>
      </w:r>
    </w:p>
    <w:p w14:paraId="23FD1D72">
      <w:pPr>
        <w:spacing w:line="578" w:lineRule="exact"/>
        <w:ind w:firstLine="643"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en-US" w:eastAsia="zh-CN" w:bidi="ar-SA"/>
        </w:rPr>
        <w:t>1.项目决策。</w:t>
      </w:r>
      <w:r>
        <w:rPr>
          <w:rFonts w:hint="eastAsia" w:ascii="仿宋_GB2312" w:hAnsi="仿宋_GB2312" w:eastAsia="仿宋_GB2312" w:cs="仿宋_GB2312"/>
          <w:kern w:val="0"/>
          <w:position w:val="0"/>
          <w:sz w:val="32"/>
          <w:szCs w:val="32"/>
          <w:lang w:val="zh-CN" w:eastAsia="zh-CN" w:bidi="ar-SA"/>
        </w:rPr>
        <w:t>在专项资金的分配上，州科协在接到州财政局年度预算通知后，即刻组织各办公室、各项州委、州政府目组进行分配安排。州科协党组按照省科协的重点项目计划和重点工作安排，结合各项目组申报年度工作计划，逐级逐项进行分配，将分配结果报备纪检组。并要求项目资金使用科室按照要求</w:t>
      </w:r>
      <w:r>
        <w:rPr>
          <w:rFonts w:hint="eastAsia" w:ascii="仿宋_GB2312" w:hAnsi="仿宋_GB2312" w:eastAsia="仿宋_GB2312" w:cs="仿宋_GB2312"/>
          <w:kern w:val="0"/>
          <w:position w:val="0"/>
          <w:sz w:val="32"/>
          <w:szCs w:val="32"/>
          <w:lang w:val="en-US" w:eastAsia="zh-CN" w:bidi="ar-SA"/>
        </w:rPr>
        <w:t>提供明确项目立项依据和目的、</w:t>
      </w:r>
      <w:r>
        <w:rPr>
          <w:rFonts w:hint="eastAsia" w:ascii="仿宋_GB2312" w:hAnsi="仿宋_GB2312" w:eastAsia="仿宋_GB2312" w:cs="仿宋_GB2312"/>
          <w:kern w:val="0"/>
          <w:position w:val="0"/>
          <w:sz w:val="32"/>
          <w:szCs w:val="32"/>
          <w:lang w:val="zh-CN" w:eastAsia="zh-CN" w:bidi="ar-SA"/>
        </w:rPr>
        <w:t>项目主要内容、项目绩效目标及预期成果、项目实施条件、项目执行进度及阶段目标等，严格划分资金</w:t>
      </w:r>
      <w:r>
        <w:rPr>
          <w:rFonts w:hint="eastAsia" w:ascii="仿宋_GB2312" w:hAnsi="仿宋_GB2312" w:eastAsia="仿宋_GB2312" w:cs="仿宋_GB2312"/>
          <w:kern w:val="0"/>
          <w:position w:val="0"/>
          <w:sz w:val="32"/>
          <w:szCs w:val="32"/>
          <w:lang w:val="en-US" w:eastAsia="zh-CN" w:bidi="ar-SA"/>
        </w:rPr>
        <w:t>使用科室的责、权、利，最大限度提高项目资金的使用效率。</w:t>
      </w:r>
      <w:r>
        <w:rPr>
          <w:rFonts w:hint="eastAsia" w:ascii="仿宋_GB2312" w:hAnsi="仿宋_GB2312" w:eastAsia="仿宋_GB2312" w:cs="仿宋_GB2312"/>
          <w:kern w:val="0"/>
          <w:position w:val="0"/>
          <w:sz w:val="32"/>
          <w:szCs w:val="32"/>
          <w:lang w:val="zh-CN" w:eastAsia="zh-CN" w:bidi="ar-SA"/>
        </w:rPr>
        <w:t>分配依据科学充分、审批程序完整严谨，项目决策透明。故自评得分18分。</w:t>
      </w:r>
    </w:p>
    <w:p w14:paraId="647F75E2">
      <w:pPr>
        <w:spacing w:line="578" w:lineRule="exact"/>
        <w:ind w:firstLine="643"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en-US" w:eastAsia="zh-CN" w:bidi="ar-SA"/>
        </w:rPr>
        <w:t>2.项目管理。</w:t>
      </w:r>
      <w:r>
        <w:rPr>
          <w:rFonts w:hint="eastAsia" w:ascii="仿宋_GB2312" w:hAnsi="仿宋_GB2312" w:eastAsia="仿宋_GB2312" w:cs="仿宋_GB2312"/>
          <w:kern w:val="0"/>
          <w:position w:val="0"/>
          <w:sz w:val="32"/>
          <w:szCs w:val="32"/>
          <w:lang w:val="zh-CN" w:eastAsia="zh-CN" w:bidi="ar-SA"/>
        </w:rPr>
        <w:t>州科协</w:t>
      </w:r>
      <w:r>
        <w:rPr>
          <w:rFonts w:hint="eastAsia" w:ascii="仿宋_GB2312" w:hAnsi="仿宋_GB2312" w:eastAsia="仿宋_GB2312" w:cs="仿宋_GB2312"/>
          <w:kern w:val="0"/>
          <w:position w:val="0"/>
          <w:sz w:val="32"/>
          <w:szCs w:val="32"/>
          <w:lang w:val="en-US" w:eastAsia="zh-CN" w:bidi="ar-SA"/>
        </w:rPr>
        <w:t>对</w:t>
      </w:r>
      <w:r>
        <w:rPr>
          <w:rFonts w:hint="eastAsia" w:ascii="仿宋_GB2312" w:hAnsi="仿宋_GB2312" w:eastAsia="仿宋_GB2312" w:cs="仿宋_GB2312"/>
          <w:kern w:val="0"/>
          <w:position w:val="0"/>
          <w:sz w:val="32"/>
          <w:szCs w:val="32"/>
          <w:lang w:val="zh-CN" w:eastAsia="zh-CN" w:bidi="ar-SA"/>
        </w:rPr>
        <w:t>项目的管理严谨，</w:t>
      </w:r>
      <w:r>
        <w:rPr>
          <w:rFonts w:hint="eastAsia" w:ascii="仿宋_GB2312" w:hAnsi="仿宋_GB2312" w:eastAsia="仿宋_GB2312" w:cs="仿宋_GB2312"/>
          <w:kern w:val="0"/>
          <w:position w:val="0"/>
          <w:sz w:val="32"/>
          <w:szCs w:val="32"/>
          <w:lang w:val="en-US" w:eastAsia="zh-CN" w:bidi="ar-SA"/>
        </w:rPr>
        <w:t>严格执行《四川省科普专项资金管理办法》（川财教〔2020〕83号）、《凉山州科技计划项目专项资金管理办法》（凉财规〔2020〕2号）以及各县市地方配套科普专项资金管理办法和相关财务管理制度，</w:t>
      </w:r>
      <w:r>
        <w:rPr>
          <w:rFonts w:hint="eastAsia" w:ascii="仿宋_GB2312" w:hAnsi="仿宋_GB2312" w:eastAsia="仿宋_GB2312" w:cs="仿宋_GB2312"/>
          <w:kern w:val="0"/>
          <w:position w:val="0"/>
          <w:sz w:val="32"/>
          <w:szCs w:val="32"/>
          <w:lang w:val="zh-CN" w:eastAsia="zh-CN" w:bidi="ar-SA"/>
        </w:rPr>
        <w:t>认真贯彻“用钱必问效、无效必问责”的绩效管理原则，党组</w:t>
      </w:r>
      <w:r>
        <w:rPr>
          <w:rFonts w:hint="eastAsia" w:ascii="仿宋_GB2312" w:hAnsi="仿宋_GB2312" w:eastAsia="仿宋_GB2312" w:cs="仿宋_GB2312"/>
          <w:kern w:val="0"/>
          <w:position w:val="0"/>
          <w:sz w:val="32"/>
          <w:szCs w:val="32"/>
          <w:lang w:val="en-US" w:eastAsia="zh-CN" w:bidi="ar-SA"/>
        </w:rPr>
        <w:t>按照财政要求将绩效管理的理念贯穿于项目的事前、事中、事后。</w:t>
      </w:r>
      <w:r>
        <w:rPr>
          <w:rFonts w:hint="eastAsia" w:ascii="仿宋_GB2312" w:hAnsi="仿宋_GB2312" w:eastAsia="仿宋_GB2312" w:cs="仿宋_GB2312"/>
          <w:kern w:val="0"/>
          <w:position w:val="0"/>
          <w:sz w:val="32"/>
          <w:szCs w:val="32"/>
          <w:lang w:val="zh-CN" w:eastAsia="zh-CN" w:bidi="ar-SA"/>
        </w:rPr>
        <w:t>故自评得分18分。</w:t>
      </w:r>
    </w:p>
    <w:p w14:paraId="39A0C83D">
      <w:pPr>
        <w:spacing w:line="578" w:lineRule="exact"/>
        <w:ind w:firstLine="643"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en-US" w:eastAsia="zh-CN" w:bidi="ar-SA"/>
        </w:rPr>
        <w:t>3.项目实施。</w:t>
      </w:r>
      <w:r>
        <w:rPr>
          <w:rFonts w:hint="eastAsia" w:ascii="仿宋_GB2312" w:hAnsi="仿宋_GB2312" w:eastAsia="仿宋_GB2312" w:cs="仿宋_GB2312"/>
          <w:kern w:val="0"/>
          <w:position w:val="0"/>
          <w:sz w:val="32"/>
          <w:szCs w:val="32"/>
          <w:lang w:val="en-US" w:eastAsia="zh-CN" w:bidi="ar-SA"/>
        </w:rPr>
        <w:t>各项目组按照年初申报的阶段目标有序开展工作。年度完成了科普月活动，完成盐源、木里科技馆筹备及冕宁流动科技馆布展，前往德昌、喜德科协等地调研天府科技云等工作；参加省委党校、省科协及州委相关部门业务培训，参与县市科协换届大会、代表大会；完成森林草原防灭火督导调研；完成创文相关工作；完成档案整理数字化建设。完成了“天府科技云服务”信息收集、技术维护、咨询解答、供需精准对接等。完成了“菁英计划”、院士（专家）工作站评审系列工作。实施举办了凉山州第39届青少年科技创新初赛、遴选科技创新作品参加省赛、组织开展了青少年科学调查体验活动、青少年科学影像节、高校科学营等系列活动。农技协实施了</w:t>
      </w:r>
      <w:r>
        <w:rPr>
          <w:rFonts w:hint="eastAsia" w:ascii="仿宋_GB2312" w:hAnsi="仿宋_GB2312" w:eastAsia="仿宋_GB2312" w:cs="仿宋_GB2312"/>
          <w:kern w:val="0"/>
          <w:position w:val="0"/>
          <w:sz w:val="32"/>
          <w:szCs w:val="32"/>
          <w:lang w:val="zh-CN" w:eastAsia="zh-CN" w:bidi="ar-SA"/>
        </w:rPr>
        <w:t>科普宣传品印制发放、食用菌栽培冷藏技术、松露根苗仿生保育促繁技术、专业人员乡村振兴交流观摩、农技协高质量发展培训等活动。乡村振兴</w:t>
      </w:r>
      <w:r>
        <w:rPr>
          <w:rFonts w:hint="eastAsia" w:ascii="仿宋_GB2312" w:hAnsi="仿宋_GB2312" w:eastAsia="仿宋_GB2312" w:cs="仿宋_GB2312"/>
          <w:kern w:val="0"/>
          <w:position w:val="0"/>
          <w:sz w:val="32"/>
          <w:szCs w:val="32"/>
          <w:lang w:val="en-US" w:eastAsia="zh-CN" w:bidi="ar-SA"/>
        </w:rPr>
        <w:t>驻村工作队牵头完成村民生产生活水平，促进乡村经济发展和文明进步调研等、举办养殖技术培训2次（捐赠鸡苗800只）、移风易俗科普活动1次（捐赠不锈钢盆2100个,不锈钢碗2900个，不锈钢勺2900个）。由于存在项目前期支付较缓慢，故自评扣分1分、得分8分。</w:t>
      </w:r>
    </w:p>
    <w:p w14:paraId="7CFD7EA2">
      <w:pPr>
        <w:spacing w:line="578" w:lineRule="exact"/>
        <w:ind w:firstLine="643"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en-US" w:eastAsia="zh-CN" w:bidi="ar-SA"/>
        </w:rPr>
        <w:t>4.项目结果。</w:t>
      </w:r>
      <w:r>
        <w:rPr>
          <w:rFonts w:hint="eastAsia" w:ascii="仿宋_GB2312" w:hAnsi="仿宋_GB2312" w:eastAsia="仿宋_GB2312" w:cs="仿宋_GB2312"/>
          <w:kern w:val="0"/>
          <w:position w:val="0"/>
          <w:sz w:val="32"/>
          <w:szCs w:val="32"/>
          <w:lang w:val="en-US" w:eastAsia="zh-CN" w:bidi="ar-SA"/>
        </w:rPr>
        <w:t>按照年初项目计划，有序开展各项工作，并达到预期的绩效目标。其中⑴公共服务及基础设施运行保障，通过科普月活动，盐源、木里科技馆筹备及冕宁流动科技馆布展，前往德昌、喜德等调研天府科技云等工作；组织人员参加省委党校、省科协及州委相关部门业务培训，参与县市科协换届大会、代表大会；完成森林草原防灭火督导调研；完成创文相关工作；完成档案整理数字化建设；出版发行4期《凉山科学发展》期刊等，提升了工作人员业务能力，提高公众科学素养，降低森林草原火灾风险，创文工作改善区域环境，数字化档案提高科技资料利用效率；⑵“天府科技云服务”日常运维补助经费。完成信息收集、技术维护、咨询解答等，实现了供需精准对接，整体工作考评在全省科协系统名列前茅；⑶学会能力提升计划。年初开展了对全州17县市科技工作者进行慰问，大力宣传科技工作者先进事迹，营造尊重人才、崇尚科学的氛围。向州农学会、药学会、营养学会、州应急安全科技协会、生态摄影协会、农村专业技术协会等10个协会学会实施了学会能力提升计划，打造重点学会协会，努力提升学术交流、科技创新与服务能力；⑷院士（专家）工作站及企事业科协组织建设。通过向州委组织部人才办推荐杰出科技工作者候选人选，最终评选出唐廷茂、杨世忠、王友富、严光文、邹敏 5人为“菁英成长计划”凉山杰出科技工作者，</w:t>
      </w:r>
      <w:r>
        <w:rPr>
          <w:rFonts w:hint="eastAsia" w:ascii="仿宋_GB2312" w:hAnsi="仿宋_GB2312" w:eastAsia="仿宋_GB2312" w:cs="仿宋_GB2312"/>
          <w:kern w:val="0"/>
          <w:position w:val="0"/>
          <w:sz w:val="32"/>
          <w:szCs w:val="32"/>
          <w:lang w:val="zh-CN" w:eastAsia="zh-CN" w:bidi="ar-SA"/>
        </w:rPr>
        <w:t>激励科技工作者为我州科技发展做出更大贡献</w:t>
      </w:r>
      <w:r>
        <w:rPr>
          <w:rFonts w:hint="eastAsia" w:ascii="仿宋_GB2312" w:hAnsi="仿宋_GB2312" w:eastAsia="仿宋_GB2312" w:cs="仿宋_GB2312"/>
          <w:kern w:val="0"/>
          <w:position w:val="0"/>
          <w:sz w:val="32"/>
          <w:szCs w:val="32"/>
          <w:lang w:val="en-US" w:eastAsia="zh-CN" w:bidi="ar-SA"/>
        </w:rPr>
        <w:t>。开展州级院士（专家）工作站评审，最终确定攀钢集团西昌钒制品科技有限公司、凉山新鑫中药饮片有限公司、西昌新希望三牧乳业有限公司为凉山州第八批院士（专家）工作站建站单位。通过在我州重点行业、重点区域开展院士（专家）工作站建设，引导和支持各县（市）围绕各地支柱产业和主导产业，建立一批各具特色的院士（专家）工作站，促进技术攻关和科技成果转移转化，助推凉山经济高质量发展；⑸青少年科技创新教育活动。通过开展青少年科技创新大赛、青少年科学影像节、高校科学营等系列活动，多渠道多形式向广大青少年展示科技成就、传播科学知识，培养科学兴趣，激发科学梦想，培养造就具有科学潜质的青少年，推动公民素质整体提高，实现可持续发展社会效益；⑹农技协科普宣传培训。通过实施</w:t>
      </w:r>
      <w:r>
        <w:rPr>
          <w:rFonts w:hint="eastAsia" w:ascii="仿宋_GB2312" w:hAnsi="仿宋_GB2312" w:eastAsia="仿宋_GB2312" w:cs="仿宋_GB2312"/>
          <w:kern w:val="0"/>
          <w:position w:val="0"/>
          <w:sz w:val="32"/>
          <w:szCs w:val="32"/>
          <w:lang w:val="zh-CN" w:eastAsia="zh-CN" w:bidi="ar-SA"/>
        </w:rPr>
        <w:t>科普宣传品印制发放、食用菌栽培冷藏技术、松露根苗仿生保育促繁技术、专业人员乡村振兴交流观摩、农技协高质量发展培训等活动，</w:t>
      </w:r>
      <w:r>
        <w:rPr>
          <w:rFonts w:hint="eastAsia" w:ascii="仿宋_GB2312" w:hAnsi="仿宋_GB2312" w:eastAsia="仿宋_GB2312" w:cs="仿宋_GB2312"/>
          <w:kern w:val="0"/>
          <w:position w:val="0"/>
          <w:sz w:val="32"/>
          <w:szCs w:val="32"/>
          <w:lang w:val="en-US" w:eastAsia="zh-CN" w:bidi="ar-SA"/>
        </w:rPr>
        <w:t>能够实现普及农技科技知识，推广先进技术，提高农户收入，提升乡村整体素质，实现助力全州乡村振兴；⑺乡村振兴科普宣传培训，通过驻村工作组对村民生产生活水平，促进乡村经济发展和文明进步调研指导、举办养殖技术培训、移风易俗科普活动等培训和宣传活动，提升村民科学素养，促进乡村产业发展和文明建设。故自评得分9分。</w:t>
      </w:r>
    </w:p>
    <w:p w14:paraId="7EEF27B4">
      <w:pPr>
        <w:spacing w:line="578" w:lineRule="exact"/>
        <w:ind w:firstLine="643" w:firstLineChars="200"/>
        <w:rPr>
          <w:rFonts w:hint="eastAsia" w:ascii="仿宋_GB2312" w:hAnsi="仿宋_GB2312" w:eastAsia="仿宋_GB2312" w:cs="仿宋_GB2312"/>
          <w:kern w:val="0"/>
          <w:position w:val="0"/>
          <w:sz w:val="32"/>
          <w:szCs w:val="32"/>
          <w:lang w:val="zh-CN" w:eastAsia="zh-CN" w:bidi="ar-SA"/>
        </w:rPr>
      </w:pPr>
      <w:r>
        <w:rPr>
          <w:rFonts w:hint="eastAsia" w:ascii="仿宋_GB2312" w:hAnsi="仿宋_GB2312" w:eastAsia="仿宋_GB2312" w:cs="仿宋_GB2312"/>
          <w:b/>
          <w:bCs/>
          <w:color w:val="auto"/>
          <w:kern w:val="0"/>
          <w:position w:val="0"/>
          <w:sz w:val="32"/>
          <w:szCs w:val="32"/>
          <w:lang w:val="zh-CN" w:eastAsia="zh-CN" w:bidi="ar-SA"/>
        </w:rPr>
        <w:t>（二）</w:t>
      </w:r>
      <w:r>
        <w:rPr>
          <w:rFonts w:hint="eastAsia" w:ascii="仿宋_GB2312" w:hAnsi="仿宋_GB2312" w:eastAsia="仿宋_GB2312" w:cs="仿宋_GB2312"/>
          <w:b/>
          <w:bCs/>
          <w:color w:val="auto"/>
          <w:kern w:val="0"/>
          <w:position w:val="0"/>
          <w:sz w:val="32"/>
          <w:szCs w:val="32"/>
          <w:lang w:val="en-US" w:eastAsia="zh-CN" w:bidi="ar-SA"/>
        </w:rPr>
        <w:t>专用指标</w:t>
      </w:r>
      <w:r>
        <w:rPr>
          <w:rFonts w:hint="eastAsia" w:ascii="仿宋_GB2312" w:hAnsi="仿宋_GB2312" w:eastAsia="仿宋_GB2312" w:cs="仿宋_GB2312"/>
          <w:b/>
          <w:bCs/>
          <w:color w:val="auto"/>
          <w:kern w:val="0"/>
          <w:position w:val="0"/>
          <w:sz w:val="32"/>
          <w:szCs w:val="32"/>
          <w:lang w:val="zh-CN" w:eastAsia="zh-CN" w:bidi="ar-SA"/>
        </w:rPr>
        <w:t>绩效分析。</w:t>
      </w:r>
      <w:r>
        <w:rPr>
          <w:rFonts w:hint="eastAsia" w:ascii="仿宋_GB2312" w:hAnsi="仿宋_GB2312" w:eastAsia="仿宋_GB2312" w:cs="仿宋_GB2312"/>
          <w:kern w:val="0"/>
          <w:position w:val="0"/>
          <w:sz w:val="32"/>
          <w:szCs w:val="32"/>
          <w:lang w:val="zh-CN" w:eastAsia="zh-CN" w:bidi="ar-SA"/>
        </w:rPr>
        <w:t>自评得分29分。</w:t>
      </w:r>
    </w:p>
    <w:p w14:paraId="2F6A16F2">
      <w:pPr>
        <w:spacing w:line="578" w:lineRule="exact"/>
        <w:ind w:firstLine="643"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zh-CN" w:eastAsia="zh-CN" w:bidi="ar-SA"/>
        </w:rPr>
        <w:t>民生保障。</w:t>
      </w:r>
      <w:r>
        <w:rPr>
          <w:rFonts w:hint="eastAsia" w:ascii="仿宋_GB2312" w:hAnsi="仿宋_GB2312" w:eastAsia="仿宋_GB2312" w:cs="仿宋_GB2312"/>
          <w:kern w:val="0"/>
          <w:position w:val="0"/>
          <w:sz w:val="32"/>
          <w:szCs w:val="32"/>
          <w:lang w:val="en-US" w:eastAsia="zh-CN" w:bidi="ar-SA"/>
        </w:rPr>
        <w:t>凉山州科协以承担全州科学技术普及、传播、科普资源开发、公民素质提升等任务为整体体目标。为全面提升人民群众科学素养，州科协积极打造重点学会协会，利用人才举荐、院士（专家）工作站评审树立标杆，通过青少年科技创新教育系列活动，引导青少年爱科学、学科学、用科学。通过对乡村农民种养殖技能培训和科普宣传，促进农民增产增收，推动公民素质整体提高，助推凉山经济高质量发展，实现可持续发展社会效益。项目资金的分配均衡，资金的支持对象符合管理要求，资金的管理使用符合资金管理使用办法。因受资金限制，受益群众有限，满意度不能达预期目的。故自评扣分1分、得分29分。</w:t>
      </w:r>
    </w:p>
    <w:p w14:paraId="61D13FC7">
      <w:pPr>
        <w:spacing w:line="578" w:lineRule="exact"/>
        <w:ind w:firstLine="643"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en-US" w:eastAsia="zh-CN" w:bidi="ar-SA"/>
        </w:rPr>
        <w:t>个性指标绩效分析。</w:t>
      </w:r>
      <w:r>
        <w:rPr>
          <w:rFonts w:hint="eastAsia" w:ascii="仿宋_GB2312" w:hAnsi="仿宋_GB2312" w:eastAsia="仿宋_GB2312" w:cs="仿宋_GB2312"/>
          <w:kern w:val="0"/>
          <w:position w:val="0"/>
          <w:sz w:val="32"/>
          <w:szCs w:val="32"/>
          <w:lang w:val="en-US" w:eastAsia="zh-CN" w:bidi="ar-SA"/>
        </w:rPr>
        <w:t>自评得分15分。凉山州科协依托“天府科技云服务”平台，对广大科技工作者、企事业单位、人民群众开展精准科技，为供需双方提供平台，得到了双方一致好评。并围绕省级重点项目“天府科技云服务” 开展工作。项目通过公共服务及基础设施运行、“天府科技云服务”日常工作推进、学会能力提升计划、人才举荐院士（专家）工作站评审、青少年科技创新教育活动、农技协和乡村振兴科普宣传培训。实现了工作人员业务能力提升，传播科学发展理念，提升了学会协会学术交流、科技创新与服务能力，树立了标杆，</w:t>
      </w:r>
      <w:r>
        <w:rPr>
          <w:rFonts w:hint="eastAsia" w:ascii="仿宋_GB2312" w:hAnsi="仿宋_GB2312" w:eastAsia="仿宋_GB2312" w:cs="仿宋_GB2312"/>
          <w:kern w:val="0"/>
          <w:position w:val="0"/>
          <w:sz w:val="32"/>
          <w:szCs w:val="32"/>
          <w:lang w:val="zh-CN" w:eastAsia="zh-CN" w:bidi="ar-SA"/>
        </w:rPr>
        <w:t>激励科技工作者为我州科技发展做出更大贡献，</w:t>
      </w:r>
      <w:r>
        <w:rPr>
          <w:rFonts w:hint="eastAsia" w:ascii="仿宋_GB2312" w:hAnsi="仿宋_GB2312" w:eastAsia="仿宋_GB2312" w:cs="仿宋_GB2312"/>
          <w:kern w:val="0"/>
          <w:position w:val="0"/>
          <w:sz w:val="32"/>
          <w:szCs w:val="32"/>
          <w:lang w:val="en-US" w:eastAsia="zh-CN" w:bidi="ar-SA"/>
        </w:rPr>
        <w:t>促进技术攻关和科技成果转移转化，努力培养造就具有科学潜质的青少年，实现农民增产增收。由于个别项目评审前提条件设定不够精准，故自评扣分1分、得分15分。</w:t>
      </w:r>
    </w:p>
    <w:p w14:paraId="5FDC0A1C">
      <w:pPr>
        <w:spacing w:line="578" w:lineRule="exact"/>
        <w:ind w:firstLine="321" w:firstLineChars="100"/>
        <w:rPr>
          <w:rFonts w:hint="eastAsia" w:ascii="仿宋_GB2312" w:hAnsi="仿宋_GB2312" w:eastAsia="仿宋_GB2312" w:cs="仿宋_GB2312"/>
          <w:b/>
          <w:bCs/>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en-US" w:eastAsia="zh-CN" w:bidi="ar-SA"/>
        </w:rPr>
        <w:t>四、评价结论</w:t>
      </w:r>
    </w:p>
    <w:p w14:paraId="18BCB9D2">
      <w:pPr>
        <w:spacing w:line="578" w:lineRule="exact"/>
        <w:ind w:firstLine="640" w:firstLineChars="200"/>
        <w:rPr>
          <w:rFonts w:hint="eastAsia" w:ascii="仿宋_GB2312" w:hAnsi="仿宋_GB2312" w:eastAsia="仿宋_GB2312" w:cs="仿宋_GB2312"/>
          <w:kern w:val="0"/>
          <w:position w:val="0"/>
          <w:sz w:val="32"/>
          <w:szCs w:val="32"/>
          <w:lang w:val="zh-CN" w:eastAsia="zh-CN" w:bidi="ar-SA"/>
        </w:rPr>
      </w:pPr>
      <w:r>
        <w:rPr>
          <w:rFonts w:hint="eastAsia" w:ascii="仿宋_GB2312" w:hAnsi="仿宋_GB2312" w:eastAsia="仿宋_GB2312" w:cs="仿宋_GB2312"/>
          <w:kern w:val="0"/>
          <w:position w:val="0"/>
          <w:sz w:val="32"/>
          <w:szCs w:val="32"/>
          <w:lang w:val="zh-CN" w:eastAsia="zh-CN" w:bidi="ar-SA"/>
        </w:rPr>
        <w:t>我部门充分利用州级科普项目资金完成了以下项目任务：通过公共服务及基础设施运行，</w:t>
      </w:r>
      <w:r>
        <w:rPr>
          <w:rFonts w:hint="eastAsia" w:ascii="仿宋_GB2312" w:hAnsi="仿宋_GB2312" w:eastAsia="仿宋_GB2312" w:cs="仿宋_GB2312"/>
          <w:kern w:val="0"/>
          <w:position w:val="0"/>
          <w:sz w:val="32"/>
          <w:szCs w:val="32"/>
          <w:lang w:val="en-US" w:eastAsia="zh-CN" w:bidi="ar-SA"/>
        </w:rPr>
        <w:t>提升了工作人员业务能力，提高公众科学素养，降低森林草原火灾风险，创文工作改善区域环境，数字化档案提高科技资料利用效率，发行期刊传播科学发展理念</w:t>
      </w:r>
      <w:r>
        <w:rPr>
          <w:rFonts w:hint="eastAsia" w:ascii="仿宋_GB2312" w:hAnsi="仿宋_GB2312" w:eastAsia="仿宋_GB2312" w:cs="仿宋_GB2312"/>
          <w:kern w:val="0"/>
          <w:position w:val="0"/>
          <w:sz w:val="32"/>
          <w:szCs w:val="32"/>
          <w:lang w:val="zh-CN" w:eastAsia="zh-CN" w:bidi="ar-SA"/>
        </w:rPr>
        <w:t>“天府科技云服务”日常工作推进，为实现整体工作位居全省前列打下了坚实基础；学会能力提升计划，</w:t>
      </w:r>
      <w:r>
        <w:rPr>
          <w:rFonts w:hint="eastAsia" w:ascii="仿宋_GB2312" w:hAnsi="仿宋_GB2312" w:eastAsia="仿宋_GB2312" w:cs="仿宋_GB2312"/>
          <w:kern w:val="0"/>
          <w:position w:val="0"/>
          <w:sz w:val="32"/>
          <w:szCs w:val="32"/>
          <w:lang w:val="en-US" w:eastAsia="zh-CN" w:bidi="ar-SA"/>
        </w:rPr>
        <w:t>打造重点学会协会，提升学术交流、科技创新与服务能力；</w:t>
      </w:r>
      <w:r>
        <w:rPr>
          <w:rFonts w:hint="eastAsia" w:ascii="仿宋_GB2312" w:hAnsi="仿宋_GB2312" w:eastAsia="仿宋_GB2312" w:cs="仿宋_GB2312"/>
          <w:kern w:val="0"/>
          <w:position w:val="0"/>
          <w:sz w:val="32"/>
          <w:szCs w:val="32"/>
          <w:lang w:val="zh-CN" w:eastAsia="zh-CN" w:bidi="ar-SA"/>
        </w:rPr>
        <w:t>人才举荐和院士（专家）工作站评审、激励科技工作者为我州科技发展做出更大贡献，促进技术攻关和科技成果转移转化，青少年科技创新教育活动、向</w:t>
      </w:r>
      <w:r>
        <w:rPr>
          <w:rFonts w:hint="eastAsia" w:ascii="仿宋_GB2312" w:hAnsi="仿宋_GB2312" w:eastAsia="仿宋_GB2312" w:cs="仿宋_GB2312"/>
          <w:kern w:val="0"/>
          <w:position w:val="0"/>
          <w:sz w:val="32"/>
          <w:szCs w:val="32"/>
          <w:lang w:val="en-US" w:eastAsia="zh-CN" w:bidi="ar-SA"/>
        </w:rPr>
        <w:t>广大青少年展示科技成就、传播科学知识，培养科学兴趣，造就具有科学潜质的青少年。</w:t>
      </w:r>
      <w:r>
        <w:rPr>
          <w:rFonts w:hint="eastAsia" w:ascii="仿宋_GB2312" w:hAnsi="仿宋_GB2312" w:eastAsia="仿宋_GB2312" w:cs="仿宋_GB2312"/>
          <w:kern w:val="0"/>
          <w:position w:val="0"/>
          <w:sz w:val="32"/>
          <w:szCs w:val="32"/>
          <w:lang w:val="zh-CN" w:eastAsia="zh-CN" w:bidi="ar-SA"/>
        </w:rPr>
        <w:t>农技协和乡村振兴科普宣传培训，提升村民科学素养，促进乡村产</w:t>
      </w:r>
      <w:r>
        <w:rPr>
          <w:rFonts w:hint="eastAsia" w:ascii="仿宋_GB2312" w:hAnsi="仿宋_GB2312" w:eastAsia="仿宋_GB2312" w:cs="仿宋_GB2312"/>
          <w:kern w:val="0"/>
          <w:position w:val="0"/>
          <w:sz w:val="32"/>
          <w:szCs w:val="32"/>
          <w:lang w:val="en-US" w:eastAsia="zh-CN" w:bidi="ar-SA"/>
        </w:rPr>
        <w:t>业发展和文明建设。因资金使用支付进度前期较缓慢；受资金短缺</w:t>
      </w:r>
      <w:r>
        <w:rPr>
          <w:rFonts w:hint="eastAsia" w:ascii="仿宋_GB2312" w:hAnsi="仿宋_GB2312" w:eastAsia="仿宋_GB2312" w:cs="仿宋_GB2312"/>
          <w:kern w:val="0"/>
          <w:position w:val="0"/>
          <w:sz w:val="32"/>
          <w:szCs w:val="32"/>
          <w:lang w:val="zh-CN" w:eastAsia="zh-CN" w:bidi="ar-SA"/>
        </w:rPr>
        <w:t>制约，受益群众有限，满意度不能达预期目的，</w:t>
      </w:r>
      <w:r>
        <w:rPr>
          <w:rFonts w:hint="eastAsia" w:ascii="仿宋_GB2312" w:hAnsi="仿宋_GB2312" w:eastAsia="仿宋_GB2312" w:cs="仿宋_GB2312"/>
          <w:kern w:val="0"/>
          <w:position w:val="0"/>
          <w:sz w:val="32"/>
          <w:szCs w:val="32"/>
          <w:lang w:val="en-US" w:eastAsia="zh-CN" w:bidi="ar-SA"/>
        </w:rPr>
        <w:t>个别项目评审前提条件设定不够准确</w:t>
      </w:r>
      <w:r>
        <w:rPr>
          <w:rFonts w:hint="eastAsia" w:ascii="仿宋_GB2312" w:hAnsi="仿宋_GB2312" w:eastAsia="仿宋_GB2312" w:cs="仿宋_GB2312"/>
          <w:kern w:val="0"/>
          <w:position w:val="0"/>
          <w:sz w:val="32"/>
          <w:szCs w:val="32"/>
          <w:lang w:val="zh-CN" w:eastAsia="zh-CN" w:bidi="ar-SA"/>
        </w:rPr>
        <w:t>。故自评扣分</w:t>
      </w:r>
      <w:r>
        <w:rPr>
          <w:rFonts w:hint="eastAsia" w:ascii="仿宋_GB2312" w:hAnsi="仿宋_GB2312" w:eastAsia="仿宋_GB2312" w:cs="仿宋_GB2312"/>
          <w:kern w:val="0"/>
          <w:position w:val="0"/>
          <w:sz w:val="32"/>
          <w:szCs w:val="32"/>
          <w:lang w:val="en-US" w:eastAsia="zh-CN" w:bidi="ar-SA"/>
        </w:rPr>
        <w:t>3</w:t>
      </w:r>
      <w:r>
        <w:rPr>
          <w:rFonts w:hint="eastAsia" w:ascii="仿宋_GB2312" w:hAnsi="仿宋_GB2312" w:eastAsia="仿宋_GB2312" w:cs="仿宋_GB2312"/>
          <w:kern w:val="0"/>
          <w:position w:val="0"/>
          <w:sz w:val="32"/>
          <w:szCs w:val="32"/>
          <w:lang w:val="zh-CN" w:eastAsia="zh-CN" w:bidi="ar-SA"/>
        </w:rPr>
        <w:t>分，得分9</w:t>
      </w:r>
      <w:r>
        <w:rPr>
          <w:rFonts w:hint="eastAsia" w:ascii="仿宋_GB2312" w:hAnsi="仿宋_GB2312" w:eastAsia="仿宋_GB2312" w:cs="仿宋_GB2312"/>
          <w:kern w:val="0"/>
          <w:position w:val="0"/>
          <w:sz w:val="32"/>
          <w:szCs w:val="32"/>
          <w:lang w:val="en-US" w:eastAsia="zh-CN" w:bidi="ar-SA"/>
        </w:rPr>
        <w:t>7</w:t>
      </w:r>
      <w:r>
        <w:rPr>
          <w:rFonts w:hint="eastAsia" w:ascii="仿宋_GB2312" w:hAnsi="仿宋_GB2312" w:eastAsia="仿宋_GB2312" w:cs="仿宋_GB2312"/>
          <w:kern w:val="0"/>
          <w:position w:val="0"/>
          <w:sz w:val="32"/>
          <w:szCs w:val="32"/>
          <w:lang w:val="zh-CN" w:eastAsia="zh-CN" w:bidi="ar-SA"/>
        </w:rPr>
        <w:t>分。</w:t>
      </w:r>
    </w:p>
    <w:p w14:paraId="445BF462">
      <w:pPr>
        <w:spacing w:line="578" w:lineRule="exact"/>
        <w:ind w:firstLine="321" w:firstLineChars="100"/>
        <w:rPr>
          <w:rFonts w:hint="eastAsia" w:ascii="仿宋_GB2312" w:hAnsi="仿宋_GB2312" w:eastAsia="仿宋_GB2312" w:cs="仿宋_GB2312"/>
          <w:b/>
          <w:bCs/>
          <w:kern w:val="0"/>
          <w:position w:val="0"/>
          <w:sz w:val="32"/>
          <w:szCs w:val="32"/>
          <w:lang w:val="en-US" w:eastAsia="zh-CN" w:bidi="ar-SA"/>
        </w:rPr>
      </w:pPr>
      <w:r>
        <w:rPr>
          <w:rFonts w:hint="eastAsia" w:ascii="仿宋_GB2312" w:hAnsi="仿宋_GB2312" w:eastAsia="仿宋_GB2312" w:cs="仿宋_GB2312"/>
          <w:b/>
          <w:bCs/>
          <w:kern w:val="0"/>
          <w:position w:val="0"/>
          <w:sz w:val="32"/>
          <w:szCs w:val="32"/>
          <w:lang w:val="en-US" w:eastAsia="zh-CN" w:bidi="ar-SA"/>
        </w:rPr>
        <w:t>五、存在主要问题</w:t>
      </w:r>
    </w:p>
    <w:p w14:paraId="608E7213">
      <w:pPr>
        <w:spacing w:line="578" w:lineRule="exact"/>
        <w:ind w:firstLine="640"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1.资金使用支付进度前期较缓慢。</w:t>
      </w:r>
    </w:p>
    <w:p w14:paraId="732B356C">
      <w:pPr>
        <w:spacing w:line="578" w:lineRule="exact"/>
        <w:ind w:firstLine="640"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2.个别项目评审前提条件设定不够准确。</w:t>
      </w:r>
    </w:p>
    <w:p w14:paraId="2EA36B75">
      <w:pPr>
        <w:spacing w:line="578" w:lineRule="exact"/>
        <w:ind w:firstLine="640"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3.受资金短缺制约，受益群众有限，满意度不能达预期目的。</w:t>
      </w:r>
    </w:p>
    <w:p w14:paraId="3AE07DE3">
      <w:pPr>
        <w:spacing w:line="578" w:lineRule="exact"/>
        <w:ind w:firstLine="321" w:firstLineChars="100"/>
        <w:rPr>
          <w:rFonts w:hint="eastAsia" w:ascii="仿宋_GB2312" w:hAnsi="仿宋_GB2312" w:eastAsia="仿宋_GB2312" w:cs="仿宋_GB2312"/>
          <w:b/>
          <w:bCs/>
          <w:kern w:val="0"/>
          <w:position w:val="0"/>
          <w:sz w:val="32"/>
          <w:szCs w:val="32"/>
          <w:lang w:val="zh-CN" w:eastAsia="zh-CN" w:bidi="ar-SA"/>
        </w:rPr>
      </w:pPr>
      <w:r>
        <w:rPr>
          <w:rFonts w:hint="eastAsia" w:ascii="仿宋_GB2312" w:hAnsi="仿宋_GB2312" w:eastAsia="仿宋_GB2312" w:cs="仿宋_GB2312"/>
          <w:b/>
          <w:bCs/>
          <w:kern w:val="0"/>
          <w:position w:val="0"/>
          <w:sz w:val="32"/>
          <w:szCs w:val="32"/>
          <w:lang w:val="zh-CN" w:eastAsia="zh-CN" w:bidi="ar-SA"/>
        </w:rPr>
        <w:t>六、改进建议</w:t>
      </w:r>
    </w:p>
    <w:p w14:paraId="7EC24291">
      <w:pPr>
        <w:spacing w:line="578" w:lineRule="exact"/>
        <w:ind w:firstLine="640"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1.相关部门提早谋划，做好多方协调沟通，合理安排部署项目实施工作，及时对接财务部门支付。着力解决资金使用支付进度前期较缓慢问题。</w:t>
      </w:r>
    </w:p>
    <w:p w14:paraId="38D19013">
      <w:pPr>
        <w:spacing w:line="578" w:lineRule="exact"/>
        <w:ind w:firstLine="640"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2.做好行业调研，个别需评审的项目事前设定较准确的评审条件，便于评审工作的顺利完成。</w:t>
      </w:r>
    </w:p>
    <w:p w14:paraId="5CB246AC">
      <w:pPr>
        <w:spacing w:line="578" w:lineRule="exact"/>
        <w:ind w:firstLine="640" w:firstLineChars="2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3.合理争取项目资金投入，让更多的群众受益，提高预期目的。</w:t>
      </w:r>
    </w:p>
    <w:p w14:paraId="2DD5C1AC">
      <w:pPr>
        <w:spacing w:line="578" w:lineRule="exact"/>
        <w:rPr>
          <w:rFonts w:hint="default" w:ascii="仿宋_GB2312" w:hAnsi="仿宋_GB2312" w:eastAsia="仿宋_GB2312" w:cs="仿宋_GB2312"/>
          <w:kern w:val="0"/>
          <w:position w:val="0"/>
          <w:sz w:val="32"/>
          <w:szCs w:val="32"/>
          <w:lang w:val="en-US" w:eastAsia="zh-CN" w:bidi="ar-SA"/>
        </w:rPr>
      </w:pPr>
    </w:p>
    <w:p w14:paraId="3CDCF1D7">
      <w:pPr>
        <w:spacing w:line="578" w:lineRule="exact"/>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 xml:space="preserve">                            凉山州科学技术协会</w:t>
      </w:r>
    </w:p>
    <w:p w14:paraId="4E3A7992">
      <w:pPr>
        <w:spacing w:line="578" w:lineRule="exact"/>
        <w:ind w:firstLine="4800" w:firstLineChars="1500"/>
        <w:rPr>
          <w:rFonts w:hint="default"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2025年6月20日</w:t>
      </w:r>
    </w:p>
    <w:p w14:paraId="4B67D11A">
      <w:pPr>
        <w:spacing w:line="578" w:lineRule="exact"/>
        <w:rPr>
          <w:rFonts w:hint="eastAsia" w:ascii="仿宋_GB2312" w:hAnsi="仿宋_GB2312" w:eastAsia="仿宋_GB2312" w:cs="仿宋_GB2312"/>
          <w:kern w:val="0"/>
          <w:position w:val="0"/>
          <w:sz w:val="32"/>
          <w:szCs w:val="32"/>
          <w:lang w:val="zh-CN" w:eastAsia="zh-CN" w:bidi="ar-SA"/>
        </w:rPr>
      </w:pPr>
    </w:p>
    <w:p w14:paraId="796F7A17">
      <w:pPr>
        <w:rPr>
          <w:rFonts w:hint="eastAsia" w:ascii="方正小标宋_GBK" w:hAnsi="宋体" w:eastAsia="方正小标宋_GBK" w:cs="宋体"/>
          <w:bCs/>
          <w:color w:val="FF0000"/>
          <w:kern w:val="0"/>
          <w:sz w:val="44"/>
          <w:szCs w:val="44"/>
          <w:shd w:val="clear" w:color="auto" w:fill="FFFFFF"/>
          <w:lang w:val="zh-CN"/>
        </w:rPr>
      </w:pPr>
    </w:p>
    <w:p w14:paraId="6AB54605">
      <w:pPr>
        <w:pStyle w:val="22"/>
        <w:outlineLvl w:val="9"/>
        <w:rPr>
          <w:rFonts w:hint="eastAsia" w:ascii="方正小标宋_GBK" w:hAnsi="宋体" w:eastAsia="方正小标宋_GBK" w:cs="宋体"/>
          <w:bCs/>
          <w:color w:val="FF0000"/>
          <w:kern w:val="0"/>
          <w:sz w:val="44"/>
          <w:szCs w:val="44"/>
          <w:shd w:val="clear" w:color="auto" w:fill="FFFFFF"/>
          <w:lang w:val="zh-CN"/>
        </w:rPr>
      </w:pPr>
    </w:p>
    <w:p w14:paraId="1D586A61">
      <w:pPr>
        <w:rPr>
          <w:rFonts w:hint="eastAsia" w:ascii="方正小标宋_GBK" w:hAnsi="宋体" w:eastAsia="方正小标宋_GBK" w:cs="宋体"/>
          <w:bCs/>
          <w:color w:val="FF0000"/>
          <w:kern w:val="0"/>
          <w:sz w:val="44"/>
          <w:szCs w:val="44"/>
          <w:shd w:val="clear" w:color="auto" w:fill="FFFFFF"/>
          <w:lang w:val="zh-CN"/>
        </w:rPr>
      </w:pPr>
    </w:p>
    <w:p w14:paraId="3A76ECDA">
      <w:pPr>
        <w:pStyle w:val="37"/>
        <w:spacing w:line="578" w:lineRule="exact"/>
        <w:jc w:val="both"/>
        <w:rPr>
          <w:rFonts w:hint="default" w:ascii="Times New Roman" w:hAnsi="Times New Roman" w:eastAsia="仿宋_GB2312" w:cs="Times New Roman"/>
          <w:b w:val="0"/>
          <w:bCs w:val="0"/>
          <w:color w:val="auto"/>
          <w:kern w:val="2"/>
          <w:sz w:val="32"/>
          <w:szCs w:val="32"/>
          <w:lang w:val="zh-CN" w:eastAsia="zh-CN" w:bidi="ar-SA"/>
        </w:rPr>
      </w:pPr>
    </w:p>
    <w:p w14:paraId="7667DD86">
      <w:pPr>
        <w:pStyle w:val="37"/>
        <w:spacing w:line="578" w:lineRule="exact"/>
        <w:jc w:val="both"/>
        <w:outlineLvl w:val="0"/>
        <w:rPr>
          <w:rFonts w:hint="default" w:ascii="Times New Roman" w:hAnsi="Times New Roman" w:eastAsia="仿宋_GB2312" w:cs="Times New Roman"/>
          <w:b w:val="0"/>
          <w:bCs w:val="0"/>
          <w:color w:val="auto"/>
          <w:kern w:val="2"/>
          <w:sz w:val="32"/>
          <w:szCs w:val="32"/>
          <w:lang w:val="en-US" w:eastAsia="zh-CN" w:bidi="ar-SA"/>
        </w:rPr>
      </w:pPr>
      <w:bookmarkStart w:id="84" w:name="_Toc6840"/>
      <w:r>
        <w:rPr>
          <w:rFonts w:hint="default" w:ascii="Times New Roman" w:hAnsi="Times New Roman" w:eastAsia="仿宋_GB2312" w:cs="Times New Roman"/>
          <w:b w:val="0"/>
          <w:bCs w:val="0"/>
          <w:color w:val="auto"/>
          <w:kern w:val="2"/>
          <w:sz w:val="32"/>
          <w:szCs w:val="32"/>
          <w:lang w:val="zh-CN" w:eastAsia="zh-CN" w:bidi="ar-SA"/>
        </w:rPr>
        <w:t>附</w:t>
      </w:r>
      <w:r>
        <w:rPr>
          <w:rFonts w:hint="eastAsia" w:ascii="Times New Roman" w:hAnsi="Times New Roman" w:eastAsia="仿宋_GB2312" w:cs="Times New Roman"/>
          <w:b w:val="0"/>
          <w:bCs w:val="0"/>
          <w:color w:val="auto"/>
          <w:kern w:val="2"/>
          <w:sz w:val="32"/>
          <w:szCs w:val="32"/>
          <w:lang w:val="zh-CN" w:eastAsia="zh-CN" w:bidi="ar-SA"/>
        </w:rPr>
        <w:t>件</w:t>
      </w:r>
      <w:r>
        <w:rPr>
          <w:rFonts w:hint="eastAsia" w:ascii="Times New Roman" w:hAnsi="Times New Roman" w:eastAsia="仿宋_GB2312" w:cs="Times New Roman"/>
          <w:b w:val="0"/>
          <w:bCs w:val="0"/>
          <w:color w:val="auto"/>
          <w:kern w:val="2"/>
          <w:sz w:val="32"/>
          <w:szCs w:val="32"/>
          <w:lang w:val="en-US" w:eastAsia="zh-CN" w:bidi="ar-SA"/>
        </w:rPr>
        <w:t>2-2</w:t>
      </w:r>
      <w:bookmarkEnd w:id="84"/>
    </w:p>
    <w:p w14:paraId="16970BD7">
      <w:pPr>
        <w:pStyle w:val="37"/>
        <w:spacing w:line="578" w:lineRule="exact"/>
        <w:jc w:val="center"/>
        <w:rPr>
          <w:rFonts w:hint="eastAsia" w:ascii="Times New Roman" w:hAnsi="Times New Roman" w:eastAsia="方正小标宋简体" w:cs="Times New Roman"/>
          <w:color w:val="auto"/>
          <w:kern w:val="2"/>
          <w:sz w:val="44"/>
          <w:szCs w:val="44"/>
          <w:lang w:val="en-US" w:eastAsia="zh-CN"/>
        </w:rPr>
      </w:pPr>
    </w:p>
    <w:p w14:paraId="2D63B82D">
      <w:pPr>
        <w:pStyle w:val="37"/>
        <w:spacing w:line="578" w:lineRule="exact"/>
        <w:jc w:val="center"/>
        <w:rPr>
          <w:rFonts w:hint="eastAsia" w:ascii="Times New Roman" w:hAnsi="Times New Roman" w:eastAsia="方正小标宋简体"/>
          <w:color w:val="auto"/>
          <w:kern w:val="2"/>
          <w:sz w:val="36"/>
          <w:szCs w:val="36"/>
          <w:lang w:val="en-US" w:eastAsia="zh-CN"/>
        </w:rPr>
      </w:pPr>
      <w:r>
        <w:rPr>
          <w:rFonts w:hint="eastAsia" w:ascii="Times New Roman" w:hAnsi="Times New Roman" w:eastAsia="方正小标宋简体" w:cs="Times New Roman"/>
          <w:color w:val="auto"/>
          <w:kern w:val="2"/>
          <w:sz w:val="36"/>
          <w:szCs w:val="36"/>
          <w:lang w:val="en-US" w:eastAsia="zh-CN"/>
        </w:rPr>
        <w:t xml:space="preserve"> “科创中国·天府科技云服务大会”</w:t>
      </w:r>
      <w:r>
        <w:rPr>
          <w:rFonts w:hint="eastAsia" w:ascii="Times New Roman" w:hAnsi="Times New Roman" w:eastAsia="方正小标宋简体"/>
          <w:color w:val="auto"/>
          <w:kern w:val="2"/>
          <w:sz w:val="36"/>
          <w:szCs w:val="36"/>
          <w:lang w:val="en-US" w:eastAsia="zh-CN"/>
        </w:rPr>
        <w:t>项目</w:t>
      </w:r>
    </w:p>
    <w:p w14:paraId="6DDFD823">
      <w:pPr>
        <w:pStyle w:val="37"/>
        <w:spacing w:line="578" w:lineRule="exact"/>
        <w:jc w:val="center"/>
        <w:rPr>
          <w:rFonts w:ascii="Times New Roman" w:hAnsi="Times New Roman" w:eastAsia="方正小标宋简体"/>
          <w:color w:val="auto"/>
          <w:kern w:val="2"/>
          <w:sz w:val="36"/>
          <w:szCs w:val="36"/>
          <w:lang w:val="en-US"/>
        </w:rPr>
      </w:pPr>
      <w:r>
        <w:rPr>
          <w:rFonts w:ascii="Times New Roman" w:hAnsi="Times New Roman" w:eastAsia="方正小标宋简体"/>
          <w:color w:val="auto"/>
          <w:kern w:val="2"/>
          <w:sz w:val="36"/>
          <w:szCs w:val="36"/>
          <w:lang w:val="en-US"/>
        </w:rPr>
        <w:t>预算绩效自评报告</w:t>
      </w:r>
    </w:p>
    <w:p w14:paraId="4AD63C44">
      <w:pPr>
        <w:adjustRightInd w:val="0"/>
        <w:snapToGrid w:val="0"/>
        <w:spacing w:line="578" w:lineRule="exact"/>
        <w:ind w:firstLine="600" w:firstLineChars="200"/>
        <w:rPr>
          <w:rFonts w:eastAsia="黑体"/>
          <w:sz w:val="30"/>
          <w:szCs w:val="30"/>
          <w:lang w:val="zh-CN"/>
        </w:rPr>
      </w:pPr>
      <w:r>
        <w:rPr>
          <w:rFonts w:eastAsia="黑体"/>
          <w:sz w:val="30"/>
          <w:szCs w:val="30"/>
        </w:rPr>
        <w:t>一、</w:t>
      </w:r>
      <w:r>
        <w:rPr>
          <w:rFonts w:eastAsia="黑体"/>
          <w:sz w:val="30"/>
          <w:szCs w:val="30"/>
          <w:lang w:val="zh-CN"/>
        </w:rPr>
        <w:t>项目概况</w:t>
      </w:r>
    </w:p>
    <w:p w14:paraId="198B50F3">
      <w:pPr>
        <w:adjustRightInd w:val="0"/>
        <w:snapToGrid w:val="0"/>
        <w:spacing w:line="578" w:lineRule="exact"/>
        <w:ind w:firstLine="600" w:firstLineChars="200"/>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（一）设立背景及基本情况。</w:t>
      </w:r>
    </w:p>
    <w:p w14:paraId="0DC41B19">
      <w:pPr>
        <w:keepNext w:val="0"/>
        <w:keepLines w:val="0"/>
        <w:pageBreakBefore w:val="0"/>
        <w:kinsoku/>
        <w:wordWrap/>
        <w:overflowPunct/>
        <w:topLinePunct w:val="0"/>
        <w:autoSpaceDE/>
        <w:autoSpaceDN/>
        <w:bidi w:val="0"/>
        <w:spacing w:line="560" w:lineRule="exact"/>
        <w:ind w:firstLine="640" w:firstLineChars="200"/>
        <w:textAlignment w:val="baseline"/>
        <w:rPr>
          <w:rFonts w:hint="eastAsia" w:ascii="仿宋" w:hAnsi="仿宋" w:eastAsia="仿宋" w:cs="仿宋"/>
          <w:sz w:val="32"/>
          <w:szCs w:val="32"/>
          <w:lang w:val="en-US"/>
        </w:rPr>
      </w:pPr>
      <w:r>
        <w:rPr>
          <w:rFonts w:hint="eastAsia" w:ascii="仿宋_GB2312" w:hAnsi="仿宋_GB2312" w:eastAsia="仿宋_GB2312" w:cs="仿宋_GB2312"/>
          <w:kern w:val="0"/>
          <w:position w:val="0"/>
          <w:sz w:val="32"/>
          <w:szCs w:val="32"/>
          <w:lang w:val="en-US" w:eastAsia="zh-CN" w:bidi="ar-SA"/>
        </w:rPr>
        <w:t>为深入贯彻习近平总书记来川视察作出的“在推进科技创新和科技成果转化上同时发力”的重要指示，以实际行动落实中央经济工作会议和省委经济工作会议决策部署，组织广大科技工作者投身科技创新引领</w:t>
      </w:r>
      <w:r>
        <w:rPr>
          <w:rFonts w:hint="eastAsia" w:ascii="仿宋" w:hAnsi="仿宋" w:eastAsia="仿宋" w:cs="仿宋"/>
          <w:sz w:val="32"/>
          <w:szCs w:val="32"/>
          <w:lang w:val="en-US" w:eastAsia="zh-CN"/>
        </w:rPr>
        <w:t>现代化产业体系建设</w:t>
      </w:r>
      <w:r>
        <w:rPr>
          <w:rFonts w:hint="eastAsia" w:ascii="仿宋" w:hAnsi="仿宋" w:eastAsia="仿宋" w:cs="仿宋"/>
          <w:kern w:val="0"/>
          <w:sz w:val="32"/>
          <w:szCs w:val="32"/>
          <w:lang w:val="en-US" w:eastAsia="zh-CN"/>
        </w:rPr>
        <w:t>。特</w:t>
      </w:r>
      <w:r>
        <w:rPr>
          <w:rFonts w:hint="eastAsia" w:ascii="仿宋" w:hAnsi="仿宋" w:eastAsia="仿宋" w:cs="仿宋"/>
          <w:sz w:val="32"/>
          <w:szCs w:val="32"/>
          <w:lang w:eastAsia="zh-CN"/>
        </w:rPr>
        <w:t>预算州级经费</w:t>
      </w:r>
      <w:r>
        <w:rPr>
          <w:rFonts w:hint="eastAsia" w:ascii="仿宋" w:hAnsi="仿宋" w:eastAsia="仿宋" w:cs="仿宋"/>
          <w:sz w:val="32"/>
          <w:szCs w:val="32"/>
          <w:lang w:val="en-US" w:eastAsia="zh-CN"/>
        </w:rPr>
        <w:t>50万元</w:t>
      </w:r>
      <w:r>
        <w:rPr>
          <w:rFonts w:hint="eastAsia" w:ascii="仿宋" w:hAnsi="仿宋" w:eastAsia="仿宋" w:cs="仿宋"/>
          <w:sz w:val="32"/>
          <w:szCs w:val="32"/>
        </w:rPr>
        <w:t>筹办第三届科创中国·天府科技云服务大会</w:t>
      </w:r>
      <w:r>
        <w:rPr>
          <w:rFonts w:hint="eastAsia" w:ascii="仿宋" w:hAnsi="仿宋" w:eastAsia="仿宋" w:cs="仿宋"/>
          <w:sz w:val="32"/>
          <w:szCs w:val="32"/>
          <w:lang w:eastAsia="zh-CN"/>
        </w:rPr>
        <w:t>（以下简称“科创会”）</w:t>
      </w:r>
      <w:r>
        <w:rPr>
          <w:rFonts w:hint="eastAsia" w:ascii="仿宋" w:hAnsi="仿宋" w:eastAsia="仿宋" w:cs="仿宋"/>
          <w:sz w:val="32"/>
          <w:szCs w:val="32"/>
        </w:rPr>
        <w:t>，全面深化天府科技云服务</w:t>
      </w:r>
      <w:r>
        <w:rPr>
          <w:rFonts w:hint="eastAsia" w:ascii="仿宋" w:hAnsi="仿宋" w:eastAsia="仿宋" w:cs="仿宋"/>
          <w:sz w:val="32"/>
          <w:szCs w:val="32"/>
          <w:lang w:eastAsia="zh-CN"/>
        </w:rPr>
        <w:t>在凉山落地落实落细。</w:t>
      </w:r>
    </w:p>
    <w:p w14:paraId="408148EA">
      <w:pPr>
        <w:adjustRightInd w:val="0"/>
        <w:snapToGrid w:val="0"/>
        <w:spacing w:line="578" w:lineRule="exact"/>
        <w:ind w:firstLine="600" w:firstLineChars="200"/>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（二）实施目的及支持方向。</w:t>
      </w:r>
    </w:p>
    <w:p w14:paraId="46D93DDB">
      <w:pPr>
        <w:keepNext w:val="0"/>
        <w:keepLines w:val="0"/>
        <w:pageBreakBefore w:val="0"/>
        <w:kinsoku/>
        <w:wordWrap/>
        <w:overflowPunct/>
        <w:topLinePunct w:val="0"/>
        <w:autoSpaceDE/>
        <w:autoSpaceDN/>
        <w:bidi w:val="0"/>
        <w:spacing w:line="560" w:lineRule="exact"/>
        <w:ind w:firstLine="640" w:firstLineChars="200"/>
        <w:textAlignment w:val="baseline"/>
        <w:rPr>
          <w:rFonts w:hint="eastAsia" w:ascii="仿宋_GB2312" w:hAnsi="仿宋_GB2312" w:eastAsia="仿宋_GB2312" w:cs="仿宋_GB2312"/>
          <w:kern w:val="0"/>
          <w:position w:val="0"/>
          <w:sz w:val="32"/>
          <w:szCs w:val="32"/>
          <w:lang w:val="zh-CN" w:eastAsia="zh-CN" w:bidi="ar-SA"/>
        </w:rPr>
      </w:pPr>
      <w:r>
        <w:rPr>
          <w:rFonts w:hint="eastAsia" w:ascii="仿宋_GB2312" w:hAnsi="仿宋_GB2312" w:eastAsia="仿宋_GB2312" w:cs="仿宋_GB2312"/>
          <w:kern w:val="0"/>
          <w:position w:val="0"/>
          <w:sz w:val="32"/>
          <w:szCs w:val="32"/>
          <w:lang w:val="en-US" w:eastAsia="zh-CN" w:bidi="ar-SA"/>
        </w:rPr>
        <w:t>为</w:t>
      </w:r>
      <w:r>
        <w:rPr>
          <w:rFonts w:hint="default" w:ascii="仿宋_GB2312" w:hAnsi="仿宋_GB2312" w:eastAsia="仿宋_GB2312" w:cs="仿宋_GB2312"/>
          <w:kern w:val="0"/>
          <w:position w:val="0"/>
          <w:sz w:val="32"/>
          <w:szCs w:val="32"/>
          <w:lang w:val="en-US" w:eastAsia="zh-CN" w:bidi="ar-SA"/>
        </w:rPr>
        <w:t>筹办第三届科创中国·天府科技云服务大会，全面深化天府科技云服务</w:t>
      </w:r>
      <w:r>
        <w:rPr>
          <w:rFonts w:hint="eastAsia" w:ascii="仿宋_GB2312" w:hAnsi="仿宋_GB2312" w:eastAsia="仿宋_GB2312" w:cs="仿宋_GB2312"/>
          <w:kern w:val="0"/>
          <w:position w:val="0"/>
          <w:sz w:val="32"/>
          <w:szCs w:val="32"/>
          <w:lang w:val="en-US" w:eastAsia="zh-CN" w:bidi="ar-SA"/>
        </w:rPr>
        <w:t>在凉山落地落实落细。项目主要对该项工作给予经费保障。</w:t>
      </w:r>
    </w:p>
    <w:p w14:paraId="7A55CF41">
      <w:pPr>
        <w:adjustRightInd w:val="0"/>
        <w:snapToGrid w:val="0"/>
        <w:spacing w:line="578" w:lineRule="exact"/>
        <w:ind w:firstLine="600" w:firstLineChars="200"/>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（三）预算安排及分配管理。</w:t>
      </w:r>
    </w:p>
    <w:p w14:paraId="7E7C996D">
      <w:pPr>
        <w:keepNext w:val="0"/>
        <w:keepLines w:val="0"/>
        <w:pageBreakBefore w:val="0"/>
        <w:kinsoku/>
        <w:wordWrap/>
        <w:overflowPunct/>
        <w:topLinePunct w:val="0"/>
        <w:autoSpaceDE/>
        <w:autoSpaceDN/>
        <w:bidi w:val="0"/>
        <w:spacing w:line="560" w:lineRule="exact"/>
        <w:ind w:firstLine="640" w:firstLineChars="200"/>
        <w:textAlignment w:val="baseline"/>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21万元用于采购宣传服务，29万元用于搭建专属展区和会务服务。</w:t>
      </w:r>
    </w:p>
    <w:p w14:paraId="55CADFD2">
      <w:pPr>
        <w:adjustRightInd w:val="0"/>
        <w:snapToGrid w:val="0"/>
        <w:spacing w:line="578" w:lineRule="exact"/>
        <w:ind w:firstLine="600" w:firstLineChars="200"/>
        <w:rPr>
          <w:rFonts w:hint="eastAsia" w:ascii="Times New Roman" w:hAnsi="Times New Roman" w:eastAsia="黑体" w:cs="Times New Roman"/>
          <w:sz w:val="30"/>
          <w:szCs w:val="30"/>
          <w:lang w:val="zh-CN" w:eastAsia="zh-CN"/>
        </w:rPr>
      </w:pPr>
      <w:r>
        <w:rPr>
          <w:rFonts w:hint="eastAsia" w:ascii="Times New Roman" w:hAnsi="Times New Roman" w:eastAsia="黑体" w:cs="Times New Roman"/>
          <w:sz w:val="30"/>
          <w:szCs w:val="30"/>
          <w:lang w:val="zh-CN" w:eastAsia="zh-CN"/>
        </w:rPr>
        <w:t>（四）项目绩效目标设置。</w:t>
      </w:r>
    </w:p>
    <w:p w14:paraId="74DA2D18">
      <w:pPr>
        <w:keepNext w:val="0"/>
        <w:keepLines w:val="0"/>
        <w:pageBreakBefore w:val="0"/>
        <w:kinsoku/>
        <w:wordWrap/>
        <w:overflowPunct/>
        <w:topLinePunct w:val="0"/>
        <w:autoSpaceDE/>
        <w:autoSpaceDN/>
        <w:bidi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主要用于筹备第三届科创会等费用。项目应实现的绩效目标包括数量指标、质量指标、时效指标、成本指标、效果指标、社会效益指标和服务对象满意度指标。项目的实施进度均按预算执行进度完成资金支付。</w:t>
      </w:r>
    </w:p>
    <w:p w14:paraId="32CE571A">
      <w:pPr>
        <w:adjustRightInd w:val="0"/>
        <w:snapToGrid w:val="0"/>
        <w:spacing w:line="578" w:lineRule="exact"/>
        <w:ind w:firstLine="600" w:firstLineChars="200"/>
        <w:rPr>
          <w:rFonts w:eastAsia="黑体"/>
          <w:sz w:val="30"/>
          <w:szCs w:val="30"/>
        </w:rPr>
      </w:pPr>
      <w:r>
        <w:rPr>
          <w:rFonts w:eastAsia="黑体"/>
          <w:sz w:val="30"/>
          <w:szCs w:val="30"/>
        </w:rPr>
        <w:t>二、评价实施</w:t>
      </w:r>
    </w:p>
    <w:p w14:paraId="11925A23">
      <w:pPr>
        <w:keepNext w:val="0"/>
        <w:keepLines w:val="0"/>
        <w:pageBreakBefore w:val="0"/>
        <w:kinsoku/>
        <w:wordWrap/>
        <w:overflowPunct/>
        <w:topLinePunct w:val="0"/>
        <w:autoSpaceDE/>
        <w:autoSpaceDN/>
        <w:bidi w:val="0"/>
        <w:spacing w:line="560" w:lineRule="exact"/>
        <w:ind w:firstLine="640"/>
        <w:textAlignment w:val="auto"/>
      </w:pPr>
      <w:r>
        <w:rPr>
          <w:rFonts w:ascii="Times New Roman" w:hAnsi="Times New Roman" w:eastAsia="黑体" w:cs="Times New Roman"/>
          <w:sz w:val="30"/>
          <w:szCs w:val="30"/>
          <w:lang w:val="zh-CN"/>
        </w:rPr>
        <w:t>（一）评价目的。</w:t>
      </w:r>
      <w:r>
        <w:rPr>
          <w:rFonts w:hint="default" w:ascii="Times New Roman" w:hAnsi="Times New Roman" w:eastAsia="仿宋_GB2312" w:cs="Times New Roman"/>
          <w:color w:val="auto"/>
          <w:kern w:val="2"/>
          <w:sz w:val="32"/>
          <w:szCs w:val="32"/>
          <w:lang w:val="zh-CN" w:eastAsia="zh-CN" w:bidi="ar-SA"/>
        </w:rPr>
        <w:t>该项目绩效自评主要是推进项目资金安排的科学性、合理性、规范性和资金使用成效，并通过绩效评价发现问题，强化整改，及时总结项目管理经验，完善项目管理办法，提高项目管理水平和项目资金的使用效益。</w:t>
      </w:r>
    </w:p>
    <w:p w14:paraId="36660363">
      <w:pPr>
        <w:keepNext w:val="0"/>
        <w:keepLines w:val="0"/>
        <w:pageBreakBefore w:val="0"/>
        <w:kinsoku/>
        <w:wordWrap/>
        <w:overflowPunct/>
        <w:topLinePunct w:val="0"/>
        <w:autoSpaceDE/>
        <w:autoSpaceDN/>
        <w:bidi w:val="0"/>
        <w:spacing w:line="560" w:lineRule="exact"/>
        <w:ind w:firstLine="640"/>
        <w:textAlignment w:val="auto"/>
      </w:pPr>
      <w:r>
        <w:rPr>
          <w:rFonts w:ascii="Times New Roman" w:hAnsi="Times New Roman" w:eastAsia="黑体" w:cs="Times New Roman"/>
          <w:sz w:val="30"/>
          <w:szCs w:val="30"/>
          <w:lang w:val="zh-CN"/>
        </w:rPr>
        <w:t>（二）预设问题及评价重点。</w:t>
      </w:r>
      <w:r>
        <w:rPr>
          <w:rFonts w:hint="default" w:ascii="Times New Roman" w:hAnsi="Times New Roman" w:eastAsia="仿宋_GB2312" w:cs="Times New Roman"/>
          <w:color w:val="auto"/>
          <w:kern w:val="2"/>
          <w:sz w:val="32"/>
          <w:szCs w:val="32"/>
          <w:lang w:val="zh-CN" w:eastAsia="zh-CN" w:bidi="ar-SA"/>
        </w:rPr>
        <w:t>该项目绩效自评主要是推进项目资金安排的科学性、合理性、规范性和资金使用成效，并通过绩效评价发现问题，强化整改，及时总结项目管理经验，完善项目管理办法，提高项目管理水平和项目资金的使用效益。</w:t>
      </w:r>
    </w:p>
    <w:p w14:paraId="42FEF7B4">
      <w:pPr>
        <w:adjustRightInd w:val="0"/>
        <w:snapToGrid w:val="0"/>
        <w:spacing w:line="578" w:lineRule="exact"/>
        <w:ind w:firstLine="600" w:firstLineChars="200"/>
        <w:rPr>
          <w:lang w:val="zh-CN"/>
        </w:rPr>
      </w:pPr>
      <w:r>
        <w:rPr>
          <w:rFonts w:ascii="Times New Roman" w:hAnsi="Times New Roman" w:eastAsia="黑体" w:cs="Times New Roman"/>
          <w:sz w:val="30"/>
          <w:szCs w:val="30"/>
          <w:lang w:val="zh-CN"/>
        </w:rPr>
        <w:t>（三）评价选点。</w:t>
      </w:r>
      <w:r>
        <w:rPr>
          <w:rFonts w:hint="eastAsia" w:ascii="Times New Roman" w:hAnsi="Times New Roman" w:eastAsia="仿宋_GB2312" w:cs="Times New Roman"/>
          <w:color w:val="auto"/>
          <w:kern w:val="2"/>
          <w:sz w:val="32"/>
          <w:szCs w:val="32"/>
          <w:lang w:val="zh-CN" w:eastAsia="zh-CN" w:bidi="ar-SA"/>
        </w:rPr>
        <w:t>项目绩效自评所抽样点位选取州云服务中心和州本级保姆式服务情况。</w:t>
      </w:r>
    </w:p>
    <w:p w14:paraId="0A8C8952">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rPr>
      </w:pPr>
      <w:r>
        <w:rPr>
          <w:rFonts w:ascii="Times New Roman" w:hAnsi="Times New Roman" w:eastAsia="黑体" w:cs="Times New Roman"/>
          <w:sz w:val="30"/>
          <w:szCs w:val="30"/>
          <w:lang w:val="zh-CN"/>
        </w:rPr>
        <w:t>（四）评价方法。</w:t>
      </w:r>
      <w:r>
        <w:rPr>
          <w:rFonts w:hint="default" w:ascii="Times New Roman" w:hAnsi="Times New Roman" w:eastAsia="仿宋_GB2312" w:cs="Times New Roman"/>
          <w:color w:val="auto"/>
          <w:kern w:val="2"/>
          <w:sz w:val="32"/>
          <w:szCs w:val="32"/>
          <w:lang w:val="zh-CN" w:eastAsia="zh-CN" w:bidi="ar-SA"/>
        </w:rPr>
        <w:t>根据项目情况和评价重点，我单位采用抽样自评法，搜集各方对该项目支出是社会效益的意见主管单位自评和他评的方法。</w:t>
      </w:r>
    </w:p>
    <w:p w14:paraId="0CB502A2">
      <w:pPr>
        <w:pStyle w:val="37"/>
        <w:keepNext w:val="0"/>
        <w:keepLines w:val="0"/>
        <w:pageBreakBefore w:val="0"/>
        <w:kinsoku/>
        <w:wordWrap/>
        <w:overflowPunct/>
        <w:topLinePunct w:val="0"/>
        <w:autoSpaceDE/>
        <w:autoSpaceDN/>
        <w:bidi w:val="0"/>
        <w:spacing w:line="560" w:lineRule="exact"/>
        <w:ind w:firstLine="643" w:firstLineChars="200"/>
        <w:jc w:val="left"/>
        <w:textAlignment w:val="auto"/>
        <w:rPr>
          <w:bCs/>
        </w:rPr>
      </w:pPr>
      <w:r>
        <w:rPr>
          <w:rFonts w:ascii="Times New Roman" w:hAnsi="Times New Roman" w:eastAsia="楷体_GB2312" w:cs="Times New Roman"/>
          <w:b/>
          <w:color w:val="auto"/>
          <w:kern w:val="2"/>
          <w:sz w:val="32"/>
          <w:szCs w:val="32"/>
          <w:lang w:val="zh-CN" w:eastAsia="zh-CN" w:bidi="ar-SA"/>
        </w:rPr>
        <w:t>（</w:t>
      </w:r>
      <w:r>
        <w:rPr>
          <w:rFonts w:ascii="Times New Roman" w:hAnsi="Times New Roman" w:eastAsia="黑体" w:cs="Times New Roman"/>
          <w:color w:val="auto"/>
          <w:kern w:val="2"/>
          <w:sz w:val="30"/>
          <w:szCs w:val="30"/>
          <w:lang w:val="zh-CN" w:eastAsia="zh-CN" w:bidi="ar-SA"/>
        </w:rPr>
        <w:t>五）评价组织。</w:t>
      </w:r>
      <w:r>
        <w:rPr>
          <w:rFonts w:hint="eastAsia" w:ascii="Times New Roman" w:hAnsi="Times New Roman" w:eastAsia="仿宋_GB2312" w:cs="Times New Roman"/>
          <w:color w:val="auto"/>
          <w:kern w:val="2"/>
          <w:sz w:val="32"/>
          <w:szCs w:val="32"/>
          <w:lang w:val="zh-CN" w:eastAsia="zh-CN" w:bidi="ar-SA"/>
        </w:rPr>
        <w:t>为</w:t>
      </w:r>
      <w:r>
        <w:rPr>
          <w:rFonts w:hint="default" w:ascii="Times New Roman" w:hAnsi="Times New Roman" w:eastAsia="仿宋_GB2312" w:cs="Times New Roman"/>
          <w:color w:val="auto"/>
          <w:kern w:val="2"/>
          <w:sz w:val="32"/>
          <w:szCs w:val="32"/>
          <w:lang w:val="en-US" w:eastAsia="zh-CN" w:bidi="ar-SA"/>
        </w:rPr>
        <w:t>了更好的管理此项目，提高项目实施效率，凉山州科学技术协会成立了</w:t>
      </w:r>
      <w:r>
        <w:rPr>
          <w:rFonts w:hint="eastAsia" w:ascii="Times New Roman" w:hAnsi="Times New Roman" w:eastAsia="仿宋_GB2312" w:cs="Times New Roman"/>
          <w:color w:val="auto"/>
          <w:kern w:val="2"/>
          <w:sz w:val="32"/>
          <w:szCs w:val="32"/>
          <w:lang w:val="en-US" w:eastAsia="zh-CN" w:bidi="ar-SA"/>
        </w:rPr>
        <w:t>凉山州科创会服务</w:t>
      </w:r>
      <w:r>
        <w:rPr>
          <w:rFonts w:hint="default" w:ascii="Times New Roman" w:hAnsi="Times New Roman" w:eastAsia="仿宋_GB2312" w:cs="Times New Roman"/>
          <w:color w:val="auto"/>
          <w:kern w:val="2"/>
          <w:sz w:val="32"/>
          <w:szCs w:val="32"/>
          <w:lang w:val="en-US" w:eastAsia="zh-CN" w:bidi="ar-SA"/>
        </w:rPr>
        <w:t>项目绩效评价领导小组，州科协党组成员、副主席毛正华担任组长，州科协办公室主任吴家英担任副组长，成员为州科协纪委委员俄木乌洛</w:t>
      </w:r>
      <w:r>
        <w:rPr>
          <w:rFonts w:hint="eastAsia" w:ascii="Times New Roman" w:hAnsi="Times New Roman" w:eastAsia="仿宋_GB2312" w:cs="Times New Roman"/>
          <w:color w:val="auto"/>
          <w:kern w:val="2"/>
          <w:sz w:val="32"/>
          <w:szCs w:val="32"/>
          <w:lang w:val="en-US" w:eastAsia="zh-CN" w:bidi="ar-SA"/>
        </w:rPr>
        <w:t>、州科协工作人员余敏</w:t>
      </w:r>
      <w:r>
        <w:rPr>
          <w:rFonts w:hint="default" w:ascii="Times New Roman" w:hAnsi="Times New Roman" w:eastAsia="仿宋_GB2312" w:cs="Times New Roman"/>
          <w:color w:val="auto"/>
          <w:kern w:val="2"/>
          <w:sz w:val="32"/>
          <w:szCs w:val="32"/>
          <w:lang w:val="en-US" w:eastAsia="zh-CN" w:bidi="ar-SA"/>
        </w:rPr>
        <w:t>。该项目领导小组设在州科协办公室，项目领导小组负责根据</w:t>
      </w:r>
      <w:r>
        <w:rPr>
          <w:rFonts w:hint="eastAsia" w:ascii="Times New Roman" w:hAnsi="Times New Roman" w:eastAsia="仿宋_GB2312" w:cs="Times New Roman"/>
          <w:color w:val="auto"/>
          <w:kern w:val="2"/>
          <w:sz w:val="32"/>
          <w:szCs w:val="32"/>
          <w:lang w:val="en-US" w:eastAsia="zh-CN" w:bidi="ar-SA"/>
        </w:rPr>
        <w:t>凉山州科创会服务</w:t>
      </w:r>
      <w:r>
        <w:rPr>
          <w:rFonts w:hint="default" w:ascii="Times New Roman" w:hAnsi="Times New Roman" w:eastAsia="仿宋_GB2312" w:cs="Times New Roman"/>
          <w:color w:val="auto"/>
          <w:kern w:val="2"/>
          <w:sz w:val="32"/>
          <w:szCs w:val="32"/>
          <w:lang w:val="en-US" w:eastAsia="zh-CN" w:bidi="ar-SA"/>
        </w:rPr>
        <w:t>项目绩效评价标准，对项目效果进行评估，并制定相应的结果报告。</w:t>
      </w:r>
    </w:p>
    <w:p w14:paraId="21128E39">
      <w:pPr>
        <w:adjustRightInd w:val="0"/>
        <w:snapToGrid w:val="0"/>
        <w:spacing w:line="578" w:lineRule="exact"/>
        <w:ind w:firstLine="600" w:firstLineChars="200"/>
        <w:rPr>
          <w:sz w:val="30"/>
          <w:szCs w:val="30"/>
          <w:lang w:val="zh-CN"/>
        </w:rPr>
      </w:pPr>
      <w:r>
        <w:rPr>
          <w:rFonts w:eastAsia="黑体"/>
          <w:sz w:val="30"/>
          <w:szCs w:val="30"/>
        </w:rPr>
        <w:t>三、绩效分析</w:t>
      </w:r>
      <w:r>
        <w:rPr>
          <w:sz w:val="30"/>
          <w:szCs w:val="30"/>
          <w:lang w:val="zh-CN"/>
        </w:rPr>
        <w:tab/>
      </w:r>
    </w:p>
    <w:p w14:paraId="531672EB">
      <w:pPr>
        <w:adjustRightInd w:val="0"/>
        <w:snapToGrid w:val="0"/>
        <w:spacing w:line="578"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lang w:val="zh-CN"/>
        </w:rPr>
        <w:t>（一）</w:t>
      </w:r>
      <w:r>
        <w:rPr>
          <w:rFonts w:ascii="Times New Roman" w:hAnsi="Times New Roman" w:eastAsia="黑体" w:cs="Times New Roman"/>
          <w:sz w:val="30"/>
          <w:szCs w:val="30"/>
        </w:rPr>
        <w:t>通用指标</w:t>
      </w:r>
      <w:r>
        <w:rPr>
          <w:rFonts w:ascii="Times New Roman" w:hAnsi="Times New Roman" w:eastAsia="黑体" w:cs="Times New Roman"/>
          <w:sz w:val="30"/>
          <w:szCs w:val="30"/>
          <w:lang w:val="zh-CN"/>
        </w:rPr>
        <w:t>绩效分析。</w:t>
      </w:r>
    </w:p>
    <w:p w14:paraId="4E96F65F">
      <w:pPr>
        <w:adjustRightInd w:val="0"/>
        <w:snapToGrid w:val="0"/>
        <w:spacing w:line="578"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黑体" w:cs="Times New Roman"/>
          <w:sz w:val="30"/>
          <w:szCs w:val="30"/>
          <w:lang w:val="en-US" w:eastAsia="zh-CN"/>
        </w:rPr>
        <w:t>1.项目决策。</w:t>
      </w:r>
      <w:r>
        <w:rPr>
          <w:rFonts w:hint="default" w:ascii="Times New Roman" w:hAnsi="Times New Roman" w:eastAsia="仿宋_GB2312" w:cs="Times New Roman"/>
          <w:color w:val="auto"/>
          <w:kern w:val="2"/>
          <w:sz w:val="30"/>
          <w:szCs w:val="30"/>
          <w:lang w:val="en-US" w:eastAsia="zh-CN" w:bidi="ar-SA"/>
        </w:rPr>
        <w:t>州科协是项目组织、实施和监管的主管单位，在</w:t>
      </w:r>
      <w:r>
        <w:rPr>
          <w:rFonts w:hint="eastAsia" w:ascii="Times New Roman" w:hAnsi="Times New Roman" w:eastAsia="仿宋_GB2312" w:cs="Times New Roman"/>
          <w:color w:val="auto"/>
          <w:kern w:val="2"/>
          <w:sz w:val="30"/>
          <w:szCs w:val="30"/>
          <w:lang w:val="en-US" w:eastAsia="zh-CN" w:bidi="ar-SA"/>
        </w:rPr>
        <w:t>科创会服务</w:t>
      </w:r>
      <w:r>
        <w:rPr>
          <w:rFonts w:hint="default" w:ascii="Times New Roman" w:hAnsi="Times New Roman" w:eastAsia="仿宋_GB2312" w:cs="Times New Roman"/>
          <w:color w:val="auto"/>
          <w:kern w:val="2"/>
          <w:sz w:val="30"/>
          <w:szCs w:val="30"/>
          <w:lang w:val="en-US" w:eastAsia="zh-CN" w:bidi="ar-SA"/>
        </w:rPr>
        <w:t>项目决策和实施方面坚持“资金跟着项目走、项目跟着决策走”的理念。</w:t>
      </w:r>
      <w:r>
        <w:rPr>
          <w:rFonts w:hint="eastAsia" w:ascii="Times New Roman" w:hAnsi="Times New Roman" w:eastAsia="仿宋_GB2312" w:cs="Times New Roman"/>
          <w:color w:val="auto"/>
          <w:kern w:val="2"/>
          <w:sz w:val="30"/>
          <w:szCs w:val="30"/>
          <w:lang w:val="en-US" w:eastAsia="zh-CN" w:bidi="ar-SA"/>
        </w:rPr>
        <w:t>凉山州科创会服务</w:t>
      </w:r>
      <w:r>
        <w:rPr>
          <w:rFonts w:hint="default" w:ascii="Times New Roman" w:hAnsi="Times New Roman" w:eastAsia="仿宋_GB2312" w:cs="Times New Roman"/>
          <w:color w:val="auto"/>
          <w:kern w:val="2"/>
          <w:sz w:val="30"/>
          <w:szCs w:val="30"/>
          <w:lang w:val="en-US" w:eastAsia="zh-CN" w:bidi="ar-SA"/>
        </w:rPr>
        <w:t>项目决策程序严密、项目规划论证符合中省要求，项目绩效目标设置科学合理、项目资金使用、项目总体规划与行业事业发展相匹配，项目所涉及内容与省、州、县（市）重大任务、重点领域、重点环节和重点项目紧密相关。分配方案报送州委分管领导审签，再报同级财政局会审、并向州委派驻纪检组进行报备。</w:t>
      </w:r>
    </w:p>
    <w:p w14:paraId="0D8A2256">
      <w:pPr>
        <w:spacing w:line="578" w:lineRule="exact"/>
        <w:ind w:firstLine="640"/>
        <w:rPr>
          <w:rFonts w:hint="eastAsia" w:ascii="仿宋_GB2312"/>
        </w:rPr>
      </w:pPr>
      <w:r>
        <w:rPr>
          <w:rFonts w:hint="eastAsia" w:ascii="Times New Roman" w:hAnsi="Times New Roman" w:eastAsia="黑体" w:cs="Times New Roman"/>
          <w:sz w:val="30"/>
          <w:szCs w:val="30"/>
          <w:lang w:val="en-US" w:eastAsia="zh-CN"/>
        </w:rPr>
        <w:t>2.项目管理。</w:t>
      </w:r>
      <w:r>
        <w:rPr>
          <w:rFonts w:hint="default" w:ascii="Times New Roman" w:hAnsi="Times New Roman" w:eastAsia="仿宋_GB2312" w:cs="Times New Roman"/>
          <w:b w:val="0"/>
          <w:bCs w:val="0"/>
          <w:color w:val="auto"/>
          <w:kern w:val="2"/>
          <w:sz w:val="32"/>
          <w:szCs w:val="32"/>
          <w:lang w:val="en-US" w:eastAsia="zh-CN" w:bidi="ar-SA"/>
        </w:rPr>
        <w:t>凉山</w:t>
      </w:r>
      <w:r>
        <w:rPr>
          <w:rFonts w:hint="default" w:ascii="Times New Roman" w:hAnsi="Times New Roman" w:eastAsia="仿宋_GB2312" w:cs="Times New Roman"/>
          <w:color w:val="auto"/>
          <w:kern w:val="2"/>
          <w:sz w:val="32"/>
          <w:szCs w:val="32"/>
          <w:lang w:val="en-US" w:eastAsia="zh-CN" w:bidi="ar-SA"/>
        </w:rPr>
        <w:t>州科协系统在制度办法上严格执行</w:t>
      </w:r>
      <w:r>
        <w:rPr>
          <w:rFonts w:hint="eastAsia" w:ascii="Times New Roman" w:hAnsi="Times New Roman" w:eastAsia="仿宋_GB2312" w:cs="Times New Roman"/>
          <w:color w:val="auto"/>
          <w:kern w:val="2"/>
          <w:sz w:val="32"/>
          <w:szCs w:val="32"/>
          <w:lang w:val="en-US" w:eastAsia="zh-CN" w:bidi="ar-SA"/>
        </w:rPr>
        <w:t>《省财政厅省科协关于印发&lt;中央和省级财政科普科服专项资金管理办法的通知&gt;》（川财规〔2024〕7号）</w:t>
      </w:r>
      <w:r>
        <w:rPr>
          <w:rFonts w:hint="default" w:ascii="Times New Roman" w:hAnsi="Times New Roman" w:eastAsia="仿宋_GB2312" w:cs="Times New Roman"/>
          <w:color w:val="auto"/>
          <w:kern w:val="2"/>
          <w:sz w:val="32"/>
          <w:szCs w:val="32"/>
          <w:lang w:val="en-US" w:eastAsia="zh-CN" w:bidi="ar-SA"/>
        </w:rPr>
        <w:t>、《凉山州科技计划项目专项资金管理办法》（凉财规［2020］2号）以及各县市地方配套科普专项资金管理办法和本部门（单位）财务管理制度进行实施管理。州科协党组严管严控</w:t>
      </w:r>
      <w:r>
        <w:rPr>
          <w:rFonts w:hint="eastAsia" w:ascii="Times New Roman" w:hAnsi="Times New Roman" w:eastAsia="仿宋_GB2312" w:cs="Times New Roman"/>
          <w:color w:val="auto"/>
          <w:kern w:val="2"/>
          <w:sz w:val="32"/>
          <w:szCs w:val="32"/>
          <w:lang w:val="en-US" w:eastAsia="zh-CN" w:bidi="ar-SA"/>
        </w:rPr>
        <w:t>凉山州</w:t>
      </w:r>
      <w:r>
        <w:rPr>
          <w:rFonts w:hint="eastAsia" w:ascii="Times New Roman" w:hAnsi="Times New Roman" w:cs="Times New Roman"/>
          <w:color w:val="auto"/>
          <w:kern w:val="2"/>
          <w:sz w:val="32"/>
          <w:szCs w:val="32"/>
          <w:lang w:val="en-US" w:eastAsia="zh-CN" w:bidi="ar-SA"/>
        </w:rPr>
        <w:t>科创</w:t>
      </w:r>
      <w:r>
        <w:rPr>
          <w:rFonts w:hint="default" w:ascii="Times New Roman" w:hAnsi="Times New Roman" w:eastAsia="仿宋_GB2312" w:cs="Times New Roman"/>
          <w:color w:val="auto"/>
          <w:kern w:val="2"/>
          <w:sz w:val="32"/>
          <w:szCs w:val="32"/>
          <w:lang w:val="en-US" w:eastAsia="zh-CN" w:bidi="ar-SA"/>
        </w:rPr>
        <w:t>项目资金，认真贯彻“用钱必问效、无效必问责”的财政资金绩效管理原则，</w:t>
      </w:r>
      <w:r>
        <w:rPr>
          <w:rFonts w:hint="eastAsia" w:ascii="Times New Roman" w:hAnsi="Times New Roman" w:eastAsia="仿宋_GB2312" w:cs="Times New Roman"/>
          <w:color w:val="auto"/>
          <w:kern w:val="2"/>
          <w:sz w:val="32"/>
          <w:szCs w:val="32"/>
          <w:lang w:val="en-US" w:eastAsia="zh-CN" w:bidi="ar-SA"/>
        </w:rPr>
        <w:t>凉山州天府科技云服务</w:t>
      </w:r>
      <w:r>
        <w:rPr>
          <w:rFonts w:hint="default" w:ascii="Times New Roman" w:hAnsi="Times New Roman" w:eastAsia="仿宋_GB2312" w:cs="Times New Roman"/>
          <w:color w:val="auto"/>
          <w:kern w:val="2"/>
          <w:sz w:val="32"/>
          <w:szCs w:val="32"/>
          <w:lang w:val="en-US" w:eastAsia="zh-CN" w:bidi="ar-SA"/>
        </w:rPr>
        <w:t>项目组事前进行调研；事中加强考察和指导；事后组织验收。</w:t>
      </w:r>
    </w:p>
    <w:p w14:paraId="16310540">
      <w:pPr>
        <w:pStyle w:val="37"/>
        <w:keepNext w:val="0"/>
        <w:keepLines w:val="0"/>
        <w:pageBreakBefore w:val="0"/>
        <w:numPr>
          <w:ilvl w:val="0"/>
          <w:numId w:val="0"/>
        </w:numPr>
        <w:kinsoku/>
        <w:wordWrap/>
        <w:overflowPunct/>
        <w:topLinePunct w:val="0"/>
        <w:autoSpaceDE/>
        <w:autoSpaceDN/>
        <w:bidi w:val="0"/>
        <w:spacing w:line="560" w:lineRule="exact"/>
        <w:ind w:firstLine="600" w:firstLineChars="200"/>
        <w:jc w:val="left"/>
        <w:textAlignment w:val="auto"/>
        <w:rPr>
          <w:rFonts w:hint="eastAsia" w:ascii="仿宋_GB2312"/>
        </w:rPr>
      </w:pPr>
      <w:r>
        <w:rPr>
          <w:rFonts w:hint="eastAsia" w:ascii="Times New Roman" w:hAnsi="Times New Roman" w:eastAsia="黑体" w:cs="Times New Roman"/>
          <w:color w:val="auto"/>
          <w:kern w:val="2"/>
          <w:sz w:val="30"/>
          <w:szCs w:val="30"/>
          <w:lang w:val="en-US" w:eastAsia="zh-CN" w:bidi="ar-SA"/>
        </w:rPr>
        <w:t>3.项目实施。</w:t>
      </w:r>
      <w:r>
        <w:rPr>
          <w:rFonts w:hint="eastAsia" w:ascii="Times New Roman" w:hAnsi="Times New Roman" w:eastAsia="仿宋_GB2312" w:cs="Times New Roman"/>
          <w:color w:val="auto"/>
          <w:kern w:val="2"/>
          <w:sz w:val="32"/>
          <w:szCs w:val="32"/>
          <w:lang w:val="en-US" w:eastAsia="zh-CN" w:bidi="ar-SA"/>
        </w:rPr>
        <w:t>凉山州科创会服务</w:t>
      </w:r>
      <w:r>
        <w:rPr>
          <w:rFonts w:hint="default" w:ascii="Times New Roman" w:hAnsi="Times New Roman" w:eastAsia="仿宋_GB2312" w:cs="Times New Roman"/>
          <w:color w:val="auto"/>
          <w:kern w:val="2"/>
          <w:sz w:val="32"/>
          <w:szCs w:val="32"/>
          <w:lang w:val="en-US" w:eastAsia="zh-CN" w:bidi="ar-SA"/>
        </w:rPr>
        <w:t>项目目前实施情况来看，能体现“用钱必问效、无效必问责”的财政资金使用原则，做到紧扣项目任务书组织实施完成年度项目工作，确保省级科普专项资金使用安全、透明、高速、效益化。较全面、客观、公开、公正的进行自我评价。目前</w:t>
      </w:r>
      <w:r>
        <w:rPr>
          <w:rFonts w:hint="eastAsia" w:ascii="Times New Roman" w:hAnsi="Times New Roman" w:eastAsia="仿宋_GB2312" w:cs="Times New Roman"/>
          <w:color w:val="auto"/>
          <w:kern w:val="2"/>
          <w:sz w:val="32"/>
          <w:szCs w:val="32"/>
          <w:lang w:val="en-US" w:eastAsia="zh-CN" w:bidi="ar-SA"/>
        </w:rPr>
        <w:t>已通过党组会审议，拟采用公开招投标，科学严谨</w:t>
      </w:r>
      <w:r>
        <w:rPr>
          <w:rFonts w:hint="default" w:ascii="Times New Roman" w:hAnsi="Times New Roman" w:eastAsia="仿宋_GB2312" w:cs="Times New Roman"/>
          <w:color w:val="auto"/>
          <w:kern w:val="2"/>
          <w:sz w:val="32"/>
          <w:szCs w:val="32"/>
          <w:lang w:val="en-US" w:eastAsia="zh-CN" w:bidi="ar-SA"/>
        </w:rPr>
        <w:t>实施</w:t>
      </w:r>
      <w:r>
        <w:rPr>
          <w:rFonts w:hint="eastAsia" w:ascii="Times New Roman" w:hAnsi="Times New Roman" w:eastAsia="仿宋_GB2312" w:cs="Times New Roman"/>
          <w:color w:val="auto"/>
          <w:kern w:val="2"/>
          <w:sz w:val="32"/>
          <w:szCs w:val="32"/>
          <w:lang w:val="en-US" w:eastAsia="zh-CN" w:bidi="ar-SA"/>
        </w:rPr>
        <w:t>凉山州天府科技云服务</w:t>
      </w:r>
      <w:r>
        <w:rPr>
          <w:rFonts w:hint="default" w:ascii="Times New Roman" w:hAnsi="Times New Roman" w:eastAsia="仿宋_GB2312" w:cs="Times New Roman"/>
          <w:color w:val="auto"/>
          <w:kern w:val="2"/>
          <w:sz w:val="32"/>
          <w:szCs w:val="32"/>
          <w:lang w:val="en-US" w:eastAsia="zh-CN" w:bidi="ar-SA"/>
        </w:rPr>
        <w:t>项目，确保能严格执行财务管理制度及专项资金管理办法和审批程序规定。</w:t>
      </w:r>
    </w:p>
    <w:p w14:paraId="6CAAB0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仿宋_GB2312"/>
        </w:rPr>
      </w:pPr>
      <w:r>
        <w:rPr>
          <w:rFonts w:hint="eastAsia" w:ascii="Times New Roman" w:hAnsi="Times New Roman" w:eastAsia="黑体" w:cs="Times New Roman"/>
          <w:color w:val="auto"/>
          <w:kern w:val="2"/>
          <w:sz w:val="30"/>
          <w:szCs w:val="30"/>
          <w:lang w:val="en-US" w:eastAsia="zh-CN" w:bidi="ar-SA"/>
        </w:rPr>
        <w:t>4.项目结果。</w:t>
      </w:r>
      <w:r>
        <w:rPr>
          <w:rFonts w:hint="eastAsia" w:ascii="仿宋_GB2312" w:hAnsi="仿宋_GB2312" w:eastAsia="仿宋_GB2312" w:cs="仿宋_GB2312"/>
          <w:i w:val="0"/>
          <w:iCs w:val="0"/>
          <w:caps w:val="0"/>
          <w:color w:val="000000"/>
          <w:spacing w:val="0"/>
          <w:sz w:val="32"/>
          <w:szCs w:val="32"/>
          <w:shd w:val="clear" w:color="auto" w:fill="auto"/>
        </w:rPr>
        <w:t>组织</w:t>
      </w:r>
      <w:r>
        <w:rPr>
          <w:rFonts w:hint="eastAsia" w:ascii="仿宋_GB2312" w:hAnsi="仿宋_GB2312" w:eastAsia="仿宋_GB2312" w:cs="仿宋_GB2312"/>
          <w:i w:val="0"/>
          <w:iCs w:val="0"/>
          <w:caps w:val="0"/>
          <w:color w:val="000000"/>
          <w:spacing w:val="0"/>
          <w:sz w:val="32"/>
          <w:szCs w:val="32"/>
          <w:shd w:val="clear" w:color="auto" w:fill="auto"/>
          <w:lang w:eastAsia="zh-CN"/>
        </w:rPr>
        <w:t>全州科协系统干部、科服保姆、企事业代表、科技工作者、项目负责人共计</w:t>
      </w:r>
      <w:r>
        <w:rPr>
          <w:rFonts w:hint="eastAsia" w:ascii="仿宋_GB2312" w:hAnsi="仿宋_GB2312" w:eastAsia="仿宋_GB2312" w:cs="仿宋_GB2312"/>
          <w:i w:val="0"/>
          <w:iCs w:val="0"/>
          <w:caps w:val="0"/>
          <w:color w:val="000000"/>
          <w:spacing w:val="0"/>
          <w:sz w:val="32"/>
          <w:szCs w:val="32"/>
          <w:shd w:val="clear" w:color="auto" w:fill="auto"/>
          <w:lang w:val="en-US" w:eastAsia="zh-CN"/>
        </w:rPr>
        <w:t>60余人参会。凉山共</w:t>
      </w:r>
      <w:r>
        <w:rPr>
          <w:rFonts w:hint="eastAsia" w:ascii="仿宋_GB2312" w:hAnsi="仿宋_GB2312" w:eastAsia="仿宋_GB2312" w:cs="仿宋_GB2312"/>
          <w:i w:val="0"/>
          <w:iCs w:val="0"/>
          <w:caps w:val="0"/>
          <w:color w:val="000000"/>
          <w:spacing w:val="0"/>
          <w:sz w:val="32"/>
          <w:szCs w:val="32"/>
          <w:shd w:val="clear" w:color="auto" w:fill="auto"/>
        </w:rPr>
        <w:t>征集遴选91个项目参会，其中3个项目从全省4670个项目中脱颖而出，入选省级重大项目推介会。冕宁县“降低氟碳铈矿湿法冶炼产生废水中盐含量的工艺研究”入选开幕式十个重大科技难题待攻关项目，西昌市</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牛粪+酒糟有机肥的研发与生产</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、甘洛县</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特色彝绣技艺传承与规划</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2个项目入选“食品轻纺与能源化工”重大科创项目专场推介会。西昌市</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特色杂粮作物现代农业产业示范基地建设与规划</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项目入选科创沙龙。</w:t>
      </w:r>
      <w:r>
        <w:rPr>
          <w:rFonts w:hint="eastAsia" w:ascii="仿宋_GB2312" w:hAnsi="仿宋_GB2312" w:eastAsia="仿宋_GB2312" w:cs="仿宋_GB2312"/>
          <w:i w:val="0"/>
          <w:iCs w:val="0"/>
          <w:caps w:val="0"/>
          <w:color w:val="000000"/>
          <w:spacing w:val="0"/>
          <w:sz w:val="32"/>
          <w:szCs w:val="32"/>
          <w:shd w:val="clear" w:color="auto" w:fill="FFFFFF"/>
        </w:rPr>
        <w:t>凉山州</w:t>
      </w:r>
      <w:r>
        <w:rPr>
          <w:rFonts w:hint="eastAsia" w:ascii="仿宋_GB2312" w:hAnsi="仿宋_GB2312" w:eastAsia="仿宋_GB2312" w:cs="仿宋_GB2312"/>
          <w:i w:val="0"/>
          <w:iCs w:val="0"/>
          <w:caps w:val="0"/>
          <w:color w:val="000000"/>
          <w:spacing w:val="0"/>
          <w:sz w:val="32"/>
          <w:szCs w:val="32"/>
          <w:shd w:val="clear" w:color="auto" w:fill="FFFFFF"/>
          <w:lang w:eastAsia="zh-CN"/>
        </w:rPr>
        <w:t>科协</w:t>
      </w:r>
      <w:r>
        <w:rPr>
          <w:rFonts w:hint="eastAsia" w:ascii="仿宋_GB2312" w:hAnsi="仿宋_GB2312" w:eastAsia="仿宋_GB2312" w:cs="仿宋_GB2312"/>
          <w:i w:val="0"/>
          <w:iCs w:val="0"/>
          <w:caps w:val="0"/>
          <w:color w:val="000000"/>
          <w:spacing w:val="0"/>
          <w:sz w:val="32"/>
          <w:szCs w:val="32"/>
          <w:shd w:val="clear" w:color="auto" w:fill="FFFFFF"/>
        </w:rPr>
        <w:t>荣获</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成效突出组织单位</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，凉山13个项目获评</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特别推荐优质科创项目</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12个项目获评“重点推荐优质科创项目”、</w:t>
      </w:r>
      <w:r>
        <w:rPr>
          <w:rFonts w:hint="eastAsia" w:ascii="仿宋_GB2312" w:hAnsi="仿宋_GB2312" w:eastAsia="仿宋_GB2312" w:cs="仿宋_GB2312"/>
          <w:i w:val="0"/>
          <w:iCs w:val="0"/>
          <w:caps w:val="0"/>
          <w:color w:val="000000"/>
          <w:spacing w:val="0"/>
          <w:sz w:val="32"/>
          <w:szCs w:val="32"/>
          <w:shd w:val="clear" w:color="auto" w:fill="FFFFFF"/>
        </w:rPr>
        <w:t>4人获评百优“科服保姆”荣誉。</w:t>
      </w:r>
      <w:r>
        <w:rPr>
          <w:rFonts w:hint="eastAsia" w:ascii="仿宋_GB2312" w:hAnsi="仿宋_GB2312" w:eastAsia="仿宋_GB2312" w:cs="仿宋_GB2312"/>
          <w:i w:val="0"/>
          <w:iCs w:val="0"/>
          <w:caps w:val="0"/>
          <w:color w:val="000000"/>
          <w:spacing w:val="0"/>
          <w:sz w:val="32"/>
          <w:szCs w:val="32"/>
          <w:shd w:val="clear" w:color="auto" w:fill="auto"/>
          <w:lang w:eastAsia="zh-CN"/>
        </w:rPr>
        <w:t>凉山设计搭建了具有文化特色的专属展区，展示了一系列以现代农业、特色文化为代表的科创产品和科普资源，展现了凉山筹备“科创会”以来的贡献和成绩，吸引了众多</w:t>
      </w:r>
      <w:r>
        <w:rPr>
          <w:rFonts w:hint="eastAsia" w:ascii="仿宋_GB2312" w:hAnsi="仿宋_GB2312" w:eastAsia="仿宋_GB2312" w:cs="仿宋_GB2312"/>
          <w:i w:val="0"/>
          <w:iCs w:val="0"/>
          <w:caps w:val="0"/>
          <w:color w:val="000000"/>
          <w:spacing w:val="0"/>
          <w:sz w:val="32"/>
          <w:szCs w:val="32"/>
          <w:shd w:val="clear" w:color="auto" w:fill="auto"/>
        </w:rPr>
        <w:t>企业</w:t>
      </w:r>
      <w:r>
        <w:rPr>
          <w:rFonts w:hint="eastAsia" w:ascii="仿宋_GB2312" w:hAnsi="仿宋_GB2312" w:eastAsia="仿宋_GB2312" w:cs="仿宋_GB2312"/>
          <w:i w:val="0"/>
          <w:iCs w:val="0"/>
          <w:caps w:val="0"/>
          <w:color w:val="000000"/>
          <w:spacing w:val="0"/>
          <w:sz w:val="32"/>
          <w:szCs w:val="32"/>
          <w:shd w:val="clear" w:color="auto" w:fill="auto"/>
          <w:lang w:eastAsia="zh-CN"/>
        </w:rPr>
        <w:t>和科技工作者</w:t>
      </w:r>
      <w:r>
        <w:rPr>
          <w:rFonts w:hint="eastAsia" w:ascii="仿宋_GB2312" w:hAnsi="仿宋_GB2312" w:eastAsia="仿宋_GB2312" w:cs="仿宋_GB2312"/>
          <w:i w:val="0"/>
          <w:iCs w:val="0"/>
          <w:caps w:val="0"/>
          <w:color w:val="000000"/>
          <w:spacing w:val="0"/>
          <w:sz w:val="32"/>
          <w:szCs w:val="32"/>
          <w:shd w:val="clear" w:color="auto" w:fill="auto"/>
        </w:rPr>
        <w:t>前来咨询和洽谈。</w:t>
      </w:r>
    </w:p>
    <w:p w14:paraId="2C3C8565">
      <w:pPr>
        <w:spacing w:line="578" w:lineRule="exact"/>
        <w:ind w:firstLine="600" w:firstLineChars="200"/>
        <w:rPr>
          <w:rFonts w:hint="eastAsia" w:ascii="Times New Roman" w:hAnsi="Times New Roman" w:eastAsia="黑体" w:cs="Times New Roman"/>
          <w:color w:val="auto"/>
          <w:kern w:val="2"/>
          <w:sz w:val="30"/>
          <w:szCs w:val="30"/>
          <w:lang w:val="zh-CN" w:eastAsia="zh-CN" w:bidi="ar-SA"/>
        </w:rPr>
      </w:pPr>
      <w:r>
        <w:rPr>
          <w:rFonts w:hint="eastAsia" w:ascii="Times New Roman" w:hAnsi="Times New Roman" w:eastAsia="黑体" w:cs="Times New Roman"/>
          <w:color w:val="auto"/>
          <w:kern w:val="2"/>
          <w:sz w:val="30"/>
          <w:szCs w:val="30"/>
          <w:lang w:val="zh-CN" w:eastAsia="zh-CN" w:bidi="ar-SA"/>
        </w:rPr>
        <w:t>（二）</w:t>
      </w:r>
      <w:r>
        <w:rPr>
          <w:rFonts w:hint="eastAsia" w:ascii="Times New Roman" w:hAnsi="Times New Roman" w:eastAsia="黑体" w:cs="Times New Roman"/>
          <w:color w:val="auto"/>
          <w:kern w:val="2"/>
          <w:sz w:val="30"/>
          <w:szCs w:val="30"/>
          <w:lang w:val="en-US" w:eastAsia="zh-CN" w:bidi="ar-SA"/>
        </w:rPr>
        <w:t>专用指标</w:t>
      </w:r>
      <w:r>
        <w:rPr>
          <w:rFonts w:hint="eastAsia" w:ascii="Times New Roman" w:hAnsi="Times New Roman" w:eastAsia="黑体" w:cs="Times New Roman"/>
          <w:color w:val="auto"/>
          <w:kern w:val="2"/>
          <w:sz w:val="30"/>
          <w:szCs w:val="30"/>
          <w:lang w:val="zh-CN" w:eastAsia="zh-CN" w:bidi="ar-SA"/>
        </w:rPr>
        <w:t>绩效分析。</w:t>
      </w:r>
    </w:p>
    <w:p w14:paraId="65F180C0">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zh-CN" w:eastAsia="zh-CN" w:bidi="ar-SA"/>
        </w:rPr>
        <w:t>根据</w:t>
      </w:r>
      <w:r>
        <w:rPr>
          <w:rFonts w:hint="default" w:ascii="Times New Roman" w:hAnsi="Times New Roman" w:eastAsia="仿宋_GB2312" w:cs="Times New Roman"/>
          <w:color w:val="auto"/>
          <w:kern w:val="2"/>
          <w:sz w:val="32"/>
          <w:szCs w:val="32"/>
          <w:lang w:val="en-US" w:eastAsia="zh-CN" w:bidi="ar-SA"/>
        </w:rPr>
        <w:t>专项预算项目资金支持对象选择所属指标进行了绩效分析，该项目属于</w:t>
      </w:r>
      <w:r>
        <w:rPr>
          <w:rFonts w:hint="default" w:ascii="Times New Roman" w:hAnsi="Times New Roman" w:eastAsia="仿宋_GB2312" w:cs="Times New Roman"/>
          <w:color w:val="auto"/>
          <w:kern w:val="2"/>
          <w:sz w:val="32"/>
          <w:szCs w:val="32"/>
          <w:lang w:val="zh-CN" w:eastAsia="zh-CN" w:bidi="ar-SA"/>
        </w:rPr>
        <w:t>民生保障类。</w:t>
      </w:r>
      <w:r>
        <w:rPr>
          <w:rFonts w:hint="eastAsia" w:ascii="Times New Roman" w:hAnsi="Times New Roman" w:eastAsia="仿宋_GB2312" w:cs="Times New Roman"/>
          <w:color w:val="auto"/>
          <w:kern w:val="2"/>
          <w:sz w:val="32"/>
          <w:szCs w:val="32"/>
          <w:lang w:val="en-US" w:eastAsia="zh-CN" w:bidi="ar-SA"/>
        </w:rPr>
        <w:t>该项目主要目的是筹备好第三届科创会，打造永不落幕的科创会，</w:t>
      </w:r>
      <w:r>
        <w:rPr>
          <w:rFonts w:hint="default" w:ascii="Times New Roman" w:hAnsi="Times New Roman" w:eastAsia="仿宋_GB2312" w:cs="Times New Roman"/>
          <w:color w:val="auto"/>
          <w:kern w:val="2"/>
          <w:sz w:val="32"/>
          <w:szCs w:val="32"/>
          <w:lang w:val="en-US" w:eastAsia="zh-CN" w:bidi="ar-SA"/>
        </w:rPr>
        <w:t>全面深化天府科技云服务</w:t>
      </w:r>
      <w:r>
        <w:rPr>
          <w:rFonts w:hint="eastAsia" w:ascii="Times New Roman" w:hAnsi="Times New Roman" w:eastAsia="仿宋_GB2312" w:cs="Times New Roman"/>
          <w:color w:val="auto"/>
          <w:kern w:val="2"/>
          <w:sz w:val="32"/>
          <w:szCs w:val="32"/>
          <w:lang w:val="en-US" w:eastAsia="zh-CN" w:bidi="ar-SA"/>
        </w:rPr>
        <w:t>在凉山落地落实落细</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自评得分30分。</w:t>
      </w:r>
    </w:p>
    <w:p w14:paraId="385CF775">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黑体" w:cs="Times New Roman"/>
          <w:color w:val="auto"/>
          <w:kern w:val="2"/>
          <w:sz w:val="30"/>
          <w:szCs w:val="30"/>
          <w:lang w:val="zh-CN" w:eastAsia="zh-CN" w:bidi="ar-SA"/>
        </w:rPr>
        <w:t>（三）个性指标绩效分析。</w:t>
      </w:r>
      <w:r>
        <w:rPr>
          <w:rFonts w:hint="eastAsia" w:ascii="Times New Roman" w:hAnsi="Times New Roman" w:eastAsia="仿宋_GB2312" w:cs="Times New Roman"/>
          <w:color w:val="auto"/>
          <w:kern w:val="2"/>
          <w:sz w:val="32"/>
          <w:szCs w:val="32"/>
          <w:lang w:val="en-US" w:eastAsia="zh-CN" w:bidi="ar-SA"/>
        </w:rPr>
        <w:t>根据项目个性指标设定为“征集参会项目不少于50项”、“获评优质项目不少于15项”。</w:t>
      </w:r>
      <w:r>
        <w:rPr>
          <w:rFonts w:hint="eastAsia" w:ascii="Times New Roman" w:hAnsi="Times New Roman" w:cs="Times New Roman"/>
          <w:color w:val="auto"/>
          <w:kern w:val="2"/>
          <w:sz w:val="32"/>
          <w:szCs w:val="32"/>
          <w:lang w:val="en-US" w:eastAsia="zh-CN" w:bidi="ar-SA"/>
        </w:rPr>
        <w:t>第三届科创会，</w:t>
      </w:r>
      <w:r>
        <w:rPr>
          <w:rFonts w:hint="eastAsia" w:ascii="Times New Roman" w:hAnsi="Times New Roman" w:eastAsia="仿宋_GB2312" w:cs="Times New Roman"/>
          <w:color w:val="auto"/>
          <w:kern w:val="2"/>
          <w:sz w:val="32"/>
          <w:szCs w:val="32"/>
          <w:lang w:val="en-US" w:eastAsia="zh-CN" w:bidi="ar-SA"/>
        </w:rPr>
        <w:t>共征集91个项目参会，凉山13个项目获评“特别推荐优质科创项目”、12个项目获评“重点推荐优质科创项目”，搭建了一个具有凉山特色的专属展区。超额完成任务该项指标自评得分16分。</w:t>
      </w:r>
    </w:p>
    <w:p w14:paraId="5A2452D4">
      <w:pPr>
        <w:pStyle w:val="2"/>
        <w:tabs>
          <w:tab w:val="left" w:pos="2160"/>
        </w:tabs>
        <w:spacing w:line="600" w:lineRule="exact"/>
        <w:ind w:firstLine="600" w:firstLineChars="200"/>
        <w:rPr>
          <w:rFonts w:hint="eastAsia" w:ascii="Times New Roman" w:hAnsi="Times New Roman" w:eastAsia="黑体" w:cs="Times New Roman"/>
          <w:color w:val="auto"/>
          <w:kern w:val="2"/>
          <w:sz w:val="30"/>
          <w:szCs w:val="30"/>
          <w:lang w:val="zh-CN" w:eastAsia="zh-CN" w:bidi="ar-SA"/>
        </w:rPr>
      </w:pPr>
      <w:r>
        <w:rPr>
          <w:rFonts w:hint="eastAsia" w:ascii="Times New Roman" w:hAnsi="Times New Roman" w:eastAsia="黑体" w:cs="Times New Roman"/>
          <w:color w:val="auto"/>
          <w:kern w:val="2"/>
          <w:sz w:val="30"/>
          <w:szCs w:val="30"/>
          <w:lang w:val="zh-CN" w:eastAsia="zh-CN" w:bidi="ar-SA"/>
        </w:rPr>
        <w:t>四、评价结论</w:t>
      </w:r>
    </w:p>
    <w:p w14:paraId="2B5CB299">
      <w:pPr>
        <w:pStyle w:val="2"/>
        <w:tabs>
          <w:tab w:val="left" w:pos="2160"/>
        </w:tabs>
        <w:spacing w:line="60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auto"/>
          <w:kern w:val="2"/>
          <w:sz w:val="32"/>
          <w:szCs w:val="32"/>
          <w:lang w:val="en-US" w:eastAsia="zh-CN" w:bidi="ar-SA"/>
        </w:rPr>
        <w:t>该项目目的</w:t>
      </w:r>
      <w:r>
        <w:rPr>
          <w:rFonts w:hint="default" w:ascii="Times New Roman" w:hAnsi="Times New Roman" w:eastAsia="仿宋_GB2312" w:cs="Times New Roman"/>
          <w:sz w:val="32"/>
          <w:szCs w:val="32"/>
        </w:rPr>
        <w:t>筹办</w:t>
      </w:r>
      <w:r>
        <w:rPr>
          <w:rFonts w:hint="eastAsia" w:ascii="Times New Roman" w:hAnsi="Times New Roman" w:eastAsia="仿宋_GB2312" w:cs="Times New Roman"/>
          <w:sz w:val="32"/>
          <w:szCs w:val="32"/>
          <w:lang w:eastAsia="zh-CN"/>
        </w:rPr>
        <w:t>好</w:t>
      </w:r>
      <w:r>
        <w:rPr>
          <w:rFonts w:hint="default" w:ascii="Times New Roman" w:hAnsi="Times New Roman" w:eastAsia="仿宋_GB2312" w:cs="Times New Roman"/>
          <w:sz w:val="32"/>
          <w:szCs w:val="32"/>
        </w:rPr>
        <w:t>第三届科创中国·天府科技云服务大会，全面深化天府科技云服务</w:t>
      </w:r>
      <w:r>
        <w:rPr>
          <w:rFonts w:hint="eastAsia" w:ascii="Times New Roman" w:hAnsi="Times New Roman" w:eastAsia="仿宋_GB2312" w:cs="Times New Roman"/>
          <w:sz w:val="32"/>
          <w:szCs w:val="32"/>
          <w:lang w:eastAsia="zh-CN"/>
        </w:rPr>
        <w:t>在凉山落地落实落细</w:t>
      </w:r>
      <w:r>
        <w:rPr>
          <w:rFonts w:hint="eastAsia" w:ascii="仿宋_GB2312" w:hAnsi="仿宋_GB2312" w:eastAsia="仿宋_GB2312" w:cs="仿宋_GB2312"/>
          <w:sz w:val="32"/>
          <w:szCs w:val="32"/>
          <w:lang w:eastAsia="zh-CN"/>
        </w:rPr>
        <w:t>。凉山州科协积极筹办大会，推动天府科技云更广更快传播，为天府科技云在凉山落地落实落细起到了良好成效。自评得分</w:t>
      </w:r>
      <w:r>
        <w:rPr>
          <w:rFonts w:hint="eastAsia" w:ascii="仿宋_GB2312" w:hAnsi="仿宋_GB2312" w:eastAsia="仿宋_GB2312" w:cs="仿宋_GB2312"/>
          <w:sz w:val="32"/>
          <w:szCs w:val="32"/>
          <w:lang w:val="en-US" w:eastAsia="zh-CN"/>
        </w:rPr>
        <w:t>100分。</w:t>
      </w:r>
    </w:p>
    <w:p w14:paraId="4FF4B2EA">
      <w:pPr>
        <w:pStyle w:val="2"/>
        <w:keepNext w:val="0"/>
        <w:keepLines w:val="0"/>
        <w:pageBreakBefore w:val="0"/>
        <w:numPr>
          <w:ilvl w:val="0"/>
          <w:numId w:val="4"/>
        </w:numPr>
        <w:tabs>
          <w:tab w:val="left" w:pos="2160"/>
        </w:tabs>
        <w:kinsoku/>
        <w:wordWrap/>
        <w:overflowPunct/>
        <w:topLinePunct w:val="0"/>
        <w:autoSpaceDE/>
        <w:bidi w:val="0"/>
        <w:adjustRightInd/>
        <w:snapToGrid/>
        <w:spacing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Times New Roman"/>
          <w:color w:val="000000"/>
          <w:kern w:val="0"/>
          <w:sz w:val="32"/>
          <w:szCs w:val="32"/>
          <w:shd w:val="clear" w:color="auto" w:fill="FFFFFF"/>
          <w:lang w:bidi="ar"/>
        </w:rPr>
        <w:t>存在主要问题</w:t>
      </w:r>
      <w:r>
        <w:rPr>
          <w:rFonts w:hint="eastAsia" w:ascii="黑体" w:hAnsi="黑体" w:eastAsia="黑体" w:cs="Times New Roman"/>
          <w:color w:val="000000"/>
          <w:kern w:val="0"/>
          <w:sz w:val="32"/>
          <w:szCs w:val="32"/>
          <w:shd w:val="clear" w:color="auto" w:fill="FFFFFF"/>
          <w:lang w:eastAsia="zh-CN" w:bidi="ar"/>
        </w:rPr>
        <w:t>：</w:t>
      </w:r>
      <w:r>
        <w:rPr>
          <w:rFonts w:hint="eastAsia" w:ascii="仿宋_GB2312" w:hAnsi="仿宋_GB2312" w:eastAsia="仿宋_GB2312" w:cs="仿宋_GB2312"/>
          <w:kern w:val="0"/>
          <w:sz w:val="32"/>
          <w:szCs w:val="32"/>
          <w:lang w:val="en-US" w:eastAsia="zh-CN" w:bidi="ar-SA"/>
        </w:rPr>
        <w:t>项目类型比较单一，多以农业项目为主。</w:t>
      </w:r>
    </w:p>
    <w:p w14:paraId="22FBF235">
      <w:pPr>
        <w:pStyle w:val="16"/>
        <w:keepNext w:val="0"/>
        <w:keepLines w:val="0"/>
        <w:pageBreakBefore w:val="0"/>
        <w:widowControl/>
        <w:tabs>
          <w:tab w:val="left" w:pos="2160"/>
        </w:tabs>
        <w:kinsoku/>
        <w:wordWrap/>
        <w:overflowPunct/>
        <w:topLinePunct w:val="0"/>
        <w:autoSpaceDE/>
        <w:autoSpaceDN w:val="0"/>
        <w:bidi w:val="0"/>
        <w:adjustRightInd/>
        <w:snapToGrid/>
        <w:spacing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Times New Roman"/>
          <w:color w:val="000000"/>
          <w:kern w:val="0"/>
          <w:sz w:val="32"/>
          <w:szCs w:val="32"/>
          <w:shd w:val="clear" w:color="auto" w:fill="FFFFFF"/>
          <w:lang w:bidi="ar"/>
        </w:rPr>
        <w:t>六、改进建议</w:t>
      </w:r>
      <w:r>
        <w:rPr>
          <w:rFonts w:hint="eastAsia" w:ascii="黑体" w:hAnsi="黑体" w:eastAsia="黑体" w:cs="Times New Roman"/>
          <w:color w:val="000000"/>
          <w:kern w:val="0"/>
          <w:sz w:val="32"/>
          <w:szCs w:val="32"/>
          <w:shd w:val="clear" w:color="auto" w:fill="FFFFFF"/>
          <w:lang w:eastAsia="zh-CN" w:bidi="ar"/>
        </w:rPr>
        <w:t>：</w:t>
      </w:r>
      <w:r>
        <w:rPr>
          <w:rFonts w:hint="eastAsia" w:ascii="仿宋_GB2312" w:hAnsi="仿宋_GB2312" w:eastAsia="仿宋_GB2312" w:cs="仿宋_GB2312"/>
          <w:kern w:val="0"/>
          <w:sz w:val="32"/>
          <w:szCs w:val="32"/>
          <w:lang w:val="en-US" w:eastAsia="zh-CN" w:bidi="ar-SA"/>
        </w:rPr>
        <w:t>加大征集力度，广泛征集各领域优秀典型项目。</w:t>
      </w:r>
    </w:p>
    <w:p w14:paraId="0581B45A">
      <w:pPr>
        <w:snapToGrid w:val="0"/>
        <w:spacing w:line="578" w:lineRule="exact"/>
        <w:ind w:firstLine="420" w:firstLineChars="200"/>
        <w:rPr>
          <w:rFonts w:hint="eastAsia" w:ascii="仿宋_GB2312"/>
          <w:color w:val="000000"/>
          <w:kern w:val="0"/>
          <w:shd w:val="clear" w:color="auto" w:fill="FFFFFF"/>
          <w:lang w:val="zh-CN"/>
        </w:rPr>
      </w:pPr>
    </w:p>
    <w:p w14:paraId="5561C9A5">
      <w:pPr>
        <w:spacing w:line="578" w:lineRule="exact"/>
        <w:rPr>
          <w:rFonts w:hint="eastAsia" w:ascii="仿宋_GB2312" w:hAnsi="仿宋_GB2312" w:eastAsia="仿宋_GB2312" w:cs="仿宋_GB2312"/>
          <w:kern w:val="0"/>
          <w:position w:val="0"/>
          <w:sz w:val="32"/>
          <w:szCs w:val="32"/>
          <w:lang w:val="en-US" w:eastAsia="zh-CN" w:bidi="ar-SA"/>
        </w:rPr>
      </w:pPr>
    </w:p>
    <w:p w14:paraId="1CCC15B0">
      <w:pPr>
        <w:spacing w:line="578" w:lineRule="exact"/>
        <w:ind w:firstLine="4480" w:firstLineChars="14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 xml:space="preserve"> 凉山州科学技术协会</w:t>
      </w:r>
    </w:p>
    <w:p w14:paraId="120EBBB3">
      <w:pPr>
        <w:spacing w:line="578" w:lineRule="exact"/>
        <w:ind w:firstLine="4800" w:firstLineChars="1500"/>
        <w:rPr>
          <w:rFonts w:hint="default"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2025年6月19日</w:t>
      </w:r>
    </w:p>
    <w:p w14:paraId="10854B16">
      <w:pPr>
        <w:snapToGrid w:val="0"/>
        <w:spacing w:line="578" w:lineRule="exact"/>
        <w:outlineLvl w:val="0"/>
        <w:rPr>
          <w:rFonts w:hint="default" w:eastAsia="黑体"/>
          <w:b w:val="0"/>
          <w:bCs w:val="0"/>
          <w:kern w:val="0"/>
          <w:sz w:val="30"/>
          <w:szCs w:val="30"/>
          <w:shd w:val="clear" w:color="auto" w:fill="FFFFFF"/>
          <w:lang w:val="en-US" w:eastAsia="zh-CN"/>
        </w:rPr>
      </w:pPr>
      <w:r>
        <w:rPr>
          <w:color w:val="000000"/>
          <w:kern w:val="0"/>
          <w:shd w:val="clear" w:color="auto" w:fill="FFFFFF"/>
          <w:lang w:val="zh-CN"/>
        </w:rPr>
        <w:br w:type="page"/>
      </w:r>
      <w:bookmarkStart w:id="85" w:name="_Toc21915"/>
      <w:r>
        <w:rPr>
          <w:rFonts w:hint="eastAsia" w:eastAsia="黑体"/>
          <w:b w:val="0"/>
          <w:bCs w:val="0"/>
          <w:kern w:val="0"/>
          <w:sz w:val="30"/>
          <w:szCs w:val="30"/>
          <w:shd w:val="clear" w:color="auto" w:fill="FFFFFF"/>
          <w:lang w:val="zh-CN" w:eastAsia="zh-CN"/>
        </w:rPr>
        <w:t>附件</w:t>
      </w:r>
      <w:r>
        <w:rPr>
          <w:rFonts w:hint="eastAsia" w:eastAsia="黑体"/>
          <w:b w:val="0"/>
          <w:bCs w:val="0"/>
          <w:kern w:val="0"/>
          <w:sz w:val="30"/>
          <w:szCs w:val="30"/>
          <w:shd w:val="clear" w:color="auto" w:fill="FFFFFF"/>
          <w:lang w:val="en-US" w:eastAsia="zh-CN"/>
        </w:rPr>
        <w:t>2-3</w:t>
      </w:r>
      <w:bookmarkEnd w:id="85"/>
    </w:p>
    <w:p w14:paraId="516DFF80">
      <w:pPr>
        <w:pStyle w:val="37"/>
        <w:spacing w:line="578" w:lineRule="exact"/>
        <w:jc w:val="center"/>
        <w:rPr>
          <w:rFonts w:ascii="Times New Roman" w:hAnsi="Times New Roman" w:eastAsia="方正小标宋简体"/>
          <w:color w:val="auto"/>
          <w:kern w:val="2"/>
          <w:sz w:val="44"/>
          <w:szCs w:val="44"/>
          <w:lang w:val="en-US"/>
        </w:rPr>
      </w:pPr>
      <w:r>
        <w:rPr>
          <w:rFonts w:hint="eastAsia" w:ascii="Times New Roman" w:hAnsi="Times New Roman" w:eastAsia="方正小标宋简体"/>
          <w:color w:val="auto"/>
          <w:kern w:val="2"/>
          <w:sz w:val="44"/>
          <w:szCs w:val="44"/>
          <w:lang w:val="en-US" w:eastAsia="zh-CN"/>
        </w:rPr>
        <w:t>“</w:t>
      </w:r>
      <w:r>
        <w:rPr>
          <w:rFonts w:hint="eastAsia" w:ascii="Times New Roman" w:hAnsi="Times New Roman" w:eastAsia="方正小标宋简体"/>
          <w:color w:val="auto"/>
          <w:kern w:val="2"/>
          <w:sz w:val="44"/>
          <w:szCs w:val="44"/>
          <w:lang w:val="en-US"/>
        </w:rPr>
        <w:t>最美科技工作者</w:t>
      </w:r>
      <w:r>
        <w:rPr>
          <w:rFonts w:hint="eastAsia" w:ascii="Times New Roman" w:hAnsi="Times New Roman" w:eastAsia="方正小标宋简体"/>
          <w:color w:val="auto"/>
          <w:kern w:val="2"/>
          <w:sz w:val="44"/>
          <w:szCs w:val="44"/>
          <w:lang w:val="en-US" w:eastAsia="zh-CN"/>
        </w:rPr>
        <w:t>”</w:t>
      </w:r>
      <w:r>
        <w:rPr>
          <w:rFonts w:hint="eastAsia" w:ascii="Times New Roman" w:hAnsi="Times New Roman" w:eastAsia="方正小标宋简体"/>
          <w:color w:val="auto"/>
          <w:kern w:val="2"/>
          <w:sz w:val="44"/>
          <w:szCs w:val="44"/>
          <w:lang w:val="en-US"/>
        </w:rPr>
        <w:t>活动</w:t>
      </w:r>
      <w:r>
        <w:rPr>
          <w:rFonts w:ascii="Times New Roman" w:hAnsi="Times New Roman" w:eastAsia="方正小标宋简体"/>
          <w:color w:val="auto"/>
          <w:kern w:val="2"/>
          <w:sz w:val="44"/>
          <w:szCs w:val="44"/>
          <w:lang w:val="en-US"/>
        </w:rPr>
        <w:t>自评报告</w:t>
      </w:r>
    </w:p>
    <w:p w14:paraId="0A43CCCA">
      <w:pPr>
        <w:pStyle w:val="37"/>
        <w:spacing w:line="578" w:lineRule="exact"/>
        <w:ind w:firstLine="640"/>
        <w:jc w:val="center"/>
        <w:rPr>
          <w:rFonts w:ascii="Times New Roman" w:hAnsi="Times New Roman"/>
          <w:color w:val="auto"/>
          <w:kern w:val="2"/>
          <w:sz w:val="32"/>
          <w:szCs w:val="32"/>
        </w:rPr>
      </w:pPr>
    </w:p>
    <w:p w14:paraId="60D91237">
      <w:pPr>
        <w:adjustRightInd w:val="0"/>
        <w:snapToGrid w:val="0"/>
        <w:spacing w:line="578" w:lineRule="exact"/>
        <w:ind w:firstLine="640" w:firstLineChars="200"/>
        <w:rPr>
          <w:rFonts w:eastAsia="黑体"/>
          <w:sz w:val="32"/>
          <w:szCs w:val="32"/>
          <w:lang w:val="zh-CN"/>
        </w:rPr>
      </w:pPr>
      <w:r>
        <w:rPr>
          <w:rFonts w:eastAsia="黑体"/>
          <w:sz w:val="32"/>
          <w:szCs w:val="32"/>
        </w:rPr>
        <w:t>一、</w:t>
      </w:r>
      <w:r>
        <w:rPr>
          <w:rFonts w:eastAsia="黑体"/>
          <w:sz w:val="32"/>
          <w:szCs w:val="32"/>
          <w:lang w:val="zh-CN"/>
        </w:rPr>
        <w:t>项目概况</w:t>
      </w:r>
    </w:p>
    <w:p w14:paraId="2D2783D6">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position w:val="0"/>
          <w:sz w:val="32"/>
          <w:szCs w:val="32"/>
          <w:lang w:val="en-US" w:eastAsia="zh-CN" w:bidi="ar-SA"/>
        </w:rPr>
      </w:pPr>
      <w:r>
        <w:rPr>
          <w:rFonts w:ascii="Times New Roman" w:hAnsi="Times New Roman" w:eastAsia="黑体" w:cs="Times New Roman"/>
          <w:sz w:val="32"/>
          <w:szCs w:val="32"/>
          <w:lang w:val="zh-CN"/>
        </w:rPr>
        <w:t>（一）设立背景及基本情况。</w:t>
      </w:r>
      <w:r>
        <w:rPr>
          <w:rFonts w:hint="eastAsia" w:ascii="仿宋_GB2312" w:hAnsi="仿宋_GB2312" w:eastAsia="仿宋_GB2312" w:cs="仿宋_GB2312"/>
          <w:kern w:val="0"/>
          <w:position w:val="0"/>
          <w:sz w:val="32"/>
          <w:szCs w:val="32"/>
          <w:lang w:val="en-US" w:eastAsia="zh-CN" w:bidi="ar-SA"/>
        </w:rPr>
        <w:t>为大力弘扬新时代科学家精神，激发全州科技工作者的荣誉感、自豪感、责任感，引导鼓励全州科技工作者勇做高水平科技自立自强排头兵，发挥科技创新助推凉山高质量发展。</w:t>
      </w:r>
    </w:p>
    <w:p w14:paraId="760D85A9">
      <w:pPr>
        <w:pStyle w:val="6"/>
        <w:keepNext w:val="0"/>
        <w:keepLines w:val="0"/>
        <w:pageBreakBefore w:val="0"/>
        <w:kinsoku/>
        <w:wordWrap/>
        <w:overflowPunct/>
        <w:topLinePunct w:val="0"/>
        <w:autoSpaceDE/>
        <w:autoSpaceDN/>
        <w:bidi w:val="0"/>
        <w:spacing w:line="600" w:lineRule="exact"/>
        <w:rPr>
          <w:rFonts w:hint="eastAsia"/>
          <w:lang w:val="zh-CN" w:eastAsia="zh-CN"/>
        </w:rPr>
      </w:pPr>
      <w:r>
        <w:rPr>
          <w:rFonts w:hint="eastAsia" w:ascii="仿宋_GB2312" w:hAnsi="仿宋_GB2312" w:eastAsia="仿宋_GB2312" w:cs="仿宋_GB2312"/>
          <w:kern w:val="0"/>
          <w:sz w:val="32"/>
          <w:szCs w:val="32"/>
          <w:highlight w:val="none"/>
          <w:lang w:val="en-US" w:eastAsia="zh-CN" w:bidi="ar-SA"/>
        </w:rPr>
        <w:t>州科协主要开展学术交流，活跃学术思想，促进学科发展，推动决策的科学化和民主化；弘扬科学精神，普及科学技术知识，推广先进技术，开展青少年科技教育活动，提高全民科学文化素质；维护科技工作者的合法权益，为科技团体和科技工作者服务，表彰和奖励优秀科技工作者，举荐人才。组织科技工作者参与科技政策、法规制定和政治协商、科学决策、民主监督工作；开展技术培训，推动科技成果向现实生产力转化；开展国际民间科技交流活动，加强科学技术团体和科技工作者的友好交流；开展继续教育和培训工作，兴办符合科协宗旨的社会公益性事业；对直属州级学会、协会、研究会进行管理，对县、市科协和基层组织进行业务指导；承担州委、州政府和省科协交办的其他事项。</w:t>
      </w:r>
    </w:p>
    <w:p w14:paraId="5EB411BF">
      <w:pPr>
        <w:adjustRightInd w:val="0"/>
        <w:snapToGrid w:val="0"/>
        <w:spacing w:line="578" w:lineRule="exact"/>
        <w:ind w:firstLine="640" w:firstLineChars="200"/>
        <w:rPr>
          <w:rFonts w:hint="eastAsia" w:ascii="仿宋_GB2312" w:hAnsi="仿宋_GB2312" w:eastAsia="仿宋_GB2312" w:cs="仿宋_GB2312"/>
          <w:kern w:val="0"/>
          <w:sz w:val="32"/>
          <w:szCs w:val="32"/>
          <w:highlight w:val="none"/>
          <w:lang w:val="zh-CN" w:eastAsia="zh-CN" w:bidi="ar-SA"/>
        </w:rPr>
      </w:pPr>
      <w:r>
        <w:rPr>
          <w:rFonts w:ascii="Times New Roman" w:hAnsi="Times New Roman" w:eastAsia="黑体" w:cs="Times New Roman"/>
          <w:sz w:val="32"/>
          <w:szCs w:val="32"/>
          <w:lang w:val="zh-CN"/>
        </w:rPr>
        <w:t>（二）实施目的及支持方向。</w:t>
      </w:r>
      <w:r>
        <w:rPr>
          <w:rFonts w:hint="eastAsia" w:ascii="仿宋_GB2312" w:hAnsi="仿宋_GB2312" w:eastAsia="仿宋_GB2312" w:cs="仿宋_GB2312"/>
          <w:kern w:val="0"/>
          <w:sz w:val="32"/>
          <w:szCs w:val="32"/>
          <w:highlight w:val="none"/>
          <w:lang w:val="en-US" w:eastAsia="zh-CN" w:bidi="ar-SA"/>
        </w:rPr>
        <w:t>根据《四川省科学技术协会四川省科学技术厅 关于开展2024年“全国科技工作者日”活动的通知》（川科协发〔2024〕73号）要求，在全州开展庆祝第八个5.30“全国科技工作者日”活动。为深入学习贯彻习近平新时代中国特色社会主义思想，全面宣传以习近平同志为核心的党中央对广大科技工作者的亲切关怀和对科技工作的高度重视，生动展现科技工作者报国为民的风采，大力弘扬科学家精神，营造全社会支持科技事业、爱护科技人才的氛围，增强科技工作者的获得感荣誉感和科技报国的使命感紧迫感，促进形成推进高水平科技自立自强、建设科技强国的强大合力，决定组织开展系列活动。</w:t>
      </w:r>
    </w:p>
    <w:p w14:paraId="7C2B126C">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highlight w:val="none"/>
          <w:lang w:val="zh-CN" w:eastAsia="zh-CN" w:bidi="ar-SA"/>
        </w:rPr>
      </w:pPr>
      <w:r>
        <w:rPr>
          <w:rFonts w:ascii="Times New Roman" w:hAnsi="Times New Roman" w:eastAsia="黑体" w:cs="Times New Roman"/>
          <w:sz w:val="32"/>
          <w:szCs w:val="32"/>
          <w:lang w:val="zh-CN"/>
        </w:rPr>
        <w:t>（三）预算安排及分配管理。</w:t>
      </w:r>
      <w:r>
        <w:rPr>
          <w:rFonts w:hint="eastAsia" w:ascii="仿宋_GB2312" w:hAnsi="仿宋_GB2312" w:eastAsia="仿宋_GB2312" w:cs="仿宋_GB2312"/>
          <w:kern w:val="0"/>
          <w:sz w:val="32"/>
          <w:szCs w:val="32"/>
          <w:highlight w:val="none"/>
          <w:lang w:val="zh-CN" w:eastAsia="zh-CN" w:bidi="ar-SA"/>
        </w:rPr>
        <w:t>州科协党组围绕省科协重点工作“天府科技云服务”为主线，结合州委、州政府工作规划要点及我科室具体工作任务，统筹考虑、科学分配。分配我科室25万元用于最美科技工作者活动等项目。</w:t>
      </w:r>
    </w:p>
    <w:p w14:paraId="07DF3BC8">
      <w:pPr>
        <w:adjustRightInd w:val="0"/>
        <w:snapToGrid w:val="0"/>
        <w:spacing w:line="578" w:lineRule="exact"/>
        <w:ind w:firstLine="640" w:firstLineChars="200"/>
        <w:rPr>
          <w:rFonts w:hint="default" w:ascii="仿宋_GB2312" w:hAnsi="仿宋_GB2312" w:eastAsia="仿宋_GB2312" w:cs="仿宋_GB2312"/>
          <w:kern w:val="0"/>
          <w:sz w:val="32"/>
          <w:szCs w:val="32"/>
          <w:highlight w:val="none"/>
          <w:lang w:val="en-US" w:eastAsia="zh-CN" w:bidi="ar-SA"/>
        </w:rPr>
      </w:pPr>
      <w:r>
        <w:rPr>
          <w:rFonts w:ascii="Times New Roman" w:hAnsi="Times New Roman" w:eastAsia="黑体" w:cs="Times New Roman"/>
          <w:sz w:val="32"/>
          <w:szCs w:val="32"/>
          <w:lang w:val="zh-CN"/>
        </w:rPr>
        <w:t>（四）项目绩效目标设置。</w:t>
      </w:r>
      <w:r>
        <w:rPr>
          <w:rFonts w:hint="eastAsia" w:ascii="仿宋_GB2312" w:hAnsi="仿宋_GB2312" w:eastAsia="仿宋_GB2312" w:cs="仿宋_GB2312"/>
          <w:kern w:val="0"/>
          <w:sz w:val="32"/>
          <w:szCs w:val="32"/>
          <w:highlight w:val="none"/>
          <w:lang w:val="zh-CN" w:eastAsia="zh-CN" w:bidi="ar-SA"/>
        </w:rPr>
        <w:t>项目主要用于搭建舞台开展歌舞表演、科普宣传、义诊等</w:t>
      </w:r>
      <w:r>
        <w:rPr>
          <w:rFonts w:hint="eastAsia" w:ascii="仿宋_GB2312" w:hAnsi="仿宋_GB2312" w:eastAsia="仿宋_GB2312" w:cs="仿宋_GB2312"/>
          <w:kern w:val="0"/>
          <w:sz w:val="32"/>
          <w:szCs w:val="32"/>
          <w:highlight w:val="none"/>
          <w:lang w:val="en-US" w:eastAsia="zh-CN" w:bidi="ar-SA"/>
        </w:rPr>
        <w:t>5.30“全国科技工作者日”庆祝活动，拍摄最美科技工作者纪录片《追光》等。</w:t>
      </w:r>
    </w:p>
    <w:p w14:paraId="1FEF0632">
      <w:pPr>
        <w:adjustRightInd w:val="0"/>
        <w:snapToGrid w:val="0"/>
        <w:spacing w:line="578" w:lineRule="exact"/>
        <w:ind w:firstLine="640" w:firstLineChars="200"/>
        <w:rPr>
          <w:rFonts w:ascii="Times New Roman" w:hAnsi="Times New Roman" w:eastAsia="黑体" w:cs="Times New Roman"/>
          <w:sz w:val="32"/>
          <w:szCs w:val="32"/>
          <w:lang w:val="zh-CN"/>
        </w:rPr>
      </w:pPr>
      <w:r>
        <w:rPr>
          <w:rFonts w:ascii="Times New Roman" w:hAnsi="Times New Roman" w:eastAsia="黑体" w:cs="Times New Roman"/>
          <w:sz w:val="32"/>
          <w:szCs w:val="32"/>
          <w:lang w:val="zh-CN"/>
        </w:rPr>
        <w:t>二、评价实施</w:t>
      </w:r>
    </w:p>
    <w:p w14:paraId="1C85E14F">
      <w:pPr>
        <w:spacing w:line="578" w:lineRule="exact"/>
        <w:ind w:firstLine="640"/>
        <w:rPr>
          <w:rFonts w:hint="eastAsia" w:ascii="仿宋_GB2312" w:hAnsi="仿宋_GB2312" w:eastAsia="仿宋_GB2312" w:cs="仿宋_GB2312"/>
          <w:kern w:val="0"/>
          <w:sz w:val="32"/>
          <w:szCs w:val="32"/>
          <w:highlight w:val="none"/>
          <w:lang w:val="en-US" w:eastAsia="zh-CN" w:bidi="ar-SA"/>
        </w:rPr>
      </w:pPr>
      <w:r>
        <w:rPr>
          <w:rFonts w:ascii="Times New Roman" w:hAnsi="Times New Roman" w:eastAsia="黑体" w:cs="Times New Roman"/>
          <w:sz w:val="32"/>
          <w:szCs w:val="32"/>
          <w:lang w:val="zh-CN"/>
        </w:rPr>
        <w:t>（一）评价目的。</w:t>
      </w:r>
      <w:r>
        <w:rPr>
          <w:rFonts w:hint="eastAsia" w:ascii="仿宋_GB2312" w:hAnsi="仿宋_GB2312" w:eastAsia="仿宋_GB2312" w:cs="仿宋_GB2312"/>
          <w:kern w:val="0"/>
          <w:sz w:val="32"/>
          <w:szCs w:val="32"/>
          <w:highlight w:val="none"/>
          <w:lang w:val="en-US" w:eastAsia="zh-CN" w:bidi="ar-SA"/>
        </w:rPr>
        <w:t>开展弘扬科学家精神、科学普及等活动，线上线下讲好科学家故事、普及科学知识，协同发力，为广大科技工作者营造浓厚节日氛围。</w:t>
      </w:r>
    </w:p>
    <w:p w14:paraId="689488DF">
      <w:pPr>
        <w:adjustRightInd w:val="0"/>
        <w:snapToGrid w:val="0"/>
        <w:spacing w:line="578"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ascii="Times New Roman" w:hAnsi="Times New Roman" w:eastAsia="黑体" w:cs="Times New Roman"/>
          <w:sz w:val="32"/>
          <w:szCs w:val="32"/>
          <w:lang w:val="zh-CN"/>
        </w:rPr>
        <w:t>（二）预设问题及评价重点。</w:t>
      </w:r>
      <w:r>
        <w:rPr>
          <w:rFonts w:hint="eastAsia"/>
        </w:rPr>
        <w:t>凉</w:t>
      </w:r>
      <w:r>
        <w:rPr>
          <w:rFonts w:hint="eastAsia" w:ascii="仿宋_GB2312" w:hAnsi="仿宋_GB2312" w:eastAsia="仿宋_GB2312" w:cs="仿宋_GB2312"/>
          <w:kern w:val="0"/>
          <w:sz w:val="32"/>
          <w:szCs w:val="32"/>
          <w:highlight w:val="none"/>
          <w:lang w:val="en-US" w:eastAsia="zh-CN" w:bidi="ar-SA"/>
        </w:rPr>
        <w:t>山州科协党组将绩效管理的理念贯穿于项目的事前、事中、事后。明确项目的立项依据、成本费用、实施条件、信息支撑、效益情况等。确保申报内容与实际相符，申报目标合理可行。</w:t>
      </w:r>
    </w:p>
    <w:p w14:paraId="4F738F94">
      <w:pPr>
        <w:adjustRightInd w:val="0"/>
        <w:snapToGrid w:val="0"/>
        <w:spacing w:line="578" w:lineRule="exact"/>
        <w:ind w:firstLine="640" w:firstLineChars="200"/>
        <w:rPr>
          <w:rFonts w:hint="eastAsia" w:ascii="仿宋_GB2312" w:hAnsi="仿宋_GB2312" w:eastAsia="仿宋_GB2312" w:cs="仿宋_GB2312"/>
          <w:kern w:val="0"/>
          <w:sz w:val="32"/>
          <w:szCs w:val="32"/>
          <w:highlight w:val="none"/>
          <w:lang w:val="zh-CN" w:eastAsia="zh-CN" w:bidi="ar-SA"/>
        </w:rPr>
      </w:pPr>
      <w:r>
        <w:rPr>
          <w:rFonts w:ascii="Times New Roman" w:hAnsi="Times New Roman" w:eastAsia="黑体" w:cs="Times New Roman"/>
          <w:sz w:val="32"/>
          <w:szCs w:val="32"/>
          <w:lang w:val="zh-CN"/>
        </w:rPr>
        <w:t>（三）评价选点。</w:t>
      </w:r>
      <w:r>
        <w:rPr>
          <w:rFonts w:hint="eastAsia" w:ascii="仿宋_GB2312" w:hAnsi="仿宋_GB2312" w:eastAsia="仿宋_GB2312" w:cs="仿宋_GB2312"/>
          <w:kern w:val="0"/>
          <w:sz w:val="32"/>
          <w:szCs w:val="32"/>
          <w:highlight w:val="none"/>
          <w:lang w:val="zh-CN" w:eastAsia="zh-CN" w:bidi="ar-SA"/>
        </w:rPr>
        <w:t>在项目实施过程中，严格划分</w:t>
      </w:r>
      <w:r>
        <w:rPr>
          <w:rFonts w:hint="eastAsia" w:ascii="仿宋_GB2312" w:hAnsi="仿宋_GB2312" w:eastAsia="仿宋_GB2312" w:cs="仿宋_GB2312"/>
          <w:kern w:val="0"/>
          <w:sz w:val="32"/>
          <w:szCs w:val="32"/>
          <w:highlight w:val="none"/>
          <w:lang w:val="en-US" w:eastAsia="zh-CN" w:bidi="ar-SA"/>
        </w:rPr>
        <w:t>单位的责、权、利，最大限度提高项目资金的使用效率。</w:t>
      </w:r>
      <w:r>
        <w:rPr>
          <w:rFonts w:hint="eastAsia" w:ascii="仿宋_GB2312" w:hAnsi="仿宋_GB2312" w:eastAsia="仿宋_GB2312" w:cs="仿宋_GB2312"/>
          <w:kern w:val="0"/>
          <w:sz w:val="32"/>
          <w:szCs w:val="32"/>
          <w:highlight w:val="none"/>
          <w:lang w:val="zh-CN" w:eastAsia="zh-CN" w:bidi="ar-SA"/>
        </w:rPr>
        <w:t>项目资金的使用符合国家财经法规和财务管理制度及有关专项资金管理办法规定、符合项目预算批复和合同规定用途，审批程序完整严谨；项目实施遵守相关法律法规，无截留、挤占、挪用、虚列支出等情况；项目完成后合同签订、验收报告、技术鉴定等资料齐全并及时归档。</w:t>
      </w:r>
      <w:r>
        <w:rPr>
          <w:rFonts w:hint="eastAsia" w:ascii="仿宋_GB2312" w:hAnsi="仿宋_GB2312" w:eastAsia="仿宋_GB2312" w:cs="仿宋_GB2312"/>
          <w:kern w:val="0"/>
          <w:sz w:val="32"/>
          <w:szCs w:val="32"/>
          <w:highlight w:val="none"/>
          <w:lang w:val="en-US" w:eastAsia="zh-CN" w:bidi="ar-SA"/>
        </w:rPr>
        <w:t>确保州级科普专项资金使用安全、透明。预算执行率100%。</w:t>
      </w:r>
    </w:p>
    <w:p w14:paraId="5B5012C8">
      <w:pPr>
        <w:keepNext w:val="0"/>
        <w:keepLines w:val="0"/>
        <w:pageBreakBefore w:val="0"/>
        <w:kinsoku/>
        <w:wordWrap/>
        <w:overflowPunct/>
        <w:topLinePunct w:val="0"/>
        <w:autoSpaceDE/>
        <w:autoSpaceDN/>
        <w:bidi w:val="0"/>
        <w:spacing w:line="600" w:lineRule="exact"/>
        <w:ind w:firstLine="640"/>
        <w:rPr>
          <w:rFonts w:hint="eastAsia" w:ascii="仿宋_GB2312" w:hAnsi="仿宋_GB2312" w:eastAsia="仿宋_GB2312" w:cs="仿宋_GB2312"/>
          <w:kern w:val="0"/>
          <w:sz w:val="32"/>
          <w:szCs w:val="32"/>
          <w:highlight w:val="none"/>
          <w:lang w:val="zh-CN" w:eastAsia="zh-CN" w:bidi="ar-SA"/>
        </w:rPr>
      </w:pPr>
      <w:r>
        <w:rPr>
          <w:rFonts w:ascii="Times New Roman" w:hAnsi="Times New Roman" w:eastAsia="黑体" w:cs="Times New Roman"/>
          <w:sz w:val="32"/>
          <w:szCs w:val="32"/>
          <w:lang w:val="zh-CN"/>
        </w:rPr>
        <w:t>（四）评价方法。</w:t>
      </w:r>
      <w:r>
        <w:rPr>
          <w:rFonts w:hint="eastAsia" w:ascii="仿宋_GB2312" w:hAnsi="仿宋_GB2312" w:eastAsia="仿宋_GB2312" w:cs="仿宋_GB2312"/>
          <w:kern w:val="0"/>
          <w:sz w:val="32"/>
          <w:szCs w:val="32"/>
          <w:highlight w:val="none"/>
          <w:lang w:val="zh-CN" w:eastAsia="zh-CN" w:bidi="ar-SA"/>
        </w:rPr>
        <w:t>凉山州科学技术协会是项目组织、实施和监管的主管单位。我科室依照凉山州科学技术协会的工作布置和州财政局的“谁用钱、谁自评”和要求，对照“专项预算项目绩效目标完成情况自评表”和“专项预算绩效自评打分表”，按照表中项目</w:t>
      </w:r>
      <w:r>
        <w:rPr>
          <w:rFonts w:hint="eastAsia" w:ascii="仿宋_GB2312" w:hAnsi="仿宋_GB2312" w:eastAsia="仿宋_GB2312" w:cs="仿宋_GB2312"/>
          <w:kern w:val="0"/>
          <w:sz w:val="32"/>
          <w:szCs w:val="32"/>
          <w:highlight w:val="none"/>
          <w:lang w:val="en-US" w:eastAsia="zh-CN" w:bidi="ar-SA"/>
        </w:rPr>
        <w:t>概</w:t>
      </w:r>
      <w:r>
        <w:rPr>
          <w:rFonts w:hint="eastAsia" w:ascii="仿宋_GB2312" w:hAnsi="仿宋_GB2312" w:eastAsia="仿宋_GB2312" w:cs="仿宋_GB2312"/>
          <w:kern w:val="0"/>
          <w:sz w:val="32"/>
          <w:szCs w:val="32"/>
          <w:highlight w:val="none"/>
          <w:lang w:val="zh-CN" w:eastAsia="zh-CN" w:bidi="ar-SA"/>
        </w:rPr>
        <w:t>况、项目总体目标，绩效指标等内容，结合项目决策、项目管理、项目实施、项目结果、民生保障、自设个性指标等特点逐项进行自评打分，较客观公正的对财政资金进行全面绩效评价。确保州级科普专项资金使用安全、透明、高速、效益化。</w:t>
      </w:r>
    </w:p>
    <w:p w14:paraId="54C1AC7E">
      <w:pPr>
        <w:spacing w:line="578" w:lineRule="exact"/>
        <w:ind w:firstLine="640"/>
        <w:rPr>
          <w:bCs/>
        </w:rPr>
      </w:pPr>
      <w:r>
        <w:rPr>
          <w:rFonts w:eastAsia="楷体_GB2312"/>
          <w:b/>
          <w:sz w:val="32"/>
          <w:szCs w:val="32"/>
          <w:lang w:val="zh-CN"/>
        </w:rPr>
        <w:t>（五）评价组织。</w:t>
      </w:r>
      <w:r>
        <w:rPr>
          <w:rFonts w:hint="eastAsia" w:ascii="仿宋_GB2312" w:hAnsi="仿宋_GB2312" w:eastAsia="仿宋_GB2312" w:cs="仿宋_GB2312"/>
          <w:color w:val="auto"/>
          <w:kern w:val="0"/>
          <w:sz w:val="32"/>
          <w:szCs w:val="32"/>
          <w:lang w:eastAsia="zh-CN"/>
        </w:rPr>
        <w:t>州科协党组负责该项目的制定与监督，学会部负责该项目的具体实施。</w:t>
      </w:r>
    </w:p>
    <w:p w14:paraId="054C4F1A">
      <w:pPr>
        <w:adjustRightInd w:val="0"/>
        <w:snapToGrid w:val="0"/>
        <w:spacing w:line="578" w:lineRule="exact"/>
        <w:ind w:firstLine="640" w:firstLineChars="200"/>
        <w:rPr>
          <w:sz w:val="32"/>
          <w:szCs w:val="32"/>
          <w:lang w:val="zh-CN"/>
        </w:rPr>
      </w:pPr>
      <w:r>
        <w:rPr>
          <w:rFonts w:eastAsia="黑体"/>
          <w:sz w:val="32"/>
          <w:szCs w:val="32"/>
        </w:rPr>
        <w:t>三、绩效分析</w:t>
      </w:r>
      <w:r>
        <w:rPr>
          <w:sz w:val="32"/>
          <w:szCs w:val="32"/>
          <w:lang w:val="zh-CN"/>
        </w:rPr>
        <w:tab/>
      </w:r>
    </w:p>
    <w:p w14:paraId="091C629C">
      <w:pPr>
        <w:adjustRightInd w:val="0"/>
        <w:snapToGrid w:val="0"/>
        <w:spacing w:line="578" w:lineRule="exact"/>
        <w:ind w:firstLine="640" w:firstLineChars="20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lang w:val="zh-CN"/>
        </w:rPr>
        <w:t>（一）</w:t>
      </w:r>
      <w:r>
        <w:rPr>
          <w:rFonts w:ascii="Times New Roman" w:hAnsi="Times New Roman" w:eastAsia="黑体" w:cs="Times New Roman"/>
          <w:sz w:val="32"/>
          <w:szCs w:val="32"/>
        </w:rPr>
        <w:t>通用指标</w:t>
      </w:r>
      <w:r>
        <w:rPr>
          <w:rFonts w:ascii="Times New Roman" w:hAnsi="Times New Roman" w:eastAsia="黑体" w:cs="Times New Roman"/>
          <w:sz w:val="32"/>
          <w:szCs w:val="32"/>
          <w:lang w:val="zh-CN"/>
        </w:rPr>
        <w:t>绩效分析。</w:t>
      </w:r>
      <w:r>
        <w:rPr>
          <w:rFonts w:hint="eastAsia" w:ascii="Times New Roman" w:hAnsi="Times New Roman" w:eastAsia="黑体" w:cs="Times New Roman"/>
          <w:sz w:val="32"/>
          <w:szCs w:val="32"/>
          <w:lang w:val="zh-CN" w:eastAsia="zh-CN"/>
        </w:rPr>
        <w:t>（自评得分：</w:t>
      </w:r>
      <w:r>
        <w:rPr>
          <w:rFonts w:hint="eastAsia" w:ascii="Times New Roman" w:hAnsi="Times New Roman" w:eastAsia="黑体" w:cs="Times New Roman"/>
          <w:sz w:val="32"/>
          <w:szCs w:val="32"/>
          <w:lang w:val="en-US" w:eastAsia="zh-CN"/>
        </w:rPr>
        <w:t>54分</w:t>
      </w:r>
      <w:r>
        <w:rPr>
          <w:rFonts w:hint="eastAsia" w:ascii="Times New Roman" w:hAnsi="Times New Roman" w:eastAsia="黑体" w:cs="Times New Roman"/>
          <w:sz w:val="32"/>
          <w:szCs w:val="32"/>
          <w:lang w:val="zh-CN" w:eastAsia="zh-CN"/>
        </w:rPr>
        <w:t>）</w:t>
      </w:r>
    </w:p>
    <w:p w14:paraId="7989AFA1">
      <w:pPr>
        <w:adjustRightInd w:val="0"/>
        <w:snapToGrid w:val="0"/>
        <w:spacing w:line="578" w:lineRule="exact"/>
        <w:ind w:firstLine="640" w:firstLineChars="200"/>
        <w:rPr>
          <w:rFonts w:hint="eastAsia" w:ascii="仿宋_GB2312" w:hAnsi="仿宋_GB2312" w:eastAsia="仿宋_GB2312" w:cs="仿宋_GB2312"/>
          <w:kern w:val="0"/>
          <w:sz w:val="32"/>
          <w:szCs w:val="32"/>
          <w:highlight w:val="none"/>
          <w:lang w:val="zh-CN" w:eastAsia="zh-CN" w:bidi="ar-SA"/>
        </w:rPr>
      </w:pPr>
      <w:r>
        <w:rPr>
          <w:rFonts w:hint="eastAsia" w:ascii="Times New Roman" w:hAnsi="Times New Roman" w:eastAsia="黑体" w:cs="Times New Roman"/>
          <w:sz w:val="32"/>
          <w:szCs w:val="32"/>
          <w:lang w:val="zh-CN" w:eastAsia="zh-CN"/>
        </w:rPr>
        <w:t>1.项目决策。</w:t>
      </w:r>
      <w:r>
        <w:rPr>
          <w:rFonts w:hint="eastAsia" w:ascii="仿宋_GB2312" w:hAnsi="仿宋_GB2312" w:eastAsia="仿宋_GB2312" w:cs="仿宋_GB2312"/>
          <w:kern w:val="0"/>
          <w:sz w:val="32"/>
          <w:szCs w:val="32"/>
          <w:highlight w:val="none"/>
          <w:lang w:val="zh-CN" w:eastAsia="zh-CN" w:bidi="ar-SA"/>
        </w:rPr>
        <w:t>为深入学习贯彻习近平新时代中国特色社会主义思想，全面宣传以习近平同志为核心的党中央对广大科技工作者的亲切关怀和对科技工作的高度重视，生动展现科技工作者报国为民的风采，大力弘扬科学家精神，营造全社会支持科技事业、爱护科技人才的氛围，增强科技工作者的获得感荣誉感和科技报国的使命感紧迫感，促进形成推进高水平科技自立自强、建设科技强国的强大合力。故此项自评得分18分。</w:t>
      </w:r>
    </w:p>
    <w:p w14:paraId="03CC7622">
      <w:pPr>
        <w:keepNext w:val="0"/>
        <w:keepLines w:val="0"/>
        <w:pageBreakBefore w:val="0"/>
        <w:kinsoku/>
        <w:wordWrap/>
        <w:overflowPunct/>
        <w:topLinePunct w:val="0"/>
        <w:autoSpaceDE/>
        <w:autoSpaceDN/>
        <w:bidi w:val="0"/>
        <w:spacing w:line="600" w:lineRule="exact"/>
        <w:ind w:firstLine="640"/>
        <w:rPr>
          <w:rFonts w:hint="eastAsia" w:ascii="仿宋_GB2312" w:hAnsi="仿宋_GB2312" w:eastAsia="仿宋_GB2312" w:cs="仿宋_GB2312"/>
          <w:kern w:val="0"/>
          <w:sz w:val="32"/>
          <w:szCs w:val="32"/>
          <w:highlight w:val="none"/>
          <w:lang w:val="zh-CN" w:eastAsia="zh-CN" w:bidi="ar-SA"/>
        </w:rPr>
      </w:pPr>
      <w:r>
        <w:rPr>
          <w:rFonts w:hint="eastAsia" w:ascii="Times New Roman" w:hAnsi="Times New Roman" w:eastAsia="黑体" w:cs="Times New Roman"/>
          <w:sz w:val="32"/>
          <w:szCs w:val="32"/>
          <w:lang w:val="zh-CN" w:eastAsia="zh-CN"/>
        </w:rPr>
        <w:t>2.项目管理。</w:t>
      </w:r>
      <w:r>
        <w:rPr>
          <w:rFonts w:hint="eastAsia" w:ascii="仿宋_GB2312" w:hAnsi="仿宋_GB2312" w:eastAsia="仿宋_GB2312" w:cs="仿宋_GB2312"/>
          <w:kern w:val="0"/>
          <w:sz w:val="32"/>
          <w:szCs w:val="32"/>
          <w:highlight w:val="none"/>
          <w:lang w:val="zh-CN" w:eastAsia="zh-CN" w:bidi="ar-SA"/>
        </w:rPr>
        <w:t>凉山州科</w:t>
      </w:r>
      <w:r>
        <w:rPr>
          <w:rFonts w:hint="eastAsia" w:ascii="仿宋_GB2312" w:hAnsi="仿宋_GB2312" w:eastAsia="仿宋_GB2312" w:cs="仿宋_GB2312"/>
          <w:kern w:val="0"/>
          <w:sz w:val="32"/>
          <w:szCs w:val="32"/>
          <w:highlight w:val="none"/>
          <w:lang w:val="en-US" w:eastAsia="zh-CN" w:bidi="ar-SA"/>
        </w:rPr>
        <w:t>学</w:t>
      </w:r>
      <w:r>
        <w:rPr>
          <w:rFonts w:hint="eastAsia" w:ascii="仿宋_GB2312" w:hAnsi="仿宋_GB2312" w:eastAsia="仿宋_GB2312" w:cs="仿宋_GB2312"/>
          <w:kern w:val="0"/>
          <w:sz w:val="32"/>
          <w:szCs w:val="32"/>
          <w:highlight w:val="none"/>
          <w:lang w:val="zh-CN" w:eastAsia="zh-CN" w:bidi="ar-SA"/>
        </w:rPr>
        <w:t>技术协会在项目决策和实施方面坚持“资金跟着项目走、项目跟着决策走”的理念，按照各级财政项目资金绩效管理的程序和要求，专项项目设立均经过事前评估。州本级对项目的管理严谨、严格执行《四川省科普专项资金管理办法》（川财教〔2020〕83号）、《凉山州科技计划项目专项资金管理办法》（凉财规〔2020〕2号）。党组要求各项目组要事前进行调研，掌握必要的基本情况；事中加强实地考察以指导项目不偏离预期计划；事后组织对项目进行验收，确保项目实现目标。因此相关管理制度机制健全、组织程序完善。故此项自评得分18分。</w:t>
      </w:r>
    </w:p>
    <w:p w14:paraId="43E1B865">
      <w:pPr>
        <w:keepNext w:val="0"/>
        <w:keepLines w:val="0"/>
        <w:pageBreakBefore w:val="0"/>
        <w:kinsoku/>
        <w:wordWrap/>
        <w:overflowPunct/>
        <w:topLinePunct w:val="0"/>
        <w:autoSpaceDE/>
        <w:autoSpaceDN/>
        <w:bidi w:val="0"/>
        <w:spacing w:line="600" w:lineRule="exact"/>
        <w:ind w:firstLine="640"/>
        <w:rPr>
          <w:rFonts w:hint="eastAsia" w:ascii="仿宋_GB2312" w:hAnsi="仿宋_GB2312" w:eastAsia="仿宋_GB2312" w:cs="仿宋_GB2312"/>
          <w:kern w:val="0"/>
          <w:sz w:val="32"/>
          <w:szCs w:val="32"/>
          <w:highlight w:val="none"/>
          <w:lang w:val="zh-CN" w:eastAsia="zh-CN" w:bidi="ar-SA"/>
        </w:rPr>
      </w:pPr>
      <w:r>
        <w:rPr>
          <w:rFonts w:hint="eastAsia" w:ascii="Times New Roman" w:hAnsi="Times New Roman" w:eastAsia="黑体" w:cs="Times New Roman"/>
          <w:sz w:val="32"/>
          <w:szCs w:val="32"/>
          <w:lang w:val="zh-CN" w:eastAsia="zh-CN"/>
        </w:rPr>
        <w:t>3.项目实施。</w:t>
      </w:r>
      <w:r>
        <w:rPr>
          <w:rFonts w:hint="eastAsia" w:ascii="仿宋_GB2312" w:hAnsi="仿宋_GB2312" w:eastAsia="仿宋_GB2312" w:cs="仿宋_GB2312"/>
          <w:kern w:val="0"/>
          <w:sz w:val="32"/>
          <w:szCs w:val="32"/>
          <w:highlight w:val="none"/>
          <w:lang w:val="zh-CN" w:eastAsia="zh-CN" w:bidi="ar-SA"/>
        </w:rPr>
        <w:t>该项目由财政资金投入</w:t>
      </w:r>
      <w:r>
        <w:rPr>
          <w:rFonts w:hint="eastAsia" w:ascii="仿宋_GB2312" w:hAnsi="仿宋_GB2312" w:eastAsia="仿宋_GB2312" w:cs="仿宋_GB2312"/>
          <w:kern w:val="0"/>
          <w:sz w:val="32"/>
          <w:szCs w:val="32"/>
          <w:highlight w:val="none"/>
          <w:lang w:val="en-US" w:eastAsia="zh-CN" w:bidi="ar-SA"/>
        </w:rPr>
        <w:t>25</w:t>
      </w:r>
      <w:r>
        <w:rPr>
          <w:rFonts w:hint="eastAsia" w:ascii="仿宋_GB2312" w:hAnsi="仿宋_GB2312" w:eastAsia="仿宋_GB2312" w:cs="仿宋_GB2312"/>
          <w:kern w:val="0"/>
          <w:sz w:val="32"/>
          <w:szCs w:val="32"/>
          <w:highlight w:val="none"/>
          <w:lang w:val="zh-CN" w:eastAsia="zh-CN" w:bidi="ar-SA"/>
        </w:rPr>
        <w:t>万元，主要用于搭建舞台、</w:t>
      </w:r>
      <w:r>
        <w:rPr>
          <w:rFonts w:hint="eastAsia" w:ascii="仿宋_GB2312" w:hAnsi="仿宋_GB2312" w:eastAsia="仿宋_GB2312" w:cs="仿宋_GB2312"/>
          <w:kern w:val="0"/>
          <w:sz w:val="32"/>
          <w:szCs w:val="32"/>
          <w:highlight w:val="none"/>
          <w:lang w:val="en-US" w:eastAsia="zh-CN" w:bidi="ar-SA"/>
        </w:rPr>
        <w:t>LED屏等</w:t>
      </w:r>
      <w:r>
        <w:rPr>
          <w:rFonts w:hint="eastAsia" w:ascii="仿宋_GB2312" w:hAnsi="仿宋_GB2312" w:eastAsia="仿宋_GB2312" w:cs="仿宋_GB2312"/>
          <w:kern w:val="0"/>
          <w:sz w:val="32"/>
          <w:szCs w:val="32"/>
          <w:highlight w:val="none"/>
          <w:lang w:val="zh-CN" w:eastAsia="zh-CN" w:bidi="ar-SA"/>
        </w:rPr>
        <w:t>开展歌舞表演、科普宣传、义诊等</w:t>
      </w:r>
      <w:r>
        <w:rPr>
          <w:rFonts w:hint="eastAsia" w:ascii="仿宋_GB2312" w:hAnsi="仿宋_GB2312" w:eastAsia="仿宋_GB2312" w:cs="仿宋_GB2312"/>
          <w:kern w:val="0"/>
          <w:sz w:val="32"/>
          <w:szCs w:val="32"/>
          <w:highlight w:val="none"/>
          <w:lang w:val="en-US" w:eastAsia="zh-CN" w:bidi="ar-SA"/>
        </w:rPr>
        <w:t>5.30“全国科技工作者日”庆祝系列活动。拍摄最美科技工作者纪录片《追光》等。</w:t>
      </w:r>
      <w:r>
        <w:rPr>
          <w:rFonts w:hint="eastAsia" w:ascii="仿宋_GB2312" w:hAnsi="仿宋_GB2312" w:eastAsia="仿宋_GB2312" w:cs="仿宋_GB2312"/>
          <w:kern w:val="0"/>
          <w:sz w:val="32"/>
          <w:szCs w:val="32"/>
          <w:highlight w:val="none"/>
          <w:lang w:val="zh-CN" w:eastAsia="zh-CN" w:bidi="ar-SA"/>
        </w:rPr>
        <w:t>资金来源渠道明确，资金到位时间、条件均能够得到保障。故此项自评得分</w:t>
      </w:r>
      <w:r>
        <w:rPr>
          <w:rFonts w:hint="eastAsia" w:ascii="仿宋_GB2312" w:hAnsi="仿宋_GB2312" w:eastAsia="仿宋_GB2312" w:cs="仿宋_GB2312"/>
          <w:kern w:val="0"/>
          <w:sz w:val="32"/>
          <w:szCs w:val="32"/>
          <w:highlight w:val="none"/>
          <w:lang w:val="en-US" w:eastAsia="zh-CN" w:bidi="ar-SA"/>
        </w:rPr>
        <w:t>9分。</w:t>
      </w:r>
    </w:p>
    <w:p w14:paraId="76C345F1">
      <w:pPr>
        <w:keepNext w:val="0"/>
        <w:keepLines w:val="0"/>
        <w:pageBreakBefore w:val="0"/>
        <w:kinsoku/>
        <w:wordWrap/>
        <w:overflowPunct/>
        <w:topLinePunct w:val="0"/>
        <w:autoSpaceDE/>
        <w:autoSpaceDN/>
        <w:bidi w:val="0"/>
        <w:spacing w:line="600" w:lineRule="exact"/>
        <w:ind w:firstLine="640"/>
        <w:rPr>
          <w:rFonts w:hint="eastAsia" w:ascii="仿宋_GB2312" w:hAnsi="仿宋_GB2312" w:eastAsia="仿宋_GB2312" w:cs="仿宋_GB2312"/>
          <w:kern w:val="0"/>
          <w:sz w:val="32"/>
          <w:szCs w:val="32"/>
          <w:highlight w:val="none"/>
          <w:lang w:val="zh-CN" w:eastAsia="zh-CN" w:bidi="ar-SA"/>
        </w:rPr>
      </w:pPr>
      <w:r>
        <w:rPr>
          <w:rFonts w:hint="eastAsia" w:ascii="Times New Roman" w:hAnsi="Times New Roman" w:eastAsia="黑体" w:cs="Times New Roman"/>
          <w:sz w:val="32"/>
          <w:szCs w:val="32"/>
          <w:lang w:val="zh-CN" w:eastAsia="zh-CN"/>
        </w:rPr>
        <w:t>4.项目结果。</w:t>
      </w:r>
      <w:r>
        <w:rPr>
          <w:rFonts w:hint="eastAsia" w:ascii="仿宋_GB2312" w:hAnsi="仿宋_GB2312" w:eastAsia="仿宋_GB2312" w:cs="仿宋_GB2312"/>
          <w:kern w:val="0"/>
          <w:sz w:val="32"/>
          <w:szCs w:val="32"/>
          <w:highlight w:val="none"/>
          <w:lang w:val="en-US" w:eastAsia="zh-CN" w:bidi="ar-SA"/>
        </w:rPr>
        <w:t>2024年</w:t>
      </w:r>
      <w:r>
        <w:rPr>
          <w:rFonts w:hint="eastAsia" w:ascii="仿宋_GB2312" w:hAnsi="仿宋_GB2312" w:eastAsia="仿宋_GB2312" w:cs="仿宋_GB2312"/>
          <w:kern w:val="0"/>
          <w:sz w:val="32"/>
          <w:szCs w:val="32"/>
          <w:highlight w:val="none"/>
          <w:lang w:val="zh-CN" w:eastAsia="zh-CN" w:bidi="ar-SA"/>
        </w:rPr>
        <w:t>5月30日开展了以“矢志创新发展 建设科技强州”为主题的第九个“全国科技工作者日”活动。吸引了众多科技工作者、市民群众积极参与。科技工作者代表进行文艺表演，活动现场还开展院士（专家）工作站和科技小院产品展销、科普答题、科普宣传、义诊等活动。拍摄的最美科技工作者</w:t>
      </w:r>
      <w:r>
        <w:rPr>
          <w:rFonts w:hint="eastAsia" w:ascii="仿宋_GB2312" w:hAnsi="仿宋_GB2312" w:eastAsia="仿宋_GB2312" w:cs="仿宋_GB2312"/>
          <w:kern w:val="0"/>
          <w:sz w:val="32"/>
          <w:szCs w:val="32"/>
          <w:highlight w:val="none"/>
          <w:lang w:val="en-US" w:eastAsia="zh-CN" w:bidi="ar-SA"/>
        </w:rPr>
        <w:t>纪</w:t>
      </w:r>
      <w:r>
        <w:rPr>
          <w:rFonts w:hint="eastAsia" w:ascii="仿宋_GB2312" w:hAnsi="仿宋_GB2312" w:eastAsia="仿宋_GB2312" w:cs="仿宋_GB2312"/>
          <w:kern w:val="0"/>
          <w:sz w:val="32"/>
          <w:szCs w:val="32"/>
          <w:highlight w:val="none"/>
          <w:lang w:val="zh-CN" w:eastAsia="zh-CN" w:bidi="ar-SA"/>
        </w:rPr>
        <w:t>录片《追光》在庆祝活动和融媒体中心进行播放。执行情况良好。</w:t>
      </w:r>
      <w:r>
        <w:rPr>
          <w:rFonts w:hint="eastAsia" w:ascii="仿宋_GB2312" w:hAnsi="仿宋_GB2312" w:eastAsia="仿宋_GB2312" w:cs="仿宋_GB2312"/>
          <w:kern w:val="0"/>
          <w:sz w:val="32"/>
          <w:szCs w:val="32"/>
          <w:highlight w:val="none"/>
          <w:lang w:val="en-US" w:eastAsia="zh-CN" w:bidi="ar-SA"/>
        </w:rPr>
        <w:t>故</w:t>
      </w:r>
      <w:r>
        <w:rPr>
          <w:rFonts w:hint="eastAsia" w:ascii="仿宋_GB2312" w:hAnsi="仿宋_GB2312" w:eastAsia="仿宋_GB2312" w:cs="仿宋_GB2312"/>
          <w:kern w:val="0"/>
          <w:sz w:val="32"/>
          <w:szCs w:val="32"/>
          <w:highlight w:val="none"/>
          <w:lang w:val="zh-CN" w:eastAsia="zh-CN" w:bidi="ar-SA"/>
        </w:rPr>
        <w:t>此项自评得分</w:t>
      </w:r>
      <w:r>
        <w:rPr>
          <w:rFonts w:hint="eastAsia" w:ascii="仿宋_GB2312" w:hAnsi="仿宋_GB2312" w:eastAsia="仿宋_GB2312" w:cs="仿宋_GB2312"/>
          <w:kern w:val="0"/>
          <w:sz w:val="32"/>
          <w:szCs w:val="32"/>
          <w:highlight w:val="none"/>
          <w:lang w:val="en-US" w:eastAsia="zh-CN" w:bidi="ar-SA"/>
        </w:rPr>
        <w:t>9分。</w:t>
      </w:r>
    </w:p>
    <w:p w14:paraId="124AC0EF">
      <w:pPr>
        <w:keepNext w:val="0"/>
        <w:keepLines w:val="0"/>
        <w:pageBreakBefore w:val="0"/>
        <w:kinsoku/>
        <w:wordWrap/>
        <w:overflowPunct/>
        <w:topLinePunct w:val="0"/>
        <w:autoSpaceDE/>
        <w:autoSpaceDN/>
        <w:bidi w:val="0"/>
        <w:spacing w:line="600" w:lineRule="exact"/>
        <w:ind w:firstLine="640"/>
        <w:rPr>
          <w:rFonts w:hint="eastAsia"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zh-CN" w:eastAsia="zh-CN"/>
        </w:rPr>
        <w:t>（二）专用指标绩效分析。（此项自评得分：</w:t>
      </w:r>
      <w:r>
        <w:rPr>
          <w:rFonts w:hint="eastAsia" w:ascii="Times New Roman" w:hAnsi="Times New Roman" w:eastAsia="黑体" w:cs="Times New Roman"/>
          <w:sz w:val="32"/>
          <w:szCs w:val="32"/>
          <w:lang w:val="en-US" w:eastAsia="zh-CN"/>
        </w:rPr>
        <w:t>28分</w:t>
      </w:r>
      <w:r>
        <w:rPr>
          <w:rFonts w:hint="eastAsia" w:ascii="Times New Roman" w:hAnsi="Times New Roman" w:eastAsia="黑体" w:cs="Times New Roman"/>
          <w:sz w:val="32"/>
          <w:szCs w:val="32"/>
          <w:lang w:val="zh-CN" w:eastAsia="zh-CN"/>
        </w:rPr>
        <w:t>）</w:t>
      </w:r>
    </w:p>
    <w:p w14:paraId="23E0E2C4">
      <w:pPr>
        <w:keepNext w:val="0"/>
        <w:keepLines w:val="0"/>
        <w:pageBreakBefore w:val="0"/>
        <w:kinsoku/>
        <w:wordWrap/>
        <w:overflowPunct/>
        <w:topLinePunct w:val="0"/>
        <w:autoSpaceDE/>
        <w:autoSpaceDN/>
        <w:bidi w:val="0"/>
        <w:spacing w:line="600" w:lineRule="exact"/>
        <w:ind w:firstLine="640"/>
        <w:rPr>
          <w:rFonts w:hint="eastAsia" w:ascii="仿宋_GB2312" w:hAnsi="仿宋_GB2312" w:eastAsia="仿宋_GB2312" w:cs="仿宋_GB2312"/>
          <w:kern w:val="0"/>
          <w:sz w:val="32"/>
          <w:szCs w:val="32"/>
          <w:highlight w:val="none"/>
          <w:lang w:val="zh-CN" w:eastAsia="zh-CN" w:bidi="ar-SA"/>
        </w:rPr>
      </w:pPr>
      <w:r>
        <w:rPr>
          <w:rFonts w:hint="eastAsia" w:ascii="Times New Roman" w:hAnsi="Times New Roman" w:eastAsia="黑体" w:cs="Times New Roman"/>
          <w:sz w:val="32"/>
          <w:szCs w:val="32"/>
          <w:lang w:val="zh-CN" w:eastAsia="zh-CN"/>
        </w:rPr>
        <w:t>民生保障。</w:t>
      </w:r>
      <w:r>
        <w:rPr>
          <w:rFonts w:hint="eastAsia" w:ascii="仿宋_GB2312" w:hAnsi="仿宋_GB2312" w:eastAsia="仿宋_GB2312" w:cs="仿宋_GB2312"/>
          <w:kern w:val="0"/>
          <w:sz w:val="32"/>
          <w:szCs w:val="32"/>
          <w:highlight w:val="none"/>
          <w:lang w:val="zh-CN" w:eastAsia="zh-CN" w:bidi="ar-SA"/>
        </w:rPr>
        <w:t>最美科技工作者活动项目为民生保障类。为大力弘扬新时代科学家精神，激发全州科技工作者的荣誉感、自豪感、责任感，引导鼓励全州科技工作者勇做高水平科技自立自强排头兵，发挥科技创新助推凉山高质量发展。</w:t>
      </w:r>
    </w:p>
    <w:p w14:paraId="5AA16C32">
      <w:pPr>
        <w:keepNext w:val="0"/>
        <w:keepLines w:val="0"/>
        <w:pageBreakBefore w:val="0"/>
        <w:kinsoku/>
        <w:wordWrap/>
        <w:overflowPunct/>
        <w:topLinePunct w:val="0"/>
        <w:autoSpaceDE/>
        <w:autoSpaceDN/>
        <w:bidi w:val="0"/>
        <w:spacing w:line="600" w:lineRule="exact"/>
        <w:ind w:firstLine="64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但由于经费有限，受益科技工作者有限。所以在满意度方面自评扣2分。故该项自评得分28分。</w:t>
      </w:r>
    </w:p>
    <w:p w14:paraId="6CCD19EA">
      <w:pPr>
        <w:keepNext w:val="0"/>
        <w:keepLines w:val="0"/>
        <w:pageBreakBefore w:val="0"/>
        <w:kinsoku/>
        <w:wordWrap/>
        <w:overflowPunct/>
        <w:topLinePunct w:val="0"/>
        <w:autoSpaceDE/>
        <w:autoSpaceDN/>
        <w:bidi w:val="0"/>
        <w:spacing w:line="600" w:lineRule="exact"/>
        <w:ind w:firstLine="64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zh-CN" w:eastAsia="zh-CN"/>
        </w:rPr>
        <w:t>（三）</w:t>
      </w:r>
      <w:r>
        <w:rPr>
          <w:rFonts w:hint="eastAsia" w:ascii="Times New Roman" w:hAnsi="Times New Roman" w:eastAsia="黑体" w:cs="Times New Roman"/>
          <w:sz w:val="32"/>
          <w:szCs w:val="32"/>
          <w:lang w:val="en-US" w:eastAsia="zh-CN"/>
        </w:rPr>
        <w:t>个性指标</w:t>
      </w:r>
      <w:r>
        <w:rPr>
          <w:rFonts w:hint="default" w:ascii="Times New Roman" w:hAnsi="Times New Roman" w:eastAsia="黑体" w:cs="Times New Roman"/>
          <w:sz w:val="32"/>
          <w:szCs w:val="32"/>
          <w:lang w:val="zh-CN" w:eastAsia="zh-CN"/>
        </w:rPr>
        <w:t>绩效分析。</w:t>
      </w:r>
      <w:r>
        <w:rPr>
          <w:rFonts w:hint="eastAsia" w:ascii="Times New Roman" w:hAnsi="Times New Roman" w:eastAsia="黑体" w:cs="Times New Roman"/>
          <w:sz w:val="32"/>
          <w:szCs w:val="32"/>
          <w:lang w:val="zh-CN" w:eastAsia="zh-CN"/>
        </w:rPr>
        <w:t>（该项自评得分</w:t>
      </w:r>
      <w:r>
        <w:rPr>
          <w:rFonts w:hint="eastAsia" w:ascii="Times New Roman" w:hAnsi="Times New Roman" w:eastAsia="黑体" w:cs="Times New Roman"/>
          <w:sz w:val="32"/>
          <w:szCs w:val="32"/>
          <w:lang w:val="en-US" w:eastAsia="zh-CN"/>
        </w:rPr>
        <w:t>14分</w:t>
      </w:r>
      <w:r>
        <w:rPr>
          <w:rFonts w:hint="eastAsia" w:ascii="Times New Roman" w:hAnsi="Times New Roman" w:eastAsia="黑体" w:cs="Times New Roman"/>
          <w:sz w:val="32"/>
          <w:szCs w:val="32"/>
          <w:lang w:val="zh-CN" w:eastAsia="zh-CN"/>
        </w:rPr>
        <w:t>）</w:t>
      </w:r>
    </w:p>
    <w:p w14:paraId="433A196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zh-CN" w:eastAsia="zh-CN"/>
        </w:rPr>
        <w:t>该项目服务对象为</w:t>
      </w:r>
      <w:r>
        <w:rPr>
          <w:rFonts w:hint="eastAsia" w:ascii="Times New Roman" w:hAnsi="Times New Roman" w:eastAsia="仿宋_GB2312" w:cs="仿宋_GB2312"/>
          <w:color w:val="auto"/>
          <w:sz w:val="32"/>
          <w:szCs w:val="32"/>
          <w:lang w:val="en-US" w:eastAsia="zh-CN"/>
        </w:rPr>
        <w:t>科技工作者</w:t>
      </w:r>
      <w:r>
        <w:rPr>
          <w:rFonts w:hint="eastAsia" w:ascii="Times New Roman" w:hAnsi="Times New Roman" w:eastAsia="仿宋_GB2312" w:cs="仿宋_GB2312"/>
          <w:color w:val="auto"/>
          <w:sz w:val="32"/>
          <w:szCs w:val="32"/>
          <w:lang w:val="zh-CN" w:eastAsia="zh-CN"/>
        </w:rPr>
        <w:t>，服务内容是开展弘扬科学家精神、科学普及等活动，线上线下讲好科学家故事、普及科学知识，协同发力，更好地服务广大科技工作者。由于服务科技工作者是长期性工作，因此自评扣</w:t>
      </w:r>
      <w:r>
        <w:rPr>
          <w:rFonts w:hint="eastAsia" w:ascii="Times New Roman" w:hAnsi="Times New Roman" w:eastAsia="仿宋_GB2312" w:cs="仿宋_GB2312"/>
          <w:color w:val="auto"/>
          <w:sz w:val="32"/>
          <w:szCs w:val="32"/>
          <w:lang w:val="en-US" w:eastAsia="zh-CN"/>
        </w:rPr>
        <w:t>2分，</w:t>
      </w:r>
      <w:r>
        <w:rPr>
          <w:rFonts w:hint="eastAsia" w:ascii="Times New Roman" w:hAnsi="Times New Roman" w:eastAsia="仿宋_GB2312" w:cs="仿宋_GB2312"/>
          <w:color w:val="auto"/>
          <w:sz w:val="32"/>
          <w:szCs w:val="32"/>
          <w:lang w:val="zh-CN" w:eastAsia="zh-CN"/>
        </w:rPr>
        <w:t>得分</w:t>
      </w:r>
      <w:r>
        <w:rPr>
          <w:rFonts w:hint="eastAsia" w:ascii="Times New Roman" w:hAnsi="Times New Roman" w:eastAsia="仿宋_GB2312" w:cs="仿宋_GB2312"/>
          <w:color w:val="auto"/>
          <w:sz w:val="32"/>
          <w:szCs w:val="32"/>
          <w:lang w:val="en-US" w:eastAsia="zh-CN"/>
        </w:rPr>
        <w:t>14分。</w:t>
      </w:r>
    </w:p>
    <w:p w14:paraId="34A75569">
      <w:pPr>
        <w:keepNext w:val="0"/>
        <w:keepLines w:val="0"/>
        <w:pageBreakBefore w:val="0"/>
        <w:kinsoku/>
        <w:wordWrap/>
        <w:overflowPunct/>
        <w:topLinePunct w:val="0"/>
        <w:autoSpaceDE/>
        <w:autoSpaceDN/>
        <w:bidi w:val="0"/>
        <w:spacing w:line="600" w:lineRule="exact"/>
        <w:ind w:firstLine="640"/>
        <w:rPr>
          <w:rFonts w:hint="eastAsia"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zh-CN" w:eastAsia="zh-CN"/>
        </w:rPr>
        <w:t>四、评价结论</w:t>
      </w:r>
    </w:p>
    <w:p w14:paraId="39921DF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仿宋_GB2312"/>
          <w:color w:val="auto"/>
          <w:sz w:val="32"/>
          <w:szCs w:val="32"/>
          <w:lang w:val="zh-CN" w:eastAsia="zh-CN"/>
        </w:rPr>
      </w:pPr>
      <w:r>
        <w:rPr>
          <w:rFonts w:hint="eastAsia" w:ascii="Times New Roman" w:hAnsi="Times New Roman" w:eastAsia="仿宋_GB2312" w:cs="仿宋_GB2312"/>
          <w:color w:val="auto"/>
          <w:sz w:val="32"/>
          <w:szCs w:val="32"/>
          <w:lang w:val="zh-CN" w:eastAsia="zh-CN"/>
        </w:rPr>
        <w:t>大力弘扬新时代科学家精神，激发全州科技工作者的荣誉感、自豪感、责任感，引导鼓励全州科技工作者勇做高水平科技自立自强排头兵，发挥科技创新助推凉山高质量发展。项目符合国家大政方针政策，预期社会效益比较显著，资金得到财政支持，属于可持续项目。综合以上情况，故自评扣分</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val="zh-CN" w:eastAsia="zh-CN"/>
        </w:rPr>
        <w:t>分，得分</w:t>
      </w:r>
      <w:r>
        <w:rPr>
          <w:rFonts w:hint="eastAsia" w:ascii="Times New Roman" w:hAnsi="Times New Roman" w:eastAsia="仿宋_GB2312" w:cs="仿宋_GB2312"/>
          <w:color w:val="auto"/>
          <w:sz w:val="32"/>
          <w:szCs w:val="32"/>
          <w:lang w:val="en-US" w:eastAsia="zh-CN"/>
        </w:rPr>
        <w:t>96</w:t>
      </w:r>
      <w:r>
        <w:rPr>
          <w:rFonts w:hint="eastAsia" w:ascii="Times New Roman" w:hAnsi="Times New Roman" w:eastAsia="仿宋_GB2312" w:cs="仿宋_GB2312"/>
          <w:color w:val="auto"/>
          <w:sz w:val="32"/>
          <w:szCs w:val="32"/>
          <w:lang w:val="zh-CN" w:eastAsia="zh-CN"/>
        </w:rPr>
        <w:t>分。</w:t>
      </w:r>
    </w:p>
    <w:p w14:paraId="7E8D1E65">
      <w:pPr>
        <w:keepNext w:val="0"/>
        <w:keepLines w:val="0"/>
        <w:pageBreakBefore w:val="0"/>
        <w:kinsoku/>
        <w:wordWrap/>
        <w:overflowPunct/>
        <w:topLinePunct w:val="0"/>
        <w:autoSpaceDE/>
        <w:autoSpaceDN/>
        <w:bidi w:val="0"/>
        <w:spacing w:line="600" w:lineRule="exact"/>
        <w:ind w:firstLine="640"/>
        <w:rPr>
          <w:rFonts w:hint="eastAsia" w:ascii="Times New Roman" w:eastAsia="仿宋_GB2312"/>
          <w:position w:val="0"/>
          <w:sz w:val="32"/>
          <w:szCs w:val="32"/>
          <w:lang w:eastAsia="zh-CN"/>
        </w:rPr>
      </w:pPr>
      <w:r>
        <w:rPr>
          <w:rFonts w:hint="eastAsia" w:ascii="Times New Roman" w:hAnsi="Times New Roman" w:eastAsia="黑体" w:cs="Times New Roman"/>
          <w:sz w:val="32"/>
          <w:szCs w:val="32"/>
          <w:lang w:val="zh-CN" w:eastAsia="zh-CN"/>
        </w:rPr>
        <w:t>五、存在主要问题</w:t>
      </w:r>
      <w:r>
        <w:rPr>
          <w:rFonts w:hint="eastAsia" w:eastAsia="黑体" w:cs="Times New Roman"/>
          <w:sz w:val="32"/>
          <w:szCs w:val="32"/>
          <w:lang w:val="zh-CN" w:eastAsia="zh-CN"/>
        </w:rPr>
        <w:t>：</w:t>
      </w:r>
      <w:r>
        <w:rPr>
          <w:rFonts w:hint="eastAsia" w:ascii="Times New Roman" w:eastAsia="仿宋_GB2312"/>
          <w:position w:val="0"/>
          <w:sz w:val="32"/>
          <w:szCs w:val="32"/>
          <w:lang w:eastAsia="zh-CN"/>
        </w:rPr>
        <w:t>对资金的预测不是十分精准。</w:t>
      </w:r>
    </w:p>
    <w:p w14:paraId="104A7979">
      <w:pPr>
        <w:keepNext w:val="0"/>
        <w:keepLines w:val="0"/>
        <w:pageBreakBefore w:val="0"/>
        <w:kinsoku/>
        <w:wordWrap/>
        <w:overflowPunct/>
        <w:topLinePunct w:val="0"/>
        <w:autoSpaceDE/>
        <w:autoSpaceDN/>
        <w:bidi w:val="0"/>
        <w:spacing w:line="600" w:lineRule="exact"/>
        <w:ind w:firstLine="640"/>
        <w:rPr>
          <w:rFonts w:hint="eastAsia" w:ascii="Times New Roman" w:hAnsi="Times New Roman" w:eastAsia="仿宋_GB2312" w:cs="Times New Roman"/>
          <w:position w:val="0"/>
          <w:sz w:val="32"/>
          <w:szCs w:val="32"/>
          <w:lang w:val="zh-CN" w:eastAsia="zh-CN"/>
        </w:rPr>
      </w:pPr>
      <w:r>
        <w:rPr>
          <w:rFonts w:hint="eastAsia" w:ascii="Times New Roman" w:hAnsi="Times New Roman" w:eastAsia="黑体" w:cs="Times New Roman"/>
          <w:sz w:val="32"/>
          <w:szCs w:val="32"/>
          <w:lang w:val="zh-CN" w:eastAsia="zh-CN"/>
        </w:rPr>
        <w:t>六、改进建议</w:t>
      </w:r>
      <w:r>
        <w:rPr>
          <w:rFonts w:hint="eastAsia" w:eastAsia="黑体" w:cs="Times New Roman"/>
          <w:sz w:val="32"/>
          <w:szCs w:val="32"/>
          <w:lang w:val="zh-CN" w:eastAsia="zh-CN"/>
        </w:rPr>
        <w:t>：</w:t>
      </w:r>
      <w:r>
        <w:rPr>
          <w:rFonts w:hint="eastAsia" w:ascii="Times New Roman" w:hAnsi="Times New Roman" w:eastAsia="仿宋_GB2312" w:cs="Times New Roman"/>
          <w:position w:val="0"/>
          <w:sz w:val="32"/>
          <w:szCs w:val="32"/>
          <w:lang w:eastAsia="zh-CN"/>
        </w:rPr>
        <w:t>今后做好调研等相关工作，力争做到精准预测。</w:t>
      </w:r>
    </w:p>
    <w:p w14:paraId="61E14806">
      <w:pPr>
        <w:pStyle w:val="2"/>
        <w:tabs>
          <w:tab w:val="left" w:pos="2160"/>
        </w:tabs>
        <w:spacing w:line="600" w:lineRule="exact"/>
        <w:ind w:firstLine="640" w:firstLineChars="200"/>
        <w:rPr>
          <w:rFonts w:hint="eastAsia" w:ascii="Times New Roman" w:hAnsi="Times New Roman" w:eastAsia="仿宋_GB2312" w:cs="Times New Roman"/>
          <w:position w:val="0"/>
          <w:sz w:val="32"/>
          <w:szCs w:val="32"/>
          <w:lang w:val="zh-CN" w:eastAsia="zh-CN"/>
        </w:rPr>
      </w:pPr>
    </w:p>
    <w:p w14:paraId="41F9B401">
      <w:pPr>
        <w:rPr>
          <w:rFonts w:hint="eastAsia" w:ascii="方正小标宋_GBK" w:hAnsi="宋体" w:eastAsia="方正小标宋_GBK" w:cs="宋体"/>
          <w:bCs/>
          <w:color w:val="FF0000"/>
          <w:kern w:val="0"/>
          <w:sz w:val="44"/>
          <w:szCs w:val="44"/>
          <w:shd w:val="clear" w:color="auto" w:fill="FFFFFF"/>
          <w:lang w:val="zh-CN"/>
        </w:rPr>
      </w:pPr>
    </w:p>
    <w:p w14:paraId="44D90FD5">
      <w:pPr>
        <w:pStyle w:val="22"/>
        <w:outlineLvl w:val="9"/>
        <w:rPr>
          <w:rFonts w:hint="eastAsia" w:ascii="方正小标宋_GBK" w:hAnsi="宋体" w:eastAsia="方正小标宋_GBK" w:cs="宋体"/>
          <w:bCs/>
          <w:color w:val="FF0000"/>
          <w:kern w:val="0"/>
          <w:sz w:val="44"/>
          <w:szCs w:val="44"/>
          <w:shd w:val="clear" w:color="auto" w:fill="FFFFFF"/>
          <w:lang w:val="zh-CN"/>
        </w:rPr>
      </w:pPr>
    </w:p>
    <w:p w14:paraId="62145FA5">
      <w:pPr>
        <w:spacing w:line="578" w:lineRule="exact"/>
        <w:ind w:firstLine="4480" w:firstLineChars="14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凉山州科学技术协会</w:t>
      </w:r>
    </w:p>
    <w:p w14:paraId="7CC3730B">
      <w:pPr>
        <w:spacing w:line="578" w:lineRule="exact"/>
        <w:ind w:firstLine="4800" w:firstLineChars="1500"/>
        <w:rPr>
          <w:rFonts w:hint="default"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2025年6月19日</w:t>
      </w:r>
    </w:p>
    <w:p w14:paraId="3D9262A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公文小标宋" w:hAnsi="方正公文小标宋" w:eastAsia="方正公文小标宋" w:cs="方正公文小标宋"/>
          <w:b/>
          <w:bCs/>
          <w:color w:val="000000"/>
          <w:sz w:val="30"/>
          <w:szCs w:val="30"/>
          <w:lang w:val="en-US" w:eastAsia="zh-CN"/>
        </w:rPr>
      </w:pPr>
    </w:p>
    <w:p w14:paraId="44573EBE">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default" w:ascii="方正公文小标宋" w:hAnsi="方正公文小标宋" w:eastAsia="方正公文小标宋" w:cs="方正公文小标宋"/>
          <w:b/>
          <w:bCs/>
          <w:color w:val="000000"/>
          <w:sz w:val="30"/>
          <w:szCs w:val="30"/>
          <w:lang w:val="en-US" w:eastAsia="zh-CN"/>
        </w:rPr>
      </w:pPr>
      <w:bookmarkStart w:id="86" w:name="_Toc17484"/>
      <w:r>
        <w:rPr>
          <w:rFonts w:hint="eastAsia" w:ascii="方正公文小标宋" w:hAnsi="方正公文小标宋" w:eastAsia="方正公文小标宋" w:cs="方正公文小标宋"/>
          <w:b/>
          <w:bCs/>
          <w:color w:val="000000"/>
          <w:sz w:val="30"/>
          <w:szCs w:val="30"/>
          <w:lang w:val="en-US" w:eastAsia="zh-CN"/>
        </w:rPr>
        <w:t>附件2-4</w:t>
      </w:r>
      <w:bookmarkEnd w:id="86"/>
    </w:p>
    <w:p w14:paraId="07409DF8">
      <w:pPr>
        <w:keepNext w:val="0"/>
        <w:keepLines w:val="0"/>
        <w:pageBreakBefore w:val="0"/>
        <w:widowControl w:val="0"/>
        <w:kinsoku/>
        <w:wordWrap/>
        <w:overflowPunct/>
        <w:topLinePunct w:val="0"/>
        <w:autoSpaceDE/>
        <w:autoSpaceDN/>
        <w:bidi w:val="0"/>
        <w:adjustRightInd/>
        <w:snapToGrid/>
        <w:spacing w:line="580" w:lineRule="exact"/>
        <w:ind w:firstLine="1767" w:firstLineChars="400"/>
        <w:jc w:val="both"/>
        <w:textAlignment w:val="auto"/>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color w:val="000000"/>
          <w:sz w:val="44"/>
          <w:szCs w:val="44"/>
          <w:lang w:val="en-US" w:eastAsia="zh-CN"/>
        </w:rPr>
        <w:t>科普宣传活动业务经费</w:t>
      </w:r>
    </w:p>
    <w:p w14:paraId="71FFFB8F">
      <w:pPr>
        <w:keepNext w:val="0"/>
        <w:keepLines w:val="0"/>
        <w:pageBreakBefore w:val="0"/>
        <w:widowControl w:val="0"/>
        <w:kinsoku/>
        <w:wordWrap/>
        <w:overflowPunct/>
        <w:topLinePunct w:val="0"/>
        <w:autoSpaceDE/>
        <w:autoSpaceDN/>
        <w:bidi w:val="0"/>
        <w:adjustRightInd/>
        <w:snapToGrid/>
        <w:spacing w:line="580" w:lineRule="exact"/>
        <w:ind w:firstLine="2650" w:firstLineChars="600"/>
        <w:jc w:val="both"/>
        <w:textAlignment w:val="auto"/>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绩效自评报告</w:t>
      </w:r>
    </w:p>
    <w:p w14:paraId="4DC2E81F">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公文小标宋" w:hAnsi="方正公文小标宋" w:eastAsia="方正公文小标宋" w:cs="方正公文小标宋"/>
          <w:sz w:val="44"/>
          <w:szCs w:val="44"/>
          <w:lang w:val="en-US" w:eastAsia="zh-CN"/>
        </w:rPr>
      </w:pPr>
    </w:p>
    <w:p w14:paraId="1B08E844">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14:paraId="2108177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14:paraId="43E43389">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eastAsia="仿宋_GB2312"/>
          <w:color w:val="auto"/>
          <w:sz w:val="32"/>
          <w:szCs w:val="32"/>
          <w:lang w:val="en-US" w:eastAsia="zh-CN"/>
        </w:rPr>
        <w:t>2024年科普宣传活动业务经费12万元，主要用于</w:t>
      </w:r>
      <w:r>
        <w:rPr>
          <w:rFonts w:hint="eastAsia" w:ascii="仿宋_GB2312" w:eastAsia="仿宋_GB2312"/>
          <w:color w:val="auto"/>
          <w:sz w:val="32"/>
          <w:szCs w:val="32"/>
        </w:rPr>
        <w:t>凉山州</w:t>
      </w:r>
      <w:r>
        <w:rPr>
          <w:rFonts w:hint="eastAsia" w:ascii="仿宋_GB2312" w:eastAsia="仿宋_GB2312"/>
          <w:color w:val="auto"/>
          <w:sz w:val="32"/>
          <w:szCs w:val="32"/>
          <w:lang w:eastAsia="zh-CN"/>
        </w:rPr>
        <w:t>青少年科技活动中心开展</w:t>
      </w:r>
      <w:r>
        <w:rPr>
          <w:rFonts w:hint="eastAsia" w:ascii="仿宋_GB2312" w:eastAsia="仿宋_GB2312"/>
          <w:color w:val="auto"/>
          <w:sz w:val="32"/>
          <w:szCs w:val="32"/>
          <w:lang w:val="en-US" w:eastAsia="zh-CN"/>
        </w:rPr>
        <w:t>2024年</w:t>
      </w:r>
      <w:r>
        <w:rPr>
          <w:rFonts w:hint="eastAsia" w:ascii="仿宋_GB2312" w:eastAsia="仿宋_GB2312"/>
          <w:color w:val="auto"/>
          <w:sz w:val="32"/>
          <w:szCs w:val="32"/>
        </w:rPr>
        <w:t>凉山州</w:t>
      </w:r>
      <w:r>
        <w:rPr>
          <w:rFonts w:hint="eastAsia" w:ascii="仿宋_GB2312" w:eastAsia="仿宋_GB2312"/>
          <w:color w:val="auto"/>
          <w:sz w:val="32"/>
          <w:szCs w:val="32"/>
          <w:lang w:eastAsia="zh-CN"/>
        </w:rPr>
        <w:t>青少年</w:t>
      </w:r>
      <w:r>
        <w:rPr>
          <w:rFonts w:hint="eastAsia" w:ascii="仿宋_GB2312" w:eastAsia="仿宋_GB2312"/>
          <w:color w:val="auto"/>
          <w:sz w:val="32"/>
          <w:szCs w:val="32"/>
        </w:rPr>
        <w:t>科学研学活动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为全面贯彻落实《全民科学素质行动规划纲要（2021—2035年）》和教育部、中国科协等十八部门《关于加强新时代中小学科学教育工作的意见》，</w:t>
      </w:r>
      <w:r>
        <w:rPr>
          <w:rFonts w:hint="eastAsia" w:ascii="仿宋_GB2312" w:hAnsi="仿宋" w:eastAsia="仿宋_GB2312"/>
          <w:color w:val="auto"/>
          <w:sz w:val="32"/>
          <w:szCs w:val="32"/>
          <w:lang w:eastAsia="zh-CN"/>
        </w:rPr>
        <w:t>深入</w:t>
      </w:r>
      <w:r>
        <w:rPr>
          <w:rFonts w:hint="eastAsia" w:ascii="仿宋_GB2312" w:hAnsi="仿宋" w:eastAsia="仿宋_GB2312"/>
          <w:color w:val="auto"/>
          <w:sz w:val="32"/>
          <w:szCs w:val="32"/>
          <w:lang w:val="en-US" w:eastAsia="zh-CN"/>
        </w:rPr>
        <w:t>实施科技创新后备人才培养计划，</w:t>
      </w:r>
      <w:r>
        <w:rPr>
          <w:rFonts w:hint="eastAsia" w:ascii="仿宋_GB2312" w:hAnsi="微软雅黑" w:eastAsia="仿宋_GB2312" w:cs="仿宋_GB2312"/>
          <w:i w:val="0"/>
          <w:caps w:val="0"/>
          <w:color w:val="auto"/>
          <w:spacing w:val="0"/>
          <w:sz w:val="31"/>
          <w:szCs w:val="31"/>
          <w:u w:val="none"/>
          <w:shd w:val="clear" w:color="auto" w:fill="FFFFFF"/>
        </w:rPr>
        <w:t>引导</w:t>
      </w:r>
      <w:r>
        <w:rPr>
          <w:rFonts w:hint="eastAsia" w:ascii="仿宋_GB2312" w:hAnsi="微软雅黑" w:eastAsia="仿宋_GB2312" w:cs="仿宋_GB2312"/>
          <w:i w:val="0"/>
          <w:caps w:val="0"/>
          <w:color w:val="auto"/>
          <w:spacing w:val="0"/>
          <w:sz w:val="31"/>
          <w:szCs w:val="31"/>
          <w:u w:val="none"/>
          <w:shd w:val="clear" w:color="auto" w:fill="FFFFFF"/>
          <w:lang w:eastAsia="zh-CN"/>
        </w:rPr>
        <w:t>和激励对科学有浓厚兴趣的优秀青少年</w:t>
      </w:r>
      <w:r>
        <w:rPr>
          <w:rFonts w:hint="eastAsia" w:ascii="仿宋_GB2312" w:hAnsi="微软雅黑" w:eastAsia="仿宋_GB2312" w:cs="仿宋_GB2312"/>
          <w:i w:val="0"/>
          <w:caps w:val="0"/>
          <w:color w:val="auto"/>
          <w:spacing w:val="0"/>
          <w:sz w:val="31"/>
          <w:szCs w:val="31"/>
          <w:u w:val="none"/>
          <w:shd w:val="clear" w:color="auto" w:fill="FFFFFF"/>
        </w:rPr>
        <w:t>在实地科学实践中探究科学知识、锻炼科技技能，</w:t>
      </w:r>
      <w:r>
        <w:rPr>
          <w:rFonts w:hint="eastAsia" w:ascii="仿宋_GB2312" w:hAnsi="微软雅黑" w:eastAsia="仿宋_GB2312" w:cs="仿宋_GB2312"/>
          <w:i w:val="0"/>
          <w:caps w:val="0"/>
          <w:color w:val="auto"/>
          <w:spacing w:val="0"/>
          <w:sz w:val="31"/>
          <w:szCs w:val="31"/>
          <w:u w:val="none"/>
          <w:shd w:val="clear" w:color="auto" w:fill="FFFFFF"/>
          <w:lang w:eastAsia="zh-CN"/>
        </w:rPr>
        <w:t>培育科学精神、</w:t>
      </w:r>
      <w:r>
        <w:rPr>
          <w:rFonts w:hint="eastAsia" w:ascii="仿宋_GB2312" w:hAnsi="微软雅黑" w:eastAsia="仿宋_GB2312" w:cs="仿宋_GB2312"/>
          <w:i w:val="0"/>
          <w:caps w:val="0"/>
          <w:color w:val="auto"/>
          <w:spacing w:val="0"/>
          <w:sz w:val="31"/>
          <w:szCs w:val="31"/>
          <w:u w:val="none"/>
          <w:shd w:val="clear" w:color="auto" w:fill="FFFFFF"/>
        </w:rPr>
        <w:t>树立科学</w:t>
      </w:r>
      <w:r>
        <w:rPr>
          <w:rFonts w:hint="eastAsia" w:ascii="仿宋_GB2312" w:hAnsi="微软雅黑" w:eastAsia="仿宋_GB2312" w:cs="仿宋_GB2312"/>
          <w:i w:val="0"/>
          <w:caps w:val="0"/>
          <w:color w:val="auto"/>
          <w:spacing w:val="0"/>
          <w:sz w:val="31"/>
          <w:szCs w:val="31"/>
          <w:u w:val="none"/>
          <w:shd w:val="clear" w:color="auto" w:fill="FFFFFF"/>
          <w:lang w:eastAsia="zh-CN"/>
        </w:rPr>
        <w:t>理</w:t>
      </w:r>
      <w:r>
        <w:rPr>
          <w:rFonts w:hint="eastAsia" w:ascii="仿宋_GB2312" w:hAnsi="微软雅黑" w:eastAsia="仿宋_GB2312" w:cs="仿宋_GB2312"/>
          <w:i w:val="0"/>
          <w:caps w:val="0"/>
          <w:color w:val="auto"/>
          <w:spacing w:val="0"/>
          <w:sz w:val="31"/>
          <w:szCs w:val="31"/>
          <w:u w:val="none"/>
          <w:shd w:val="clear" w:color="auto" w:fill="FFFFFF"/>
        </w:rPr>
        <w:t>想</w:t>
      </w:r>
      <w:r>
        <w:rPr>
          <w:rFonts w:hint="eastAsia" w:ascii="仿宋_GB2312" w:hAnsi="微软雅黑" w:eastAsia="仿宋_GB2312" w:cs="仿宋_GB2312"/>
          <w:i w:val="0"/>
          <w:caps w:val="0"/>
          <w:color w:val="auto"/>
          <w:spacing w:val="0"/>
          <w:sz w:val="31"/>
          <w:szCs w:val="31"/>
          <w:u w:val="none"/>
          <w:shd w:val="clear" w:color="auto" w:fill="FFFFFF"/>
          <w:lang w:eastAsia="zh-CN"/>
        </w:rPr>
        <w:t>，</w:t>
      </w:r>
      <w:r>
        <w:rPr>
          <w:rFonts w:hint="eastAsia" w:ascii="仿宋_GB2312" w:hAnsi="仿宋" w:eastAsia="仿宋_GB2312"/>
          <w:color w:val="auto"/>
          <w:sz w:val="32"/>
          <w:szCs w:val="32"/>
          <w:lang w:val="en-US" w:eastAsia="zh-CN"/>
        </w:rPr>
        <w:t>凉山州科协于暑</w:t>
      </w:r>
      <w:r>
        <w:rPr>
          <w:rFonts w:hint="eastAsia" w:ascii="仿宋_GB2312" w:eastAsia="仿宋_GB2312"/>
          <w:color w:val="auto"/>
          <w:sz w:val="32"/>
          <w:szCs w:val="32"/>
        </w:rPr>
        <w:t>假期间组织我州部分优秀青少年科学爱好者</w:t>
      </w:r>
      <w:r>
        <w:rPr>
          <w:rFonts w:hint="eastAsia" w:ascii="仿宋_GB2312" w:eastAsia="仿宋_GB2312"/>
          <w:color w:val="auto"/>
          <w:sz w:val="32"/>
          <w:szCs w:val="32"/>
          <w:lang w:eastAsia="zh-CN"/>
        </w:rPr>
        <w:t>（暨第</w:t>
      </w:r>
      <w:r>
        <w:rPr>
          <w:rFonts w:hint="eastAsia" w:ascii="仿宋_GB2312" w:eastAsia="仿宋_GB2312"/>
          <w:color w:val="auto"/>
          <w:sz w:val="32"/>
          <w:szCs w:val="32"/>
          <w:lang w:val="en-US" w:eastAsia="zh-CN"/>
        </w:rPr>
        <w:t>38届凉山州青少年科技创新大赛一等奖获得者</w:t>
      </w:r>
      <w:r>
        <w:rPr>
          <w:rFonts w:hint="eastAsia" w:ascii="仿宋_GB2312" w:eastAsia="仿宋_GB2312"/>
          <w:color w:val="auto"/>
          <w:sz w:val="32"/>
          <w:szCs w:val="32"/>
          <w:lang w:eastAsia="zh-CN"/>
        </w:rPr>
        <w:t>）赴成都开展为期一周的</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年凉山州</w:t>
      </w:r>
      <w:r>
        <w:rPr>
          <w:rFonts w:hint="eastAsia" w:ascii="仿宋_GB2312" w:eastAsia="仿宋_GB2312"/>
          <w:color w:val="auto"/>
          <w:sz w:val="32"/>
          <w:szCs w:val="32"/>
          <w:lang w:eastAsia="zh-CN"/>
        </w:rPr>
        <w:t>青少年</w:t>
      </w:r>
      <w:r>
        <w:rPr>
          <w:rFonts w:hint="eastAsia" w:ascii="仿宋_GB2312" w:eastAsia="仿宋_GB2312"/>
          <w:color w:val="auto"/>
          <w:sz w:val="32"/>
          <w:szCs w:val="32"/>
        </w:rPr>
        <w:t>科学研学活动</w:t>
      </w:r>
      <w:r>
        <w:rPr>
          <w:rFonts w:hint="eastAsia" w:ascii="仿宋_GB2312" w:eastAsia="仿宋_GB2312"/>
          <w:color w:val="auto"/>
          <w:sz w:val="32"/>
          <w:szCs w:val="32"/>
          <w:lang w:eastAsia="zh-CN"/>
        </w:rPr>
        <w:t>。</w:t>
      </w:r>
    </w:p>
    <w:p w14:paraId="5E818BB5">
      <w:pPr>
        <w:keepNext w:val="0"/>
        <w:keepLines w:val="0"/>
        <w:pageBreakBefore w:val="0"/>
        <w:numPr>
          <w:ilvl w:val="0"/>
          <w:numId w:val="5"/>
        </w:numPr>
        <w:kinsoku/>
        <w:wordWrap/>
        <w:overflowPunct/>
        <w:topLinePunct w:val="0"/>
        <w:autoSpaceDE/>
        <w:autoSpaceDN/>
        <w:bidi w:val="0"/>
        <w:adjustRightInd w:val="0"/>
        <w:snapToGrid w:val="0"/>
        <w:spacing w:line="578" w:lineRule="exact"/>
        <w:ind w:left="0" w:leftChars="0" w:firstLine="643"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14:paraId="1305F2D4">
      <w:pPr>
        <w:keepNext w:val="0"/>
        <w:keepLines w:val="0"/>
        <w:pageBreakBefore w:val="0"/>
        <w:widowControl w:val="0"/>
        <w:kinsoku/>
        <w:wordWrap/>
        <w:overflowPunct/>
        <w:topLinePunct w:val="0"/>
        <w:autoSpaceDE/>
        <w:autoSpaceDN/>
        <w:bidi w:val="0"/>
        <w:adjustRightInd/>
        <w:snapToGrid/>
        <w:spacing w:line="580" w:lineRule="exact"/>
        <w:ind w:left="0" w:leftChars="0" w:right="28" w:firstLine="640" w:firstLineChars="200"/>
        <w:jc w:val="both"/>
        <w:textAlignment w:val="baseline"/>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深入</w:t>
      </w:r>
      <w:r>
        <w:rPr>
          <w:rFonts w:hint="eastAsia" w:ascii="仿宋_GB2312" w:hAnsi="仿宋" w:eastAsia="仿宋_GB2312"/>
          <w:color w:val="auto"/>
          <w:sz w:val="32"/>
          <w:szCs w:val="32"/>
          <w:lang w:val="en-US" w:eastAsia="zh-CN"/>
        </w:rPr>
        <w:t>实施科技创新后备人才培养计划，</w:t>
      </w:r>
      <w:r>
        <w:rPr>
          <w:rFonts w:hint="eastAsia" w:ascii="仿宋_GB2312" w:hAnsi="微软雅黑" w:eastAsia="仿宋_GB2312" w:cs="仿宋_GB2312"/>
          <w:i w:val="0"/>
          <w:caps w:val="0"/>
          <w:color w:val="auto"/>
          <w:spacing w:val="0"/>
          <w:sz w:val="31"/>
          <w:szCs w:val="31"/>
          <w:u w:val="none"/>
          <w:shd w:val="clear" w:color="auto" w:fill="FFFFFF"/>
        </w:rPr>
        <w:t>引导</w:t>
      </w:r>
      <w:r>
        <w:rPr>
          <w:rFonts w:hint="eastAsia" w:ascii="仿宋_GB2312" w:hAnsi="微软雅黑" w:eastAsia="仿宋_GB2312" w:cs="仿宋_GB2312"/>
          <w:i w:val="0"/>
          <w:caps w:val="0"/>
          <w:color w:val="auto"/>
          <w:spacing w:val="0"/>
          <w:sz w:val="31"/>
          <w:szCs w:val="31"/>
          <w:u w:val="none"/>
          <w:shd w:val="clear" w:color="auto" w:fill="FFFFFF"/>
          <w:lang w:eastAsia="zh-CN"/>
        </w:rPr>
        <w:t>和激励对科学有浓厚兴趣的优秀青少年（</w:t>
      </w:r>
      <w:r>
        <w:rPr>
          <w:rFonts w:hint="eastAsia" w:ascii="仿宋_GB2312" w:eastAsia="仿宋_GB2312"/>
          <w:color w:val="auto"/>
          <w:sz w:val="32"/>
          <w:szCs w:val="32"/>
          <w:lang w:eastAsia="zh-CN"/>
        </w:rPr>
        <w:t>暨第</w:t>
      </w:r>
      <w:r>
        <w:rPr>
          <w:rFonts w:hint="eastAsia" w:ascii="仿宋_GB2312" w:eastAsia="仿宋_GB2312"/>
          <w:color w:val="auto"/>
          <w:sz w:val="32"/>
          <w:szCs w:val="32"/>
          <w:lang w:val="en-US" w:eastAsia="zh-CN"/>
        </w:rPr>
        <w:t>38届凉山州青少年科技创新大赛一等奖获得者</w:t>
      </w:r>
      <w:r>
        <w:rPr>
          <w:rFonts w:hint="eastAsia" w:ascii="仿宋_GB2312" w:hAnsi="微软雅黑" w:eastAsia="仿宋_GB2312" w:cs="仿宋_GB2312"/>
          <w:i w:val="0"/>
          <w:caps w:val="0"/>
          <w:color w:val="auto"/>
          <w:spacing w:val="0"/>
          <w:sz w:val="31"/>
          <w:szCs w:val="31"/>
          <w:u w:val="none"/>
          <w:shd w:val="clear" w:color="auto" w:fill="FFFFFF"/>
          <w:lang w:eastAsia="zh-CN"/>
        </w:rPr>
        <w:t>）</w:t>
      </w:r>
      <w:r>
        <w:rPr>
          <w:rFonts w:hint="eastAsia" w:ascii="仿宋_GB2312" w:hAnsi="微软雅黑" w:eastAsia="仿宋_GB2312" w:cs="仿宋_GB2312"/>
          <w:i w:val="0"/>
          <w:caps w:val="0"/>
          <w:color w:val="auto"/>
          <w:spacing w:val="0"/>
          <w:sz w:val="31"/>
          <w:szCs w:val="31"/>
          <w:u w:val="none"/>
          <w:shd w:val="clear" w:color="auto" w:fill="FFFFFF"/>
        </w:rPr>
        <w:t>在实地科学实践中探究科学知识、锻炼科技技能，</w:t>
      </w:r>
      <w:r>
        <w:rPr>
          <w:rFonts w:hint="eastAsia" w:ascii="仿宋_GB2312" w:hAnsi="微软雅黑" w:eastAsia="仿宋_GB2312" w:cs="仿宋_GB2312"/>
          <w:i w:val="0"/>
          <w:caps w:val="0"/>
          <w:color w:val="auto"/>
          <w:spacing w:val="0"/>
          <w:sz w:val="31"/>
          <w:szCs w:val="31"/>
          <w:u w:val="none"/>
          <w:shd w:val="clear" w:color="auto" w:fill="FFFFFF"/>
          <w:lang w:eastAsia="zh-CN"/>
        </w:rPr>
        <w:t>培育科学精神、</w:t>
      </w:r>
      <w:r>
        <w:rPr>
          <w:rFonts w:hint="eastAsia" w:ascii="仿宋_GB2312" w:hAnsi="微软雅黑" w:eastAsia="仿宋_GB2312" w:cs="仿宋_GB2312"/>
          <w:i w:val="0"/>
          <w:caps w:val="0"/>
          <w:color w:val="auto"/>
          <w:spacing w:val="0"/>
          <w:sz w:val="31"/>
          <w:szCs w:val="31"/>
          <w:u w:val="none"/>
          <w:shd w:val="clear" w:color="auto" w:fill="FFFFFF"/>
        </w:rPr>
        <w:t>树立科学</w:t>
      </w:r>
      <w:r>
        <w:rPr>
          <w:rFonts w:hint="eastAsia" w:ascii="仿宋_GB2312" w:hAnsi="微软雅黑" w:eastAsia="仿宋_GB2312" w:cs="仿宋_GB2312"/>
          <w:i w:val="0"/>
          <w:caps w:val="0"/>
          <w:color w:val="auto"/>
          <w:spacing w:val="0"/>
          <w:sz w:val="31"/>
          <w:szCs w:val="31"/>
          <w:u w:val="none"/>
          <w:shd w:val="clear" w:color="auto" w:fill="FFFFFF"/>
          <w:lang w:eastAsia="zh-CN"/>
        </w:rPr>
        <w:t>理</w:t>
      </w:r>
      <w:r>
        <w:rPr>
          <w:rFonts w:hint="eastAsia" w:ascii="仿宋_GB2312" w:hAnsi="微软雅黑" w:eastAsia="仿宋_GB2312" w:cs="仿宋_GB2312"/>
          <w:i w:val="0"/>
          <w:caps w:val="0"/>
          <w:color w:val="auto"/>
          <w:spacing w:val="0"/>
          <w:sz w:val="31"/>
          <w:szCs w:val="31"/>
          <w:u w:val="none"/>
          <w:shd w:val="clear" w:color="auto" w:fill="FFFFFF"/>
        </w:rPr>
        <w:t>想</w:t>
      </w:r>
      <w:r>
        <w:rPr>
          <w:rFonts w:hint="eastAsia" w:ascii="仿宋_GB2312" w:hAnsi="仿宋" w:eastAsia="仿宋_GB2312"/>
          <w:color w:val="auto"/>
          <w:sz w:val="32"/>
          <w:szCs w:val="32"/>
          <w:lang w:val="en-US" w:eastAsia="zh-CN"/>
        </w:rPr>
        <w:t>，提升青少年科学素质。项目主要对该项活动给予经费保障。</w:t>
      </w:r>
    </w:p>
    <w:p w14:paraId="70106E65">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14:paraId="549A4325">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年凉山州</w:t>
      </w:r>
      <w:r>
        <w:rPr>
          <w:rFonts w:hint="eastAsia" w:ascii="仿宋_GB2312" w:eastAsia="仿宋_GB2312"/>
          <w:color w:val="auto"/>
          <w:sz w:val="32"/>
          <w:szCs w:val="32"/>
          <w:lang w:eastAsia="zh-CN"/>
        </w:rPr>
        <w:t>青少年</w:t>
      </w:r>
      <w:r>
        <w:rPr>
          <w:rFonts w:hint="eastAsia" w:ascii="仿宋_GB2312" w:eastAsia="仿宋_GB2312"/>
          <w:color w:val="auto"/>
          <w:sz w:val="32"/>
          <w:szCs w:val="32"/>
        </w:rPr>
        <w:t>科学研学活动</w:t>
      </w:r>
      <w:r>
        <w:rPr>
          <w:rFonts w:hint="eastAsia" w:ascii="仿宋_GB2312" w:hAnsi="仿宋_GB2312" w:eastAsia="仿宋_GB2312" w:cs="仿宋_GB2312"/>
          <w:color w:val="auto"/>
          <w:kern w:val="0"/>
          <w:sz w:val="32"/>
          <w:szCs w:val="32"/>
          <w:highlight w:val="none"/>
          <w:u w:val="none"/>
          <w:shd w:val="clear" w:color="auto" w:fill="FFFFFF"/>
          <w:lang w:val="en-US" w:eastAsia="zh-CN"/>
        </w:rPr>
        <w:t>项目总经费为12万元，</w:t>
      </w:r>
      <w:r>
        <w:rPr>
          <w:rFonts w:hint="eastAsia" w:ascii="仿宋_GB2312" w:eastAsia="仿宋_GB2312"/>
          <w:color w:val="auto"/>
          <w:sz w:val="32"/>
          <w:szCs w:val="32"/>
          <w:lang w:eastAsia="zh-CN"/>
        </w:rPr>
        <w:t>含参加研学活动的青少年的</w:t>
      </w:r>
      <w:r>
        <w:rPr>
          <w:rFonts w:hint="eastAsia" w:ascii="仿宋_GB2312" w:eastAsia="仿宋_GB2312"/>
          <w:color w:val="auto"/>
          <w:sz w:val="32"/>
          <w:szCs w:val="32"/>
        </w:rPr>
        <w:t>师资费、交通费、</w:t>
      </w:r>
      <w:r>
        <w:rPr>
          <w:rFonts w:hint="eastAsia" w:ascii="仿宋_GB2312" w:eastAsia="仿宋_GB2312"/>
          <w:color w:val="auto"/>
          <w:sz w:val="32"/>
          <w:szCs w:val="32"/>
          <w:lang w:eastAsia="zh-CN"/>
        </w:rPr>
        <w:t>场地费、</w:t>
      </w:r>
      <w:r>
        <w:rPr>
          <w:rFonts w:hint="eastAsia" w:ascii="仿宋_GB2312" w:eastAsia="仿宋_GB2312"/>
          <w:color w:val="auto"/>
          <w:sz w:val="32"/>
          <w:szCs w:val="32"/>
        </w:rPr>
        <w:t>食宿费、物料费、保险费</w:t>
      </w:r>
      <w:r>
        <w:rPr>
          <w:rFonts w:hint="eastAsia" w:ascii="仿宋_GB2312" w:eastAsia="仿宋_GB2312"/>
          <w:color w:val="auto"/>
          <w:sz w:val="32"/>
          <w:szCs w:val="32"/>
          <w:lang w:eastAsia="zh-CN"/>
        </w:rPr>
        <w:t>、服装费等，由州科协全额支付，不再收取其他任何费用</w:t>
      </w:r>
      <w:r>
        <w:rPr>
          <w:rFonts w:hint="eastAsia" w:ascii="仿宋_GB2312" w:hAnsi="仿宋_GB2312" w:cs="仿宋_GB2312"/>
          <w:color w:val="auto"/>
          <w:kern w:val="0"/>
          <w:sz w:val="32"/>
          <w:szCs w:val="32"/>
          <w:lang w:eastAsia="zh-CN"/>
        </w:rPr>
        <w:t>。</w:t>
      </w:r>
    </w:p>
    <w:p w14:paraId="30D5F8C5">
      <w:pPr>
        <w:keepNext w:val="0"/>
        <w:keepLines w:val="0"/>
        <w:pageBreakBefore w:val="0"/>
        <w:numPr>
          <w:ilvl w:val="0"/>
          <w:numId w:val="5"/>
        </w:numPr>
        <w:kinsoku/>
        <w:wordWrap/>
        <w:overflowPunct/>
        <w:topLinePunct w:val="0"/>
        <w:autoSpaceDE/>
        <w:autoSpaceDN/>
        <w:bidi w:val="0"/>
        <w:adjustRightInd w:val="0"/>
        <w:snapToGrid w:val="0"/>
        <w:spacing w:line="578" w:lineRule="exact"/>
        <w:ind w:left="0" w:leftChars="0" w:firstLine="643"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14:paraId="65066B5B">
      <w:pPr>
        <w:ind w:firstLine="640" w:firstLineChars="200"/>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该项目主要用于青少年到成都高校、科研院所、科普基地、科技馆等地开展以科技为主题的研学活动。</w:t>
      </w:r>
      <w:r>
        <w:rPr>
          <w:rFonts w:hint="eastAsia" w:ascii="仿宋_GB2312" w:hAnsi="仿宋_GB2312" w:eastAsia="仿宋_GB2312" w:cs="仿宋_GB2312"/>
          <w:color w:val="auto"/>
          <w:kern w:val="0"/>
          <w:sz w:val="32"/>
          <w:szCs w:val="32"/>
        </w:rPr>
        <w:t>项目应实现的绩效目标包括数量指标、质量指标、时效指标、成本指标、效果指标、社会效益指标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服务对象满意度指标</w:t>
      </w:r>
      <w:r>
        <w:rPr>
          <w:rFonts w:hint="eastAsia" w:ascii="仿宋_GB2312" w:hAnsi="仿宋_GB2312" w:eastAsia="仿宋_GB2312" w:cs="仿宋_GB2312"/>
          <w:color w:val="auto"/>
          <w:kern w:val="0"/>
          <w:sz w:val="32"/>
          <w:szCs w:val="32"/>
          <w:lang w:eastAsia="zh-CN"/>
        </w:rPr>
        <w:t>和资金使用等指标</w:t>
      </w:r>
      <w:r>
        <w:rPr>
          <w:rFonts w:hint="eastAsia" w:ascii="仿宋_GB2312" w:hAnsi="仿宋_GB2312" w:eastAsia="仿宋_GB2312" w:cs="仿宋_GB2312"/>
          <w:color w:val="auto"/>
          <w:kern w:val="0"/>
          <w:sz w:val="32"/>
          <w:szCs w:val="32"/>
        </w:rPr>
        <w:t>。项目的实施进度均按预算执行进度完成资金支付。</w:t>
      </w:r>
    </w:p>
    <w:p w14:paraId="23CB7CDD">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color w:val="auto"/>
          <w:sz w:val="32"/>
          <w:szCs w:val="32"/>
          <w:highlight w:val="none"/>
          <w:lang w:eastAsia="zh-CN"/>
        </w:rPr>
      </w:pPr>
      <w:r>
        <w:rPr>
          <w:rFonts w:hint="eastAsia" w:ascii="黑体" w:hAnsi="宋体" w:eastAsia="黑体"/>
          <w:color w:val="auto"/>
          <w:sz w:val="32"/>
          <w:szCs w:val="32"/>
          <w:highlight w:val="none"/>
        </w:rPr>
        <w:t>二、</w:t>
      </w:r>
      <w:r>
        <w:rPr>
          <w:rFonts w:hint="eastAsia" w:ascii="黑体" w:hAnsi="宋体" w:eastAsia="黑体"/>
          <w:color w:val="auto"/>
          <w:sz w:val="32"/>
          <w:szCs w:val="32"/>
          <w:highlight w:val="none"/>
          <w:lang w:eastAsia="zh-CN"/>
        </w:rPr>
        <w:t>评价实施</w:t>
      </w:r>
    </w:p>
    <w:p w14:paraId="3BA1531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楷体_GB2312" w:hAnsi="宋体" w:eastAsia="楷体_GB2312"/>
          <w:b/>
          <w:color w:val="auto"/>
          <w:sz w:val="32"/>
          <w:szCs w:val="32"/>
          <w:highlight w:val="none"/>
          <w:u w:val="none"/>
          <w:lang w:val="zh-CN"/>
        </w:rPr>
        <w:t>（一）评价目的。</w:t>
      </w:r>
      <w:r>
        <w:rPr>
          <w:rFonts w:hint="eastAsia" w:ascii="仿宋_GB2312" w:eastAsia="仿宋_GB2312"/>
          <w:color w:val="auto"/>
          <w:sz w:val="32"/>
          <w:szCs w:val="32"/>
          <w:lang w:eastAsia="zh-CN"/>
        </w:rPr>
        <w:t>组织青少年走进高等院校、科研院所、科普基地、科技馆、博物馆等，通过参观访问、学习探究、专家讲座、互动体验、实操培训等多种方式，让参与活动的青少年开阔科学视野、了解前沿科技，感受科学魅力，深度学习科学知识，帮助培养科学兴趣，树立科学梦想，</w:t>
      </w:r>
      <w:r>
        <w:rPr>
          <w:rFonts w:hint="eastAsia" w:ascii="Times New Roman" w:hAnsi="Times New Roman" w:eastAsia="仿宋_GB2312" w:cs="仿宋_GB2312"/>
          <w:color w:val="auto"/>
          <w:sz w:val="32"/>
          <w:szCs w:val="32"/>
          <w:lang w:val="en-US" w:eastAsia="zh-CN"/>
        </w:rPr>
        <w:t>培养造就具有科学潜质的青少年</w:t>
      </w:r>
      <w:r>
        <w:rPr>
          <w:rFonts w:hint="eastAsia" w:ascii="仿宋_GB2312" w:hAnsi="仿宋_GB2312" w:eastAsia="仿宋_GB2312" w:cs="仿宋_GB2312"/>
          <w:color w:val="auto"/>
          <w:kern w:val="0"/>
          <w:sz w:val="32"/>
          <w:szCs w:val="32"/>
          <w:lang w:val="zh-CN"/>
        </w:rPr>
        <w:t>。</w:t>
      </w:r>
    </w:p>
    <w:p w14:paraId="6F59A826">
      <w:pPr>
        <w:ind w:firstLine="643" w:firstLineChars="200"/>
        <w:textAlignment w:val="baseline"/>
        <w:rPr>
          <w:rFonts w:hint="eastAsia" w:ascii="仿宋_GB2312" w:hAnsi="仿宋_GB2312" w:eastAsia="仿宋_GB2312" w:cs="仿宋_GB2312"/>
          <w:color w:val="auto"/>
          <w:kern w:val="0"/>
          <w:sz w:val="32"/>
          <w:szCs w:val="32"/>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color w:val="auto"/>
          <w:kern w:val="0"/>
          <w:sz w:val="32"/>
          <w:szCs w:val="32"/>
          <w:highlight w:val="none"/>
          <w:u w:val="none"/>
          <w:shd w:val="clear" w:color="auto" w:fill="FFFFFF"/>
          <w:lang w:val="en-US" w:eastAsia="zh-CN"/>
        </w:rPr>
        <w:t>本</w:t>
      </w:r>
      <w:r>
        <w:rPr>
          <w:rFonts w:hint="eastAsia" w:ascii="仿宋_GB2312" w:hAnsi="仿宋_GB2312" w:eastAsia="仿宋_GB2312" w:cs="仿宋_GB2312"/>
          <w:color w:val="auto"/>
          <w:kern w:val="0"/>
          <w:sz w:val="32"/>
          <w:szCs w:val="32"/>
          <w:lang w:val="en-US" w:eastAsia="zh-CN"/>
        </w:rPr>
        <w:t>项目主要从研学活动组织、实施、效果和经费的使用等方面进行评价。包括研学的选点、课程的设置与安排、在激发科学兴趣、锻炼实践能力、提升科学素质以及满意度等。</w:t>
      </w:r>
    </w:p>
    <w:p w14:paraId="1B7BAA44">
      <w:pPr>
        <w:ind w:firstLine="643" w:firstLineChars="200"/>
        <w:textAlignment w:val="baseline"/>
        <w:rPr>
          <w:rFonts w:ascii="仿宋_GB2312" w:hAnsi="仿宋_GB2312" w:eastAsia="仿宋_GB2312" w:cs="仿宋_GB2312"/>
          <w:color w:val="auto"/>
          <w:kern w:val="0"/>
          <w:sz w:val="32"/>
          <w:szCs w:val="32"/>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color w:val="auto"/>
          <w:kern w:val="0"/>
          <w:sz w:val="32"/>
          <w:szCs w:val="32"/>
          <w:lang w:val="zh-CN"/>
        </w:rPr>
        <w:t>在项目实施过程中，严格划分</w:t>
      </w:r>
      <w:r>
        <w:rPr>
          <w:rFonts w:hint="eastAsia" w:ascii="仿宋_GB2312" w:hAnsi="仿宋_GB2312" w:eastAsia="仿宋_GB2312" w:cs="仿宋_GB2312"/>
          <w:color w:val="auto"/>
          <w:kern w:val="0"/>
          <w:sz w:val="32"/>
          <w:szCs w:val="32"/>
        </w:rPr>
        <w:t>单位的责、权、利，最大限度提高项目资金的使用效率。</w:t>
      </w:r>
      <w:r>
        <w:rPr>
          <w:rFonts w:hint="eastAsia" w:ascii="仿宋_GB2312" w:hAnsi="仿宋_GB2312" w:eastAsia="仿宋_GB2312" w:cs="仿宋_GB2312"/>
          <w:color w:val="auto"/>
          <w:kern w:val="0"/>
          <w:sz w:val="32"/>
          <w:szCs w:val="32"/>
          <w:lang w:val="zh-CN"/>
        </w:rPr>
        <w:t>项目资金的使用符合国家财经法规和财务管理制度及有关专项资金管理办法规定、符合项目预算批复和合同规定用途，审批程序完整严谨；项目实施遵守相关法律法规，无截留、挤占、挪用、虚列支出等情况；项目完成后合同签订、验收报告、技术鉴定等资料齐全并及时归档。</w:t>
      </w:r>
      <w:r>
        <w:rPr>
          <w:rFonts w:hint="eastAsia" w:ascii="仿宋_GB2312" w:hAnsi="仿宋_GB2312" w:eastAsia="仿宋_GB2312" w:cs="仿宋_GB2312"/>
          <w:color w:val="auto"/>
          <w:kern w:val="0"/>
          <w:sz w:val="32"/>
          <w:szCs w:val="32"/>
        </w:rPr>
        <w:t>确保州级科普专项资金使用安全、透明。预算执行率100%。</w:t>
      </w:r>
    </w:p>
    <w:p w14:paraId="43106226">
      <w:pPr>
        <w:widowControl/>
        <w:adjustRightInd w:val="0"/>
        <w:snapToGrid w:val="0"/>
        <w:spacing w:line="600" w:lineRule="exact"/>
        <w:ind w:firstLine="643" w:firstLineChars="200"/>
        <w:contextualSpacing/>
        <w:rPr>
          <w:rFonts w:hint="eastAsia" w:ascii="仿宋_GB2312" w:hAnsi="仿宋_GB2312" w:eastAsia="仿宋_GB2312" w:cs="仿宋_GB2312"/>
          <w:color w:val="auto"/>
          <w:kern w:val="0"/>
          <w:sz w:val="32"/>
          <w:szCs w:val="32"/>
          <w:lang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color w:val="auto"/>
          <w:kern w:val="0"/>
          <w:sz w:val="32"/>
          <w:szCs w:val="32"/>
        </w:rPr>
        <w:t>凉山州科学技术协会是项目组织、实施和监管的主管单位</w:t>
      </w:r>
      <w:r>
        <w:rPr>
          <w:rFonts w:hint="eastAsia" w:ascii="仿宋_GB2312" w:hAnsi="仿宋_GB2312" w:eastAsia="仿宋_GB2312" w:cs="仿宋_GB2312"/>
          <w:color w:val="auto"/>
          <w:kern w:val="0"/>
          <w:sz w:val="32"/>
          <w:szCs w:val="32"/>
          <w:lang w:eastAsia="zh-CN"/>
        </w:rPr>
        <w:t>。我科室依照</w:t>
      </w:r>
      <w:r>
        <w:rPr>
          <w:rFonts w:hint="eastAsia" w:ascii="仿宋_GB2312" w:hAnsi="仿宋_GB2312" w:eastAsia="仿宋_GB2312" w:cs="仿宋_GB2312"/>
          <w:color w:val="auto"/>
          <w:kern w:val="0"/>
          <w:sz w:val="32"/>
          <w:szCs w:val="32"/>
        </w:rPr>
        <w:t>凉山州科学技术协会</w:t>
      </w:r>
      <w:r>
        <w:rPr>
          <w:rFonts w:hint="eastAsia" w:ascii="仿宋_GB2312" w:hAnsi="仿宋_GB2312" w:eastAsia="仿宋_GB2312" w:cs="仿宋_GB2312"/>
          <w:color w:val="auto"/>
          <w:kern w:val="0"/>
          <w:sz w:val="32"/>
          <w:szCs w:val="32"/>
          <w:lang w:eastAsia="zh-CN"/>
        </w:rPr>
        <w:t>的工作布置和州财政局的</w:t>
      </w:r>
      <w:r>
        <w:rPr>
          <w:rFonts w:hint="eastAsia" w:ascii="仿宋_GB2312" w:hAnsi="仿宋_GB2312" w:eastAsia="仿宋_GB2312" w:cs="仿宋_GB2312"/>
          <w:color w:val="auto"/>
          <w:kern w:val="0"/>
          <w:sz w:val="32"/>
          <w:szCs w:val="32"/>
          <w:lang w:val="en-US" w:eastAsia="zh-CN"/>
        </w:rPr>
        <w:t>“谁用钱、谁自评</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和</w:t>
      </w:r>
      <w:r>
        <w:rPr>
          <w:rFonts w:hint="eastAsia" w:ascii="仿宋_GB2312" w:hAnsi="仿宋_GB2312" w:eastAsia="仿宋_GB2312" w:cs="仿宋_GB2312"/>
          <w:color w:val="auto"/>
          <w:kern w:val="0"/>
          <w:sz w:val="32"/>
          <w:szCs w:val="32"/>
          <w:lang w:eastAsia="zh-CN"/>
        </w:rPr>
        <w:t>要求，对照“专项预算项目绩效目标完成情况自评表”和“专项预算绩效自评打分表”，按照表中项目</w:t>
      </w:r>
      <w:r>
        <w:rPr>
          <w:rFonts w:hint="eastAsia" w:ascii="仿宋_GB2312" w:hAnsi="仿宋_GB2312" w:eastAsia="仿宋_GB2312" w:cs="仿宋_GB2312"/>
          <w:color w:val="auto"/>
          <w:kern w:val="0"/>
          <w:sz w:val="32"/>
          <w:szCs w:val="32"/>
          <w:lang w:val="en-US" w:eastAsia="zh-CN"/>
        </w:rPr>
        <w:t>概</w:t>
      </w:r>
      <w:r>
        <w:rPr>
          <w:rFonts w:hint="eastAsia" w:ascii="仿宋_GB2312" w:hAnsi="仿宋_GB2312" w:eastAsia="仿宋_GB2312" w:cs="仿宋_GB2312"/>
          <w:color w:val="auto"/>
          <w:kern w:val="0"/>
          <w:sz w:val="32"/>
          <w:szCs w:val="32"/>
          <w:lang w:eastAsia="zh-CN"/>
        </w:rPr>
        <w:t>况、项目总体目标，绩效指标等内容，结合项目决策、项目管理、项目实施、项目结果、民生保障、自设个性指标等特点逐项进行自评打分，较客观公正的对财政资金进行全面绩效评价。确保州级科普专项资金使用安全、透明、高速、效益化。</w:t>
      </w:r>
    </w:p>
    <w:p w14:paraId="3DCE9A47">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楷体_GB2312" w:cs="Times New Roman"/>
          <w:bCs/>
          <w:color w:val="auto"/>
          <w:lang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color w:val="auto"/>
          <w:kern w:val="0"/>
          <w:sz w:val="32"/>
          <w:szCs w:val="32"/>
          <w:lang w:eastAsia="zh-CN"/>
        </w:rPr>
        <w:t>州科协党组负责该项目的制定与监督，青少年活动中心负责该项目的具体实施。</w:t>
      </w:r>
    </w:p>
    <w:p w14:paraId="73649FFB">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14:paraId="7B73068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楷体_GB2312" w:hAnsi="宋体" w:eastAsia="楷体_GB2312" w:cs="Times New Roman"/>
          <w:b/>
          <w:color w:val="auto"/>
          <w:sz w:val="32"/>
          <w:szCs w:val="32"/>
          <w:highlight w:val="none"/>
          <w:u w:val="none"/>
          <w:lang w:val="zh-CN" w:eastAsia="zh-CN"/>
        </w:rPr>
        <w:t>绩效分析。</w:t>
      </w:r>
      <w:r>
        <w:rPr>
          <w:rFonts w:hint="eastAsia" w:ascii="楷体_GB2312" w:hAnsi="宋体" w:eastAsia="楷体_GB2312" w:cs="Times New Roman"/>
          <w:b/>
          <w:color w:val="auto"/>
          <w:sz w:val="32"/>
          <w:szCs w:val="32"/>
          <w:highlight w:val="none"/>
          <w:u w:val="none"/>
          <w:lang w:val="zh-CN" w:eastAsia="zh-CN"/>
        </w:rPr>
        <w:t>（自评得分：</w:t>
      </w:r>
      <w:r>
        <w:rPr>
          <w:rFonts w:hint="eastAsia" w:ascii="楷体_GB2312" w:hAnsi="宋体" w:eastAsia="楷体_GB2312" w:cs="Times New Roman"/>
          <w:b/>
          <w:color w:val="auto"/>
          <w:sz w:val="32"/>
          <w:szCs w:val="32"/>
          <w:highlight w:val="none"/>
          <w:u w:val="none"/>
          <w:lang w:val="en-US" w:eastAsia="zh-CN"/>
        </w:rPr>
        <w:t>54分</w:t>
      </w:r>
      <w:r>
        <w:rPr>
          <w:rFonts w:hint="eastAsia" w:ascii="楷体_GB2312" w:hAnsi="宋体" w:eastAsia="楷体_GB2312" w:cs="Times New Roman"/>
          <w:b/>
          <w:color w:val="auto"/>
          <w:sz w:val="32"/>
          <w:szCs w:val="32"/>
          <w:highlight w:val="none"/>
          <w:u w:val="none"/>
          <w:lang w:val="zh-CN" w:eastAsia="zh-CN"/>
        </w:rPr>
        <w:t>）</w:t>
      </w:r>
    </w:p>
    <w:p w14:paraId="41C00262">
      <w:pPr>
        <w:widowControl/>
        <w:adjustRightInd w:val="0"/>
        <w:snapToGrid w:val="0"/>
        <w:spacing w:line="600" w:lineRule="exact"/>
        <w:ind w:firstLine="640" w:firstLineChars="200"/>
        <w:contextualSpacing/>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项目决策。本项目是结合州科协职能职责，为提升青少年科学素质、实施科技后备培养计划而开展的青少年科普活动。活动由州科协青少年科技活动中心纳入年度工作计划，并经州科协党组认真研究后同意实施。</w:t>
      </w:r>
      <w:r>
        <w:rPr>
          <w:rFonts w:hint="eastAsia" w:ascii="仿宋_GB2312" w:hAnsi="仿宋_GB2312" w:eastAsia="仿宋_GB2312" w:cs="仿宋_GB2312"/>
          <w:color w:val="auto"/>
          <w:kern w:val="0"/>
          <w:sz w:val="32"/>
          <w:szCs w:val="32"/>
          <w:lang w:val="zh-CN" w:eastAsia="zh-CN"/>
        </w:rPr>
        <w:t>故此项自评得分</w:t>
      </w:r>
      <w:r>
        <w:rPr>
          <w:rFonts w:hint="eastAsia" w:ascii="仿宋_GB2312" w:hAnsi="仿宋_GB2312" w:eastAsia="仿宋_GB2312" w:cs="仿宋_GB2312"/>
          <w:color w:val="auto"/>
          <w:kern w:val="0"/>
          <w:sz w:val="32"/>
          <w:szCs w:val="32"/>
          <w:lang w:val="en-US" w:eastAsia="zh-CN"/>
        </w:rPr>
        <w:t>18分。</w:t>
      </w:r>
    </w:p>
    <w:p w14:paraId="1FF6ABC9">
      <w:pPr>
        <w:widowControl/>
        <w:adjustRightInd w:val="0"/>
        <w:snapToGrid w:val="0"/>
        <w:spacing w:line="600" w:lineRule="exact"/>
        <w:ind w:firstLine="640" w:firstLineChars="200"/>
        <w:contextualSpacing/>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2.项目管理。凉山州科学技术协会在项目决策和实施方面坚持“资金跟着项目走、项目跟着决策走”的理念，按照各级财政项目资金绩效管理的程序和要求，专项项目设立均经过事前评估。</w:t>
      </w:r>
      <w:r>
        <w:rPr>
          <w:rFonts w:hint="eastAsia" w:ascii="仿宋_GB2312" w:hAnsi="仿宋_GB2312" w:eastAsia="仿宋_GB2312" w:cs="仿宋_GB2312"/>
          <w:color w:val="auto"/>
          <w:kern w:val="0"/>
          <w:sz w:val="32"/>
          <w:szCs w:val="32"/>
          <w:lang w:val="zh-CN" w:eastAsia="zh-CN"/>
        </w:rPr>
        <w:t>州本级</w:t>
      </w:r>
      <w:r>
        <w:rPr>
          <w:rFonts w:hint="eastAsia" w:ascii="仿宋_GB2312" w:hAnsi="仿宋_GB2312" w:eastAsia="仿宋_GB2312" w:cs="仿宋_GB2312"/>
          <w:color w:val="auto"/>
          <w:kern w:val="0"/>
          <w:sz w:val="32"/>
          <w:szCs w:val="32"/>
          <w:lang w:val="en-US" w:eastAsia="zh-CN"/>
        </w:rPr>
        <w:t>对</w:t>
      </w:r>
      <w:r>
        <w:rPr>
          <w:rFonts w:hint="eastAsia" w:ascii="仿宋_GB2312" w:hAnsi="仿宋_GB2312" w:eastAsia="仿宋_GB2312" w:cs="仿宋_GB2312"/>
          <w:color w:val="auto"/>
          <w:kern w:val="0"/>
          <w:sz w:val="32"/>
          <w:szCs w:val="32"/>
          <w:lang w:val="zh-CN" w:eastAsia="zh-CN"/>
        </w:rPr>
        <w:t>项目的管理严谨、</w:t>
      </w:r>
      <w:r>
        <w:rPr>
          <w:rFonts w:hint="eastAsia" w:ascii="仿宋_GB2312" w:hAnsi="仿宋_GB2312" w:eastAsia="仿宋_GB2312" w:cs="仿宋_GB2312"/>
          <w:color w:val="auto"/>
          <w:kern w:val="0"/>
          <w:sz w:val="32"/>
          <w:szCs w:val="32"/>
          <w:lang w:val="en-US" w:eastAsia="zh-CN"/>
        </w:rPr>
        <w:t>严格执行《四川省科普专项资金管理办法》（川财教〔2020〕83号）、《凉山州科技计划项目专项资金管理办法》（凉财规〔2020〕2号）。党组要求各</w:t>
      </w:r>
      <w:r>
        <w:rPr>
          <w:rFonts w:hint="eastAsia" w:ascii="仿宋_GB2312" w:hAnsi="仿宋_GB2312" w:eastAsia="仿宋_GB2312" w:cs="仿宋_GB2312"/>
          <w:color w:val="auto"/>
          <w:kern w:val="0"/>
          <w:sz w:val="32"/>
          <w:szCs w:val="32"/>
          <w:lang w:val="zh-CN" w:eastAsia="zh-CN"/>
        </w:rPr>
        <w:t>项目组</w:t>
      </w:r>
      <w:r>
        <w:rPr>
          <w:rFonts w:hint="eastAsia" w:ascii="仿宋_GB2312" w:hAnsi="仿宋_GB2312" w:eastAsia="仿宋_GB2312" w:cs="仿宋_GB2312"/>
          <w:color w:val="auto"/>
          <w:kern w:val="0"/>
          <w:sz w:val="32"/>
          <w:szCs w:val="32"/>
          <w:lang w:val="en-US" w:eastAsia="zh-CN"/>
        </w:rPr>
        <w:t>要事前进行调研，掌握必要的基本情况；事中加强实地考察以指导项目不偏离预期计划；事后组织对项目进行验收，确保项目实现目标。</w:t>
      </w:r>
      <w:r>
        <w:rPr>
          <w:rFonts w:hint="eastAsia" w:ascii="仿宋_GB2312" w:hAnsi="仿宋_GB2312" w:eastAsia="仿宋_GB2312" w:cs="仿宋_GB2312"/>
          <w:color w:val="auto"/>
          <w:kern w:val="0"/>
          <w:sz w:val="32"/>
          <w:szCs w:val="32"/>
          <w:lang w:val="zh-CN" w:eastAsia="zh-CN"/>
        </w:rPr>
        <w:t>因此相关管理制度机制健全、组织程序完善。故此项自评得分</w:t>
      </w:r>
      <w:r>
        <w:rPr>
          <w:rFonts w:hint="eastAsia" w:ascii="仿宋_GB2312" w:hAnsi="仿宋_GB2312" w:eastAsia="仿宋_GB2312" w:cs="仿宋_GB2312"/>
          <w:color w:val="auto"/>
          <w:kern w:val="0"/>
          <w:sz w:val="32"/>
          <w:szCs w:val="32"/>
          <w:lang w:val="en-US" w:eastAsia="zh-CN"/>
        </w:rPr>
        <w:t>18分。</w:t>
      </w:r>
    </w:p>
    <w:p w14:paraId="73218AFD">
      <w:pPr>
        <w:widowControl/>
        <w:adjustRightInd w:val="0"/>
        <w:snapToGrid w:val="0"/>
        <w:spacing w:line="600" w:lineRule="exact"/>
        <w:ind w:firstLine="640" w:firstLineChars="200"/>
        <w:contextualSpacing/>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项目实施。经费纳入年初预算，工作纳入年度重点任务，按计划实施和完成。项目由青少中心提前制定研学方案，通过竞争性磋商，委托具有资质的第三方（四川才智少年研学旅行服务有限公司）完成。州科协派出3名工作人员全程全面跟踪参与和监督。资金足额拨付到位，在项目圆满完成后，按协议及时支付。</w:t>
      </w:r>
      <w:r>
        <w:rPr>
          <w:rFonts w:hint="eastAsia" w:ascii="仿宋_GB2312" w:hAnsi="仿宋_GB2312" w:eastAsia="仿宋_GB2312" w:cs="仿宋_GB2312"/>
          <w:color w:val="auto"/>
          <w:kern w:val="0"/>
          <w:sz w:val="32"/>
          <w:szCs w:val="32"/>
          <w:lang w:val="zh-CN" w:eastAsia="zh-CN"/>
        </w:rPr>
        <w:t>故此项自评得分</w:t>
      </w:r>
      <w:r>
        <w:rPr>
          <w:rFonts w:hint="eastAsia" w:ascii="仿宋_GB2312" w:hAnsi="仿宋_GB2312" w:eastAsia="仿宋_GB2312" w:cs="仿宋_GB2312"/>
          <w:color w:val="auto"/>
          <w:kern w:val="0"/>
          <w:sz w:val="32"/>
          <w:szCs w:val="32"/>
          <w:lang w:val="en-US" w:eastAsia="zh-CN"/>
        </w:rPr>
        <w:t>9分。</w:t>
      </w:r>
    </w:p>
    <w:p w14:paraId="7A22103F">
      <w:pPr>
        <w:widowControl/>
        <w:adjustRightInd w:val="0"/>
        <w:snapToGrid w:val="0"/>
        <w:spacing w:line="600" w:lineRule="exact"/>
        <w:ind w:firstLine="640" w:firstLineChars="200"/>
        <w:contextualSpacing/>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4.项目结果。2024年7月20-24日，组织开展了以“感受科技之光  树立强国之志”为主题的2024年凉山州青少年科学研学活动。西昌二小、会东南山实验学校、会理现代职业学校、西昌二中等学校的26名优秀科创少年在成都参加了丰富多彩的科技文化交流活动。这批学生均为第38届州赛、省赛获得优异奖项的学生。活动中，同学们走进成都理工大博物馆，学习了解古生物化石、恐龙化石、矿产资源、岩石晶体等，感受生命奇迹和自然奥秘；走进成飞航空主题教育基地，探寻世界航空的发展历程，从早期飞行器到第五代战斗机，感受科技发展的不竭动力；走进四川科技馆，从机械力学到声光电、从磁悬浮到机器人，体验科技的无穷魅力；走进成都电子科技大学，聆听导师讲座、拼装小赛车、与学霸对话、畅游大学校园，感受大学氛围、树立大学理想；走进成都动物园，了解生物多样性，亲近动物，体味人与自然和谐相处；走进武侯祠、杜甫草堂，聆听历史故事、领略三国文化、感受诗人忧国忧民情怀……为期5天的科学探索之旅，同学们受益匪浅，不仅拓宽了科技视野，更激发了对科学探究的无限热情与憧憬，树立了科技报国的远大志向。故</w:t>
      </w:r>
      <w:r>
        <w:rPr>
          <w:rFonts w:hint="eastAsia" w:ascii="仿宋_GB2312" w:hAnsi="仿宋_GB2312" w:eastAsia="仿宋_GB2312" w:cs="仿宋_GB2312"/>
          <w:color w:val="auto"/>
          <w:kern w:val="0"/>
          <w:sz w:val="32"/>
          <w:szCs w:val="32"/>
          <w:lang w:val="zh-CN" w:eastAsia="zh-CN"/>
        </w:rPr>
        <w:t>此项自评得分</w:t>
      </w:r>
      <w:r>
        <w:rPr>
          <w:rFonts w:hint="eastAsia" w:ascii="仿宋_GB2312" w:hAnsi="仿宋_GB2312" w:eastAsia="仿宋_GB2312" w:cs="仿宋_GB2312"/>
          <w:color w:val="auto"/>
          <w:kern w:val="0"/>
          <w:sz w:val="32"/>
          <w:szCs w:val="32"/>
          <w:lang w:val="en-US" w:eastAsia="zh-CN"/>
        </w:rPr>
        <w:t>9分。</w:t>
      </w:r>
    </w:p>
    <w:p w14:paraId="3C27254D">
      <w:pPr>
        <w:widowControl/>
        <w:adjustRightInd w:val="0"/>
        <w:snapToGrid w:val="0"/>
        <w:spacing w:line="600" w:lineRule="exact"/>
        <w:ind w:firstLine="643" w:firstLineChars="200"/>
        <w:contextualSpacing/>
        <w:rPr>
          <w:rFonts w:hint="eastAsia" w:ascii="仿宋_GB2312" w:hAnsi="仿宋_GB2312" w:eastAsia="仿宋_GB2312" w:cs="仿宋_GB2312"/>
          <w:b/>
          <w:bCs/>
          <w:color w:val="auto"/>
          <w:kern w:val="0"/>
          <w:sz w:val="32"/>
          <w:szCs w:val="32"/>
          <w:lang w:val="zh-CN" w:eastAsia="zh-CN"/>
        </w:rPr>
      </w:pPr>
      <w:r>
        <w:rPr>
          <w:rFonts w:hint="eastAsia" w:ascii="仿宋_GB2312" w:hAnsi="仿宋_GB2312" w:eastAsia="仿宋_GB2312" w:cs="仿宋_GB2312"/>
          <w:b/>
          <w:bCs/>
          <w:color w:val="auto"/>
          <w:kern w:val="0"/>
          <w:sz w:val="32"/>
          <w:szCs w:val="32"/>
          <w:lang w:val="zh-CN" w:eastAsia="zh-CN"/>
        </w:rPr>
        <w:t>（二）</w:t>
      </w:r>
      <w:r>
        <w:rPr>
          <w:rFonts w:hint="eastAsia" w:ascii="仿宋_GB2312" w:hAnsi="仿宋_GB2312" w:eastAsia="仿宋_GB2312" w:cs="仿宋_GB2312"/>
          <w:b/>
          <w:bCs/>
          <w:color w:val="auto"/>
          <w:kern w:val="0"/>
          <w:sz w:val="32"/>
          <w:szCs w:val="32"/>
          <w:lang w:val="en-US" w:eastAsia="zh-CN"/>
        </w:rPr>
        <w:t>专用指标</w:t>
      </w:r>
      <w:r>
        <w:rPr>
          <w:rFonts w:hint="default" w:ascii="仿宋_GB2312" w:hAnsi="仿宋_GB2312" w:eastAsia="仿宋_GB2312" w:cs="仿宋_GB2312"/>
          <w:b/>
          <w:bCs/>
          <w:color w:val="auto"/>
          <w:kern w:val="0"/>
          <w:sz w:val="32"/>
          <w:szCs w:val="32"/>
          <w:lang w:val="zh-CN" w:eastAsia="zh-CN"/>
        </w:rPr>
        <w:t>绩效分析。</w:t>
      </w:r>
      <w:r>
        <w:rPr>
          <w:rFonts w:hint="eastAsia" w:ascii="仿宋_GB2312" w:hAnsi="仿宋_GB2312" w:eastAsia="仿宋_GB2312" w:cs="仿宋_GB2312"/>
          <w:b/>
          <w:bCs/>
          <w:color w:val="auto"/>
          <w:kern w:val="0"/>
          <w:sz w:val="32"/>
          <w:szCs w:val="32"/>
          <w:lang w:val="zh-CN" w:eastAsia="zh-CN"/>
        </w:rPr>
        <w:t>（此项自评得分：</w:t>
      </w:r>
      <w:r>
        <w:rPr>
          <w:rFonts w:hint="eastAsia" w:ascii="仿宋_GB2312" w:hAnsi="仿宋_GB2312" w:eastAsia="仿宋_GB2312" w:cs="仿宋_GB2312"/>
          <w:b/>
          <w:bCs/>
          <w:color w:val="auto"/>
          <w:kern w:val="0"/>
          <w:sz w:val="32"/>
          <w:szCs w:val="32"/>
          <w:lang w:val="en-US" w:eastAsia="zh-CN"/>
        </w:rPr>
        <w:t>29分</w:t>
      </w:r>
      <w:r>
        <w:rPr>
          <w:rFonts w:hint="eastAsia" w:ascii="仿宋_GB2312" w:hAnsi="仿宋_GB2312" w:eastAsia="仿宋_GB2312" w:cs="仿宋_GB2312"/>
          <w:b/>
          <w:bCs/>
          <w:color w:val="auto"/>
          <w:kern w:val="0"/>
          <w:sz w:val="32"/>
          <w:szCs w:val="32"/>
          <w:lang w:val="zh-CN" w:eastAsia="zh-CN"/>
        </w:rPr>
        <w:t>）</w:t>
      </w:r>
    </w:p>
    <w:p w14:paraId="05733812">
      <w:pPr>
        <w:pStyle w:val="2"/>
        <w:tabs>
          <w:tab w:val="left" w:pos="2160"/>
        </w:tabs>
        <w:ind w:firstLine="640" w:firstLineChars="200"/>
        <w:rPr>
          <w:rFonts w:hint="eastAsia" w:ascii="仿宋_GB2312" w:hAnsi="仿宋_GB2312" w:eastAsia="仿宋_GB2312" w:cs="仿宋_GB2312"/>
          <w:color w:val="auto"/>
          <w:kern w:val="0"/>
          <w:position w:val="0"/>
          <w:sz w:val="32"/>
          <w:szCs w:val="32"/>
          <w:lang w:val="zh-CN" w:eastAsia="zh-CN" w:bidi="ar-SA"/>
        </w:rPr>
      </w:pPr>
      <w:r>
        <w:rPr>
          <w:rFonts w:hint="eastAsia" w:ascii="Times New Roman" w:hAnsi="Times New Roman" w:eastAsia="仿宋_GB2312" w:cs="仿宋_GB2312"/>
          <w:color w:val="auto"/>
          <w:sz w:val="32"/>
          <w:szCs w:val="32"/>
          <w:lang w:val="zh-CN" w:eastAsia="zh-CN"/>
        </w:rPr>
        <w:t>民生保障。</w:t>
      </w:r>
      <w:r>
        <w:rPr>
          <w:rFonts w:hint="eastAsia" w:ascii="Times New Roman" w:hAnsi="Times New Roman" w:eastAsia="仿宋_GB2312" w:cs="仿宋_GB2312"/>
          <w:color w:val="auto"/>
          <w:sz w:val="32"/>
          <w:szCs w:val="32"/>
          <w:lang w:val="en-US" w:eastAsia="zh-CN"/>
        </w:rPr>
        <w:t>州科协党组高度重视此项工作，对经费预算、活动方案上会研究。按政府采购程序确定第三方服务，并</w:t>
      </w:r>
      <w:r>
        <w:rPr>
          <w:rFonts w:hint="eastAsia" w:ascii="Times New Roman" w:hAnsi="Times New Roman" w:eastAsia="仿宋_GB2312" w:cs="Times New Roman"/>
          <w:color w:val="auto"/>
          <w:sz w:val="32"/>
          <w:szCs w:val="32"/>
          <w:lang w:val="en-US" w:eastAsia="zh-CN"/>
        </w:rPr>
        <w:t>与中选单位进行细节磋商，围绕活动重点环节，认真研究、精心安排，进一步强化研学课程、行程、食宿、安全等环节的保障和执行，做到课程设置合理、活动组织有序、安全措施有效，达到预期效果。这26名从第38届凉山州青少年科技创新大赛一等奖中选拔出来的优秀青少年，</w:t>
      </w:r>
      <w:r>
        <w:rPr>
          <w:rFonts w:hint="eastAsia" w:ascii="仿宋_GB2312" w:hAnsi="仿宋_GB2312" w:eastAsia="仿宋_GB2312" w:cs="仿宋_GB2312"/>
          <w:color w:val="auto"/>
          <w:kern w:val="0"/>
          <w:position w:val="0"/>
          <w:sz w:val="32"/>
          <w:szCs w:val="32"/>
          <w:lang w:val="zh-CN" w:eastAsia="zh-CN" w:bidi="ar-SA"/>
        </w:rPr>
        <w:t>通过参加活动，有力激发了科学兴趣、锻炼了实践能力，树立了科学理想，提升青少年科学素质。同时，丰富孩子的暑假生活，助力实施“双减”行动。参加活动的小学生们持续保持对科学的热爱，初高中学生树立了大学进一步学习科技类学科的远大理想，满意度达</w:t>
      </w:r>
      <w:r>
        <w:rPr>
          <w:rFonts w:hint="eastAsia" w:ascii="仿宋_GB2312" w:hAnsi="仿宋_GB2312" w:eastAsia="仿宋_GB2312" w:cs="仿宋_GB2312"/>
          <w:color w:val="auto"/>
          <w:kern w:val="0"/>
          <w:position w:val="0"/>
          <w:sz w:val="32"/>
          <w:szCs w:val="32"/>
          <w:lang w:val="en-US" w:eastAsia="zh-CN" w:bidi="ar-SA"/>
        </w:rPr>
        <w:t>95%，</w:t>
      </w:r>
      <w:r>
        <w:rPr>
          <w:rFonts w:hint="eastAsia" w:ascii="仿宋_GB2312" w:hAnsi="仿宋_GB2312" w:eastAsia="仿宋_GB2312" w:cs="仿宋_GB2312"/>
          <w:color w:val="auto"/>
          <w:kern w:val="0"/>
          <w:position w:val="0"/>
          <w:sz w:val="32"/>
          <w:szCs w:val="32"/>
          <w:lang w:val="zh-CN" w:eastAsia="zh-CN" w:bidi="ar-SA"/>
        </w:rPr>
        <w:t>相关学校和家长强烈建议将研学活动持续举办下去，为青少年的成长成才搭建更好的平台。</w:t>
      </w:r>
    </w:p>
    <w:p w14:paraId="5329BB90">
      <w:pPr>
        <w:pStyle w:val="2"/>
        <w:tabs>
          <w:tab w:val="left" w:pos="2160"/>
        </w:tabs>
        <w:ind w:firstLine="640" w:firstLineChars="200"/>
        <w:rPr>
          <w:rFonts w:hint="eastAsia" w:ascii="仿宋_GB2312" w:hAnsi="仿宋_GB2312" w:eastAsia="仿宋_GB2312" w:cs="仿宋_GB2312"/>
          <w:color w:val="auto"/>
          <w:kern w:val="0"/>
          <w:position w:val="0"/>
          <w:sz w:val="32"/>
          <w:szCs w:val="32"/>
          <w:lang w:val="zh-CN" w:eastAsia="zh-CN" w:bidi="ar-SA"/>
        </w:rPr>
      </w:pPr>
      <w:r>
        <w:rPr>
          <w:rFonts w:hint="eastAsia" w:ascii="仿宋_GB2312" w:hAnsi="仿宋_GB2312" w:eastAsia="仿宋_GB2312" w:cs="仿宋_GB2312"/>
          <w:color w:val="auto"/>
          <w:kern w:val="0"/>
          <w:position w:val="0"/>
          <w:sz w:val="32"/>
          <w:szCs w:val="32"/>
          <w:lang w:val="zh-CN" w:eastAsia="zh-CN" w:bidi="ar-SA"/>
        </w:rPr>
        <w:t>由于</w:t>
      </w:r>
      <w:r>
        <w:rPr>
          <w:rFonts w:hint="eastAsia" w:ascii="仿宋_GB2312" w:hAnsi="仿宋_GB2312" w:eastAsia="仿宋_GB2312" w:cs="仿宋_GB2312"/>
          <w:color w:val="auto"/>
          <w:kern w:val="0"/>
          <w:position w:val="0"/>
          <w:sz w:val="32"/>
          <w:szCs w:val="32"/>
          <w:lang w:val="en-US" w:eastAsia="zh-CN" w:bidi="ar-SA"/>
        </w:rPr>
        <w:t>受经费不足限制，受益学生有限，</w:t>
      </w:r>
      <w:r>
        <w:rPr>
          <w:rFonts w:hint="eastAsia" w:ascii="仿宋_GB2312" w:hAnsi="仿宋_GB2312" w:eastAsia="仿宋_GB2312" w:cs="仿宋_GB2312"/>
          <w:color w:val="auto"/>
          <w:kern w:val="0"/>
          <w:position w:val="0"/>
          <w:sz w:val="32"/>
          <w:szCs w:val="32"/>
          <w:lang w:val="zh-CN" w:eastAsia="zh-CN" w:bidi="ar-SA"/>
        </w:rPr>
        <w:t>参与活动的部分学生为小学生，知识储备不够，部分研学课程相对于他们来说偏难，</w:t>
      </w:r>
      <w:r>
        <w:rPr>
          <w:rFonts w:hint="eastAsia" w:ascii="仿宋_GB2312" w:hAnsi="仿宋_GB2312" w:eastAsia="仿宋_GB2312" w:cs="仿宋_GB2312"/>
          <w:color w:val="auto"/>
          <w:kern w:val="0"/>
          <w:position w:val="0"/>
          <w:sz w:val="32"/>
          <w:szCs w:val="32"/>
          <w:lang w:val="en-US" w:eastAsia="zh-CN" w:bidi="ar-SA"/>
        </w:rPr>
        <w:t>未能达到预期目的，</w:t>
      </w:r>
      <w:r>
        <w:rPr>
          <w:rFonts w:hint="eastAsia" w:ascii="仿宋_GB2312" w:hAnsi="仿宋_GB2312" w:eastAsia="仿宋_GB2312" w:cs="仿宋_GB2312"/>
          <w:color w:val="auto"/>
          <w:kern w:val="0"/>
          <w:position w:val="0"/>
          <w:sz w:val="32"/>
          <w:szCs w:val="32"/>
          <w:lang w:val="zh-CN" w:eastAsia="zh-CN" w:bidi="ar-SA"/>
        </w:rPr>
        <w:t>所以在满意度方面自评扣</w:t>
      </w:r>
      <w:r>
        <w:rPr>
          <w:rFonts w:hint="eastAsia" w:ascii="仿宋_GB2312" w:hAnsi="仿宋_GB2312" w:eastAsia="仿宋_GB2312" w:cs="仿宋_GB2312"/>
          <w:color w:val="auto"/>
          <w:kern w:val="0"/>
          <w:position w:val="0"/>
          <w:sz w:val="32"/>
          <w:szCs w:val="32"/>
          <w:lang w:val="en-US" w:eastAsia="zh-CN" w:bidi="ar-SA"/>
        </w:rPr>
        <w:t>1</w:t>
      </w:r>
      <w:r>
        <w:rPr>
          <w:rFonts w:hint="eastAsia" w:ascii="仿宋_GB2312" w:hAnsi="仿宋_GB2312" w:eastAsia="仿宋_GB2312" w:cs="仿宋_GB2312"/>
          <w:color w:val="auto"/>
          <w:kern w:val="0"/>
          <w:position w:val="0"/>
          <w:sz w:val="32"/>
          <w:szCs w:val="32"/>
          <w:lang w:val="zh-CN" w:eastAsia="zh-CN" w:bidi="ar-SA"/>
        </w:rPr>
        <w:t>分</w:t>
      </w:r>
      <w:r>
        <w:rPr>
          <w:rFonts w:hint="eastAsia" w:ascii="仿宋_GB2312" w:hAnsi="仿宋_GB2312" w:eastAsia="仿宋_GB2312" w:cs="仿宋_GB2312"/>
          <w:color w:val="auto"/>
          <w:kern w:val="0"/>
          <w:position w:val="0"/>
          <w:sz w:val="32"/>
          <w:szCs w:val="32"/>
          <w:lang w:val="en-US" w:eastAsia="zh-CN" w:bidi="ar-SA"/>
        </w:rPr>
        <w:t>。故</w:t>
      </w:r>
      <w:r>
        <w:rPr>
          <w:rFonts w:hint="eastAsia" w:ascii="仿宋_GB2312" w:hAnsi="仿宋_GB2312" w:eastAsia="仿宋_GB2312" w:cs="仿宋_GB2312"/>
          <w:color w:val="auto"/>
          <w:kern w:val="0"/>
          <w:position w:val="0"/>
          <w:sz w:val="32"/>
          <w:szCs w:val="32"/>
          <w:lang w:val="zh-CN" w:eastAsia="zh-CN" w:bidi="ar-SA"/>
        </w:rPr>
        <w:t>该项自评得分</w:t>
      </w:r>
      <w:r>
        <w:rPr>
          <w:rFonts w:hint="eastAsia" w:ascii="仿宋_GB2312" w:hAnsi="仿宋_GB2312" w:eastAsia="仿宋_GB2312" w:cs="仿宋_GB2312"/>
          <w:color w:val="auto"/>
          <w:kern w:val="0"/>
          <w:position w:val="0"/>
          <w:sz w:val="32"/>
          <w:szCs w:val="32"/>
          <w:lang w:val="en-US" w:eastAsia="zh-CN" w:bidi="ar-SA"/>
        </w:rPr>
        <w:t>29分。</w:t>
      </w:r>
    </w:p>
    <w:p w14:paraId="6C0E93AE">
      <w:pPr>
        <w:pStyle w:val="2"/>
        <w:tabs>
          <w:tab w:val="left" w:pos="2160"/>
        </w:tabs>
        <w:ind w:firstLine="643" w:firstLineChars="200"/>
        <w:rPr>
          <w:rFonts w:hint="default"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楷体_GB2312" w:hAnsi="宋体" w:eastAsia="楷体_GB2312" w:cs="Times New Roman"/>
          <w:b/>
          <w:color w:val="auto"/>
          <w:sz w:val="32"/>
          <w:szCs w:val="32"/>
          <w:highlight w:val="none"/>
          <w:u w:val="none"/>
          <w:lang w:val="zh-CN" w:eastAsia="zh-CN"/>
        </w:rPr>
        <w:t>绩效分析。</w:t>
      </w:r>
      <w:r>
        <w:rPr>
          <w:rFonts w:hint="eastAsia" w:ascii="楷体_GB2312" w:hAnsi="宋体" w:eastAsia="楷体_GB2312" w:cs="Times New Roman"/>
          <w:b/>
          <w:color w:val="auto"/>
          <w:sz w:val="32"/>
          <w:szCs w:val="32"/>
          <w:highlight w:val="none"/>
          <w:u w:val="none"/>
          <w:lang w:val="zh-CN" w:eastAsia="zh-CN"/>
        </w:rPr>
        <w:t>（该项自评得分</w:t>
      </w:r>
      <w:r>
        <w:rPr>
          <w:rFonts w:hint="eastAsia" w:ascii="楷体_GB2312" w:hAnsi="宋体" w:eastAsia="楷体_GB2312" w:cs="Times New Roman"/>
          <w:b/>
          <w:color w:val="auto"/>
          <w:sz w:val="32"/>
          <w:szCs w:val="32"/>
          <w:highlight w:val="none"/>
          <w:u w:val="none"/>
          <w:lang w:val="en-US" w:eastAsia="zh-CN"/>
        </w:rPr>
        <w:t>14分</w:t>
      </w:r>
      <w:r>
        <w:rPr>
          <w:rFonts w:hint="eastAsia" w:ascii="楷体_GB2312" w:hAnsi="宋体" w:eastAsia="楷体_GB2312" w:cs="Times New Roman"/>
          <w:b/>
          <w:color w:val="auto"/>
          <w:sz w:val="32"/>
          <w:szCs w:val="32"/>
          <w:highlight w:val="none"/>
          <w:u w:val="none"/>
          <w:lang w:val="zh-CN" w:eastAsia="zh-CN"/>
        </w:rPr>
        <w:t>）</w:t>
      </w:r>
    </w:p>
    <w:p w14:paraId="1FC7DD7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_GB2312" w:eastAsia="仿宋_GB2312"/>
          <w:color w:val="auto"/>
          <w:sz w:val="32"/>
          <w:szCs w:val="32"/>
          <w:lang w:eastAsia="zh-CN"/>
        </w:rPr>
      </w:pPr>
      <w:r>
        <w:rPr>
          <w:rFonts w:hint="eastAsia" w:ascii="Times New Roman" w:hAnsi="Times New Roman" w:eastAsia="仿宋_GB2312" w:cs="仿宋_GB2312"/>
          <w:color w:val="auto"/>
          <w:sz w:val="32"/>
          <w:szCs w:val="32"/>
          <w:lang w:val="zh-CN" w:eastAsia="zh-CN"/>
        </w:rPr>
        <w:t>该项目服务对象为</w:t>
      </w:r>
      <w:r>
        <w:rPr>
          <w:rFonts w:hint="eastAsia" w:ascii="Times New Roman" w:hAnsi="Times New Roman" w:eastAsia="仿宋_GB2312" w:cs="Times New Roman"/>
          <w:color w:val="auto"/>
          <w:sz w:val="32"/>
          <w:szCs w:val="32"/>
          <w:lang w:val="en-US" w:eastAsia="zh-CN"/>
        </w:rPr>
        <w:t>从第38届凉山州青少年科技创新大赛一等奖中选拔出来的26名优秀青少年</w:t>
      </w:r>
      <w:r>
        <w:rPr>
          <w:rFonts w:hint="eastAsia" w:ascii="Times New Roman" w:hAnsi="Times New Roman" w:eastAsia="仿宋_GB2312" w:cs="仿宋_GB2312"/>
          <w:color w:val="auto"/>
          <w:sz w:val="32"/>
          <w:szCs w:val="32"/>
          <w:lang w:val="zh-CN" w:eastAsia="zh-CN"/>
        </w:rPr>
        <w:t>，服务内容是</w:t>
      </w:r>
      <w:r>
        <w:rPr>
          <w:rFonts w:hint="eastAsia" w:ascii="仿宋_GB2312" w:eastAsia="仿宋_GB2312"/>
          <w:color w:val="auto"/>
          <w:sz w:val="32"/>
          <w:szCs w:val="32"/>
          <w:lang w:eastAsia="zh-CN"/>
        </w:rPr>
        <w:t>组织青少年走进高等院校、科研院所、科普基地、科技馆、博物馆等，通过参观访问、学习探究、专家讲座、互动体验、实操培训等多种方式，让参与活动的青少年开阔科学视野、了解前沿科技，感受科学魅力，深度学习科学知识，帮助培养科学兴趣，树立科学梦想。</w:t>
      </w:r>
    </w:p>
    <w:p w14:paraId="3821626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由于时间较短（仅五天），学习的深度和广度不够，而提升整体科学素质和人才培养是个长期系统工程，短期内很难收到明显的作用和效果。因此自评扣</w:t>
      </w:r>
      <w:r>
        <w:rPr>
          <w:rFonts w:hint="eastAsia" w:ascii="仿宋_GB2312" w:eastAsia="仿宋_GB2312"/>
          <w:color w:val="auto"/>
          <w:sz w:val="32"/>
          <w:szCs w:val="32"/>
          <w:lang w:val="en-US" w:eastAsia="zh-CN"/>
        </w:rPr>
        <w:t>2分、</w:t>
      </w:r>
      <w:r>
        <w:rPr>
          <w:rFonts w:hint="eastAsia" w:ascii="仿宋_GB2312" w:eastAsia="仿宋_GB2312"/>
          <w:color w:val="auto"/>
          <w:sz w:val="32"/>
          <w:szCs w:val="32"/>
          <w:lang w:val="zh-CN" w:eastAsia="zh-CN"/>
        </w:rPr>
        <w:t>得分</w:t>
      </w:r>
      <w:r>
        <w:rPr>
          <w:rFonts w:hint="eastAsia" w:ascii="仿宋_GB2312" w:eastAsia="仿宋_GB2312"/>
          <w:color w:val="auto"/>
          <w:sz w:val="32"/>
          <w:szCs w:val="32"/>
          <w:lang w:val="en-US" w:eastAsia="zh-CN"/>
        </w:rPr>
        <w:t>14分。</w:t>
      </w:r>
    </w:p>
    <w:p w14:paraId="397E338D">
      <w:pPr>
        <w:pStyle w:val="2"/>
        <w:tabs>
          <w:tab w:val="left" w:pos="2160"/>
        </w:tabs>
        <w:ind w:firstLine="643" w:firstLineChars="200"/>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en-US" w:eastAsia="zh-CN"/>
        </w:rPr>
        <w:t>四、评价结论</w:t>
      </w:r>
    </w:p>
    <w:p w14:paraId="68E670B2">
      <w:pPr>
        <w:adjustRightInd w:val="0"/>
        <w:snapToGrid w:val="0"/>
        <w:spacing w:line="578" w:lineRule="exact"/>
        <w:ind w:firstLine="720"/>
        <w:rPr>
          <w:rFonts w:hint="eastAsia" w:ascii="仿宋_GB2312" w:hAnsi="仿宋_GB2312" w:eastAsia="仿宋_GB2312" w:cs="仿宋_GB2312"/>
          <w:color w:val="auto"/>
          <w:kern w:val="0"/>
          <w:sz w:val="32"/>
          <w:szCs w:val="32"/>
          <w:highlight w:val="none"/>
          <w:lang w:val="zh-CN" w:eastAsia="zh-CN" w:bidi="ar-SA"/>
        </w:rPr>
      </w:pPr>
      <w:r>
        <w:rPr>
          <w:rFonts w:hint="eastAsia" w:ascii="仿宋_GB2312" w:hAnsi="仿宋_GB2312" w:eastAsia="仿宋_GB2312" w:cs="仿宋_GB2312"/>
          <w:color w:val="auto"/>
          <w:kern w:val="0"/>
          <w:sz w:val="32"/>
          <w:szCs w:val="32"/>
          <w:lang w:val="zh-CN"/>
        </w:rPr>
        <w:t>项目实施过程中，我部门高度重视，精心组织，确保了各项任务的顺利完成。</w:t>
      </w:r>
      <w:r>
        <w:rPr>
          <w:rFonts w:hint="eastAsia" w:ascii="仿宋_GB2312" w:hAnsi="仿宋_GB2312" w:eastAsia="仿宋_GB2312" w:cs="仿宋_GB2312"/>
          <w:color w:val="auto"/>
          <w:kern w:val="0"/>
          <w:sz w:val="32"/>
          <w:szCs w:val="32"/>
          <w:highlight w:val="none"/>
          <w:lang w:val="zh-CN"/>
        </w:rPr>
        <w:t>本次项目实施过程规范、有序，取得了显著成效，达到了预期目标。</w:t>
      </w:r>
      <w:r>
        <w:rPr>
          <w:rFonts w:hint="eastAsia" w:ascii="仿宋_GB2312" w:hAnsi="仿宋_GB2312" w:eastAsia="仿宋_GB2312" w:cs="仿宋_GB2312"/>
          <w:color w:val="auto"/>
          <w:kern w:val="0"/>
          <w:sz w:val="32"/>
          <w:szCs w:val="32"/>
          <w:highlight w:val="none"/>
          <w:lang w:val="zh-CN" w:eastAsia="zh-CN" w:bidi="ar-SA"/>
        </w:rPr>
        <w:t>我们从产出、效益、满意度指标等进行了逐项认真的打分，预算执行率100%，执行情况良好。</w:t>
      </w:r>
      <w:r>
        <w:rPr>
          <w:rFonts w:hint="eastAsia" w:ascii="仿宋_GB2312" w:hAnsi="仿宋_GB2312" w:eastAsia="仿宋_GB2312" w:cs="仿宋_GB2312"/>
          <w:color w:val="auto"/>
          <w:kern w:val="0"/>
          <w:sz w:val="32"/>
          <w:szCs w:val="32"/>
          <w:highlight w:val="none"/>
          <w:lang w:val="en-US" w:eastAsia="zh-CN" w:bidi="ar-SA"/>
        </w:rPr>
        <w:t>但因受资金短缺等限制，</w:t>
      </w:r>
      <w:r>
        <w:rPr>
          <w:rFonts w:hint="eastAsia" w:ascii="仿宋_GB2312" w:eastAsia="仿宋_GB2312"/>
          <w:color w:val="auto"/>
          <w:sz w:val="32"/>
          <w:szCs w:val="32"/>
          <w:lang w:eastAsia="zh-CN"/>
        </w:rPr>
        <w:t>学习的深度和广度不够，短期内收效不明显，</w:t>
      </w:r>
      <w:r>
        <w:rPr>
          <w:rFonts w:hint="eastAsia" w:ascii="仿宋_GB2312" w:hAnsi="仿宋_GB2312" w:eastAsia="仿宋_GB2312" w:cs="仿宋_GB2312"/>
          <w:color w:val="auto"/>
          <w:kern w:val="0"/>
          <w:position w:val="0"/>
          <w:sz w:val="32"/>
          <w:szCs w:val="32"/>
          <w:lang w:val="zh-CN" w:eastAsia="zh-CN" w:bidi="ar-SA"/>
        </w:rPr>
        <w:t>满意度方面不能达到预期目的，故</w:t>
      </w:r>
      <w:r>
        <w:rPr>
          <w:rFonts w:hint="eastAsia" w:ascii="仿宋_GB2312" w:hAnsi="仿宋_GB2312" w:eastAsia="仿宋_GB2312" w:cs="仿宋_GB2312"/>
          <w:color w:val="auto"/>
          <w:kern w:val="0"/>
          <w:sz w:val="32"/>
          <w:szCs w:val="32"/>
          <w:highlight w:val="none"/>
          <w:lang w:val="zh-CN" w:eastAsia="zh-CN" w:bidi="ar-SA"/>
        </w:rPr>
        <w:t>自评扣分</w:t>
      </w:r>
      <w:r>
        <w:rPr>
          <w:rFonts w:hint="eastAsia" w:ascii="仿宋_GB2312" w:hAnsi="仿宋_GB2312" w:eastAsia="仿宋_GB2312" w:cs="仿宋_GB2312"/>
          <w:color w:val="auto"/>
          <w:kern w:val="0"/>
          <w:sz w:val="32"/>
          <w:szCs w:val="32"/>
          <w:highlight w:val="none"/>
          <w:lang w:val="en-US" w:eastAsia="zh-CN" w:bidi="ar-SA"/>
        </w:rPr>
        <w:t>3分、</w:t>
      </w:r>
      <w:r>
        <w:rPr>
          <w:rFonts w:hint="eastAsia" w:ascii="仿宋_GB2312" w:hAnsi="仿宋_GB2312" w:eastAsia="仿宋_GB2312" w:cs="仿宋_GB2312"/>
          <w:color w:val="auto"/>
          <w:kern w:val="0"/>
          <w:sz w:val="32"/>
          <w:szCs w:val="32"/>
          <w:highlight w:val="none"/>
          <w:lang w:val="zh-CN" w:eastAsia="zh-CN" w:bidi="ar-SA"/>
        </w:rPr>
        <w:t>得分</w:t>
      </w:r>
      <w:r>
        <w:rPr>
          <w:rFonts w:hint="eastAsia" w:ascii="仿宋_GB2312" w:hAnsi="仿宋_GB2312" w:eastAsia="仿宋_GB2312" w:cs="仿宋_GB2312"/>
          <w:color w:val="auto"/>
          <w:kern w:val="0"/>
          <w:sz w:val="32"/>
          <w:szCs w:val="32"/>
          <w:highlight w:val="none"/>
          <w:lang w:val="en-US" w:eastAsia="zh-CN" w:bidi="ar-SA"/>
        </w:rPr>
        <w:t>97</w:t>
      </w:r>
      <w:r>
        <w:rPr>
          <w:rFonts w:hint="eastAsia" w:ascii="仿宋_GB2312" w:hAnsi="仿宋_GB2312" w:eastAsia="仿宋_GB2312" w:cs="仿宋_GB2312"/>
          <w:color w:val="auto"/>
          <w:kern w:val="0"/>
          <w:sz w:val="32"/>
          <w:szCs w:val="32"/>
          <w:highlight w:val="none"/>
          <w:lang w:val="zh-CN" w:eastAsia="zh-CN" w:bidi="ar-SA"/>
        </w:rPr>
        <w:t>分。</w:t>
      </w:r>
    </w:p>
    <w:p w14:paraId="688F025B">
      <w:pPr>
        <w:pStyle w:val="2"/>
        <w:tabs>
          <w:tab w:val="left" w:pos="2160"/>
        </w:tabs>
        <w:ind w:firstLine="643" w:firstLineChars="200"/>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en-US" w:eastAsia="zh-CN"/>
        </w:rPr>
        <w:t>五、存在主要问题</w:t>
      </w:r>
    </w:p>
    <w:p w14:paraId="3492AAAB">
      <w:pPr>
        <w:adjustRightInd w:val="0"/>
        <w:snapToGrid w:val="0"/>
        <w:spacing w:line="560" w:lineRule="exact"/>
        <w:ind w:firstLine="720"/>
        <w:rPr>
          <w:rFonts w:hint="eastAsia" w:ascii="仿宋_GB2312" w:hAnsi="仿宋_GB2312" w:eastAsia="仿宋_GB2312" w:cs="仿宋_GB2312"/>
          <w:b w:val="0"/>
          <w:bCs w:val="0"/>
          <w:color w:val="auto"/>
          <w:kern w:val="0"/>
          <w:position w:val="0"/>
          <w:sz w:val="32"/>
          <w:szCs w:val="32"/>
          <w:highlight w:val="none"/>
          <w:lang w:val="zh-CN" w:eastAsia="zh-CN" w:bidi="ar-SA"/>
        </w:rPr>
      </w:pPr>
      <w:r>
        <w:rPr>
          <w:rFonts w:hint="eastAsia" w:ascii="仿宋_GB2312" w:hAnsi="仿宋_GB2312" w:eastAsia="仿宋_GB2312" w:cs="仿宋_GB2312"/>
          <w:b w:val="0"/>
          <w:bCs w:val="0"/>
          <w:color w:val="auto"/>
          <w:kern w:val="0"/>
          <w:position w:val="0"/>
          <w:sz w:val="32"/>
          <w:szCs w:val="32"/>
          <w:highlight w:val="none"/>
          <w:lang w:val="zh-CN" w:eastAsia="zh-CN" w:bidi="ar-SA"/>
        </w:rPr>
        <w:t>一是由于经费有限，只能组织一等奖的选手参加活动，受益面较窄。二是由于参加活动的学生有小学生、有初高中学生，年龄层次和知识能力相差太大，部分研学课程难以满足所有学生的需求。</w:t>
      </w:r>
    </w:p>
    <w:p w14:paraId="1E5CBEAE">
      <w:pPr>
        <w:pStyle w:val="2"/>
        <w:tabs>
          <w:tab w:val="left" w:pos="2160"/>
        </w:tabs>
        <w:ind w:firstLine="643" w:firstLineChars="200"/>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六、改进建议</w:t>
      </w:r>
    </w:p>
    <w:p w14:paraId="3711BE03">
      <w:pPr>
        <w:tabs>
          <w:tab w:val="left" w:pos="1911"/>
        </w:tabs>
        <w:ind w:firstLine="640"/>
        <w:jc w:val="left"/>
        <w:rPr>
          <w:rFonts w:hint="eastAsia" w:ascii="仿宋_GB2312" w:hAnsi="仿宋_GB2312" w:eastAsia="仿宋_GB2312" w:cs="仿宋_GB2312"/>
          <w:b w:val="0"/>
          <w:bCs w:val="0"/>
          <w:color w:val="auto"/>
          <w:kern w:val="0"/>
          <w:position w:val="0"/>
          <w:sz w:val="32"/>
          <w:szCs w:val="32"/>
          <w:highlight w:val="none"/>
          <w:lang w:val="en-US" w:eastAsia="zh-CN" w:bidi="ar-SA"/>
        </w:rPr>
      </w:pPr>
      <w:r>
        <w:rPr>
          <w:rFonts w:hint="eastAsia" w:ascii="仿宋_GB2312" w:hAnsi="仿宋_GB2312" w:eastAsia="仿宋_GB2312" w:cs="仿宋_GB2312"/>
          <w:b w:val="0"/>
          <w:bCs w:val="0"/>
          <w:color w:val="auto"/>
          <w:kern w:val="0"/>
          <w:position w:val="0"/>
          <w:sz w:val="32"/>
          <w:szCs w:val="32"/>
          <w:highlight w:val="none"/>
          <w:lang w:val="en-US" w:eastAsia="zh-CN" w:bidi="ar-SA"/>
        </w:rPr>
        <w:t>青少年科学兴趣的培养和科学素质的提高，是实施科技强国的基础性工程，建议合理增加科普经费，用于开展青少年科技创新及科学普及活动。</w:t>
      </w:r>
      <w:r>
        <w:rPr>
          <w:rFonts w:hint="eastAsia" w:ascii="仿宋_GB2312" w:hAnsi="仿宋_GB2312" w:eastAsia="仿宋_GB2312" w:cs="仿宋_GB2312"/>
          <w:b w:val="0"/>
          <w:bCs w:val="0"/>
          <w:color w:val="auto"/>
          <w:kern w:val="0"/>
          <w:position w:val="0"/>
          <w:sz w:val="32"/>
          <w:szCs w:val="32"/>
          <w:highlight w:val="none"/>
          <w:lang w:val="zh-CN" w:eastAsia="zh-CN" w:bidi="ar-SA"/>
        </w:rPr>
        <w:t>以后再开展此类活动，应尽量分学龄段，同时对研学课程设置进行更加合理的优化。</w:t>
      </w:r>
    </w:p>
    <w:p w14:paraId="6E22D66C">
      <w:pPr>
        <w:keepNext/>
        <w:keepLines/>
        <w:widowControl w:val="0"/>
        <w:spacing w:before="340" w:after="330" w:line="578" w:lineRule="auto"/>
        <w:ind w:firstLine="2650" w:firstLineChars="600"/>
        <w:jc w:val="both"/>
        <w:outlineLvl w:val="9"/>
        <w:rPr>
          <w:rFonts w:hint="eastAsia" w:ascii="黑体" w:hAnsi="黑体" w:eastAsia="黑体" w:cs="Times New Roman"/>
          <w:b/>
          <w:bCs/>
          <w:kern w:val="44"/>
          <w:sz w:val="44"/>
          <w:szCs w:val="44"/>
          <w:lang w:val="en-US" w:eastAsia="zh-CN" w:bidi="ar-SA"/>
        </w:rPr>
      </w:pPr>
    </w:p>
    <w:p w14:paraId="0DC8D9C6">
      <w:pPr>
        <w:spacing w:line="578" w:lineRule="exact"/>
        <w:ind w:firstLine="3200" w:firstLineChars="1000"/>
        <w:rPr>
          <w:rFonts w:hint="eastAsia" w:ascii="仿宋_GB2312" w:hAnsi="仿宋_GB2312" w:eastAsia="仿宋_GB2312" w:cs="仿宋_GB2312"/>
          <w:kern w:val="0"/>
          <w:position w:val="0"/>
          <w:sz w:val="32"/>
          <w:szCs w:val="32"/>
          <w:lang w:val="en-US" w:eastAsia="zh-CN" w:bidi="ar-SA"/>
        </w:rPr>
      </w:pPr>
    </w:p>
    <w:p w14:paraId="0A8298D0">
      <w:pPr>
        <w:spacing w:line="578" w:lineRule="exact"/>
        <w:ind w:firstLine="4480" w:firstLineChars="1400"/>
        <w:rPr>
          <w:rFonts w:hint="eastAsia"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凉山州科学技术协会</w:t>
      </w:r>
    </w:p>
    <w:p w14:paraId="63F35D8E">
      <w:pPr>
        <w:spacing w:line="578" w:lineRule="exact"/>
        <w:ind w:firstLine="4800" w:firstLineChars="1500"/>
        <w:rPr>
          <w:rFonts w:hint="default" w:ascii="仿宋_GB2312" w:hAnsi="仿宋_GB2312" w:eastAsia="仿宋_GB2312" w:cs="仿宋_GB2312"/>
          <w:kern w:val="0"/>
          <w:position w:val="0"/>
          <w:sz w:val="32"/>
          <w:szCs w:val="32"/>
          <w:lang w:val="en-US" w:eastAsia="zh-CN" w:bidi="ar-SA"/>
        </w:rPr>
      </w:pPr>
      <w:r>
        <w:rPr>
          <w:rFonts w:hint="eastAsia" w:ascii="仿宋_GB2312" w:hAnsi="仿宋_GB2312" w:eastAsia="仿宋_GB2312" w:cs="仿宋_GB2312"/>
          <w:kern w:val="0"/>
          <w:position w:val="0"/>
          <w:sz w:val="32"/>
          <w:szCs w:val="32"/>
          <w:lang w:val="en-US" w:eastAsia="zh-CN" w:bidi="ar-SA"/>
        </w:rPr>
        <w:t>2025年6月10日</w:t>
      </w:r>
    </w:p>
    <w:p w14:paraId="2BA91CF3">
      <w:pPr>
        <w:snapToGrid w:val="0"/>
        <w:spacing w:line="560" w:lineRule="exact"/>
        <w:ind w:firstLine="880" w:firstLineChars="200"/>
        <w:jc w:val="center"/>
        <w:rPr>
          <w:rFonts w:hint="eastAsia" w:ascii="方正小标宋_GBK" w:hAnsi="宋体" w:eastAsia="方正小标宋_GBK" w:cs="宋体"/>
          <w:bCs/>
          <w:color w:val="FF0000"/>
          <w:kern w:val="0"/>
          <w:sz w:val="44"/>
          <w:szCs w:val="44"/>
          <w:shd w:val="clear" w:color="auto" w:fill="FFFFFF"/>
          <w:lang w:val="zh-CN"/>
        </w:rPr>
      </w:pPr>
    </w:p>
    <w:p w14:paraId="4112762F">
      <w:pPr>
        <w:rPr>
          <w:rFonts w:hint="eastAsia" w:ascii="黑体" w:hAnsi="黑体" w:eastAsia="黑体"/>
        </w:rPr>
      </w:pPr>
    </w:p>
    <w:p w14:paraId="2F937C81">
      <w:pPr>
        <w:pStyle w:val="2"/>
        <w:rPr>
          <w:rFonts w:hint="eastAsia" w:ascii="黑体" w:hAnsi="黑体" w:eastAsia="黑体"/>
        </w:rPr>
      </w:pPr>
    </w:p>
    <w:p w14:paraId="6E1352D9">
      <w:pPr>
        <w:rPr>
          <w:rFonts w:hint="eastAsia" w:ascii="黑体" w:hAnsi="黑体" w:eastAsia="黑体"/>
        </w:rPr>
      </w:pPr>
    </w:p>
    <w:p w14:paraId="60BE9F4E">
      <w:pPr>
        <w:pStyle w:val="2"/>
        <w:rPr>
          <w:rFonts w:hint="eastAsia" w:ascii="黑体" w:hAnsi="黑体" w:eastAsia="黑体"/>
        </w:rPr>
      </w:pPr>
    </w:p>
    <w:p w14:paraId="506D8179">
      <w:pPr>
        <w:rPr>
          <w:rFonts w:hint="eastAsia" w:ascii="黑体" w:hAnsi="黑体" w:eastAsia="黑体"/>
        </w:rPr>
      </w:pPr>
    </w:p>
    <w:p w14:paraId="3501AEAE">
      <w:pPr>
        <w:pStyle w:val="2"/>
        <w:rPr>
          <w:rFonts w:hint="eastAsia" w:ascii="黑体" w:hAnsi="黑体" w:eastAsia="黑体"/>
        </w:rPr>
      </w:pPr>
    </w:p>
    <w:p w14:paraId="5ADCE2D1">
      <w:pPr>
        <w:rPr>
          <w:rFonts w:hint="eastAsia" w:ascii="黑体" w:hAnsi="黑体" w:eastAsia="黑体"/>
        </w:rPr>
      </w:pPr>
    </w:p>
    <w:p w14:paraId="30E005AC">
      <w:pPr>
        <w:pStyle w:val="2"/>
        <w:rPr>
          <w:rFonts w:hint="eastAsia" w:ascii="黑体" w:hAnsi="黑体" w:eastAsia="黑体"/>
        </w:rPr>
      </w:pPr>
    </w:p>
    <w:p w14:paraId="6FA18422">
      <w:pPr>
        <w:rPr>
          <w:rFonts w:hint="eastAsia"/>
        </w:rPr>
      </w:pPr>
    </w:p>
    <w:p w14:paraId="51F3FA09">
      <w:pPr>
        <w:rPr>
          <w:rFonts w:hint="eastAsia" w:ascii="黑体" w:hAnsi="黑体" w:eastAsia="黑体"/>
        </w:rPr>
      </w:pPr>
    </w:p>
    <w:p w14:paraId="17C2C788">
      <w:pPr>
        <w:pStyle w:val="2"/>
        <w:rPr>
          <w:rFonts w:hint="eastAsia" w:ascii="黑体" w:hAnsi="黑体" w:eastAsia="黑体"/>
        </w:rPr>
      </w:pPr>
    </w:p>
    <w:p w14:paraId="16FDEC60">
      <w:pPr>
        <w:rPr>
          <w:rFonts w:hint="eastAsia" w:ascii="黑体" w:hAnsi="黑体" w:eastAsia="黑体"/>
        </w:rPr>
      </w:pPr>
    </w:p>
    <w:p w14:paraId="40266E06">
      <w:pPr>
        <w:pStyle w:val="2"/>
        <w:rPr>
          <w:rFonts w:hint="eastAsia"/>
        </w:rPr>
      </w:pPr>
    </w:p>
    <w:p w14:paraId="6F6426FD">
      <w:pPr>
        <w:rPr>
          <w:rFonts w:hint="eastAsia"/>
        </w:rPr>
      </w:pPr>
    </w:p>
    <w:p w14:paraId="6629AEE3">
      <w:pPr>
        <w:pStyle w:val="2"/>
        <w:rPr>
          <w:rFonts w:hint="eastAsia"/>
        </w:rPr>
      </w:pPr>
    </w:p>
    <w:p w14:paraId="6C7BB011">
      <w:pPr>
        <w:rPr>
          <w:rFonts w:hint="eastAsia"/>
        </w:rPr>
      </w:pPr>
    </w:p>
    <w:p w14:paraId="4B6D37AB">
      <w:pPr>
        <w:pStyle w:val="2"/>
        <w:rPr>
          <w:rFonts w:hint="eastAsia"/>
        </w:rPr>
      </w:pPr>
    </w:p>
    <w:p w14:paraId="6FAFED4A">
      <w:pPr>
        <w:pStyle w:val="2"/>
        <w:rPr>
          <w:rFonts w:hint="eastAsia"/>
        </w:rPr>
      </w:pPr>
    </w:p>
    <w:p w14:paraId="3B3378E7">
      <w:pPr>
        <w:rPr>
          <w:rFonts w:hint="eastAsia"/>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1362"/>
        <w:gridCol w:w="1169"/>
        <w:gridCol w:w="1501"/>
        <w:gridCol w:w="403"/>
        <w:gridCol w:w="869"/>
        <w:gridCol w:w="600"/>
        <w:gridCol w:w="840"/>
        <w:gridCol w:w="588"/>
        <w:gridCol w:w="720"/>
        <w:gridCol w:w="964"/>
      </w:tblGrid>
      <w:tr w14:paraId="23E8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959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398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2049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51340022T000000278902-学术交流活动业务经费</w:t>
            </w:r>
          </w:p>
        </w:tc>
      </w:tr>
      <w:tr w14:paraId="6A3C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DB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23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254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437" w:type="pct"/>
            <w:tcBorders>
              <w:top w:val="nil"/>
              <w:left w:val="nil"/>
              <w:bottom w:val="nil"/>
              <w:right w:val="nil"/>
            </w:tcBorders>
            <w:shd w:val="clear" w:color="auto" w:fill="auto"/>
            <w:vAlign w:val="center"/>
          </w:tcPr>
          <w:p w14:paraId="7F5B0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B2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4C52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57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2B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23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F72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6FB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607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72B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9B8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23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DD7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该项目主要用于持续实施学会能力提升计划的部分支持资金。项目分为学会科普、学术交流、科技创新与服务三类。由全州学会（协会）自行申报，学会部初审。根据申报项目的效益，党组研究决定给予2-5万元项目支出经费。通过学会能力提升计划项目切实增强学会凝聚力、社会公信力和自主发展能力，提升学会学术活动质量和水平。</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AE1C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年度实施完成了学会科普、学术交流、科技创新与服务三类学会能力提升计划。</w:t>
            </w:r>
          </w:p>
        </w:tc>
      </w:tr>
      <w:tr w14:paraId="0D1A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587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7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398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C6E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2024年2月—11月，组织开展完成了2024年学会能力提升计划项目。评审经州科协党组审定、公示后，向州农学会、药学会、营养学会、州应急安全科技协会、生态摄影协会、农村专业技术协会等10个协会学会实施了学会能力提升计划。项目实现了打造重点学会协会，努力提升学术交流、科技创新与服务能力提升学会(协会)服务社会、自身发展的能力。</w:t>
            </w:r>
          </w:p>
        </w:tc>
      </w:tr>
      <w:tr w14:paraId="01AF2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06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B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3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E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D5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AB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9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FB3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5E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6EEC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288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6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0F1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68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A6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81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E0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C8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99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11B0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3A2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0A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0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3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A0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84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51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BA2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39C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3469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D30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FE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65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45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471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5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4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3C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14B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016E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983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4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6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2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91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93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4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C3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522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4EB09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130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E0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BB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A1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4BD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B44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5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5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AC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0E0B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5E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A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5BB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55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7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E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67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B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22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1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9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6C145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FAC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8D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63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5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实施学会能力提升计划项目</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79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0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70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类</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BF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E5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D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D2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5ACD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8C5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AC5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66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A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实施计划行业达标率</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83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D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A69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BA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9A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1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225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5B1F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837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532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1B8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3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工作完成时间</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9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9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4D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0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FF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E0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68A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BAE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3D6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10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8F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54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提升学会学术活动质量和水平</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B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A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提升学会学术活动质量和水平</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A0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3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提升学会学术活动质量和水平</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1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7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83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11B1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FE9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DA8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4F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可持续发展指标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FE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实施学会能力提升计划影响力</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0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82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81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7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2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C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1D8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4EF3E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AC6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0A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01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F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参加申报学会（协会）满意度</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37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0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92</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9E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9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FC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F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26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5DD9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A2A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8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C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7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实施学会能力提升计划所需资金</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B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02A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5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C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D5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F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A0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017F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E57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45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C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3A6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r>
      <w:tr w14:paraId="1F6E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C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469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AF1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过程中，我部门高度重视，精心组织，确保了各项任务的顺利完成。项目实施过程规范、有序，取得了显著成效，达到了预期目标。我们从产出、效益、满意度指标等进行了逐项认真的打分，预算执行率100%，执行情况良好。故自评得分98分。</w:t>
            </w:r>
          </w:p>
        </w:tc>
      </w:tr>
      <w:tr w14:paraId="5E3A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F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469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BBE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项目设置数较少，申报面不够广，有个别符合条件的学会（协会）没有积极参与申报工作。</w:t>
            </w:r>
          </w:p>
        </w:tc>
      </w:tr>
      <w:tr w14:paraId="265C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4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469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4F2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进一步的加大宣传力度，增加资金扶持力度，让更多的学会（协会）积极参与，不断提升学会(协会)服务社会、服务科技工作者、自身发展能力。</w:t>
            </w:r>
          </w:p>
        </w:tc>
      </w:tr>
      <w:tr w14:paraId="7823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6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25C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项目负责人：吴家英</w:t>
            </w:r>
          </w:p>
        </w:tc>
        <w:tc>
          <w:tcPr>
            <w:tcW w:w="23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418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3EED45BD">
      <w:pPr>
        <w:rPr>
          <w:rFonts w:hint="eastAsia"/>
        </w:rPr>
      </w:pPr>
      <w:r>
        <w:rPr>
          <w:rFonts w:hint="eastAsia"/>
        </w:rPr>
        <w:br w:type="page"/>
      </w:r>
    </w:p>
    <w:tbl>
      <w:tblPr>
        <w:tblStyle w:val="18"/>
        <w:tblW w:w="52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
        <w:gridCol w:w="1359"/>
        <w:gridCol w:w="1157"/>
        <w:gridCol w:w="1495"/>
        <w:gridCol w:w="685"/>
        <w:gridCol w:w="1080"/>
        <w:gridCol w:w="408"/>
        <w:gridCol w:w="972"/>
        <w:gridCol w:w="816"/>
        <w:gridCol w:w="480"/>
        <w:gridCol w:w="1019"/>
      </w:tblGrid>
      <w:tr w14:paraId="201D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ED9A48">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部门预算项目支出绩效自评表（2024年度）</w:t>
            </w:r>
          </w:p>
        </w:tc>
      </w:tr>
      <w:tr w14:paraId="36AA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945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40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2CEF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51340022T000000278904-科普宣传活动业务经费</w:t>
            </w:r>
          </w:p>
        </w:tc>
      </w:tr>
      <w:tr w14:paraId="14C1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1E4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24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CF3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483" w:type="pct"/>
            <w:tcBorders>
              <w:top w:val="nil"/>
              <w:left w:val="nil"/>
              <w:bottom w:val="nil"/>
              <w:right w:val="nil"/>
            </w:tcBorders>
            <w:shd w:val="clear" w:color="auto" w:fill="auto"/>
            <w:vAlign w:val="center"/>
          </w:tcPr>
          <w:p w14:paraId="4C8CE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FB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2C53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3F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50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24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246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21"/>
                <w:szCs w:val="21"/>
                <w:u w:val="none"/>
                <w:lang w:val="en-US" w:eastAsia="zh-CN" w:bidi="ar"/>
              </w:rPr>
              <w:t>项目年度目标</w:t>
            </w:r>
          </w:p>
        </w:tc>
        <w:tc>
          <w:tcPr>
            <w:tcW w:w="16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48C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4C3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9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8C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24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328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以青少年科技创新大赛及各类科技活动为抓手，组织青创赛获奖学生开展科学研学活动。开阔他们的视野，提升青少年素质，培养青少年科技创新精神和实践能力，推动凉山中小学校科技教育事业的健康发展。</w:t>
            </w:r>
          </w:p>
        </w:tc>
        <w:tc>
          <w:tcPr>
            <w:tcW w:w="16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ACE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由青少中心提前制定研学方案，通过竞争性磋商，委托具有资质的第三方（四川才智少年研学旅行服务有限公司）完成。州科协派出3名工作人员全程全面跟踪参与和监督。资金足额拨付到位，在项目圆满完成后，按协议及时支付。</w:t>
            </w:r>
          </w:p>
        </w:tc>
      </w:tr>
      <w:tr w14:paraId="7CD8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1B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A0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40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FE2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2024年7月20-24日，组织开展了以“感受科技之光  树立强国之志”为主题的2024年凉山州青少年科学研学活动。西昌二小、会东南山实验学校、会理现代职业学校、西昌二中等学校的26名优秀科创少年在成都参加了丰富多彩的科技文化交流活动。为期5天的科学探索之旅，同学们受益匪浅，不仅拓宽了科技视野，更激发了对科学探究的无限热情与憧憬，树立了科技报国的远大志向。</w:t>
            </w:r>
          </w:p>
        </w:tc>
      </w:tr>
      <w:tr w14:paraId="676D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19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0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A3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38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CE3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4A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F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9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1B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68F8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4A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1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E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C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B2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D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9C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D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6A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2310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E0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3F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14B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04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BD0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15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E5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0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53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7DDC0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EA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FA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4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D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279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70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22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F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7B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54131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AC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C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A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BE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54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3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1E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51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5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197C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73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930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FA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BC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DF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6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44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12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50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04D3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A2F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012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2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44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4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74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9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D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7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E6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60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5F1AB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61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0A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B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08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预计组织参加学生人数</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2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F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15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C1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22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82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91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5D89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8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AC2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AC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4C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选择培训机构行业达标率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3B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C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D2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59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F88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5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A2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651A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49C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64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3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9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开展科学研学活动完成时间</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50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77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F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01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D6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E9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A3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222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E7C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52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CC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4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开展科学研学活动社会效益</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9F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89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开阔青少年视野，提升青少年素质，培养他们科技创新精神和实践能力。</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2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9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开阔青少年视野，提升青少年素质，培养他们科技创新精神和实践能力。</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72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E6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2F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50E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7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4D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8A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可持续影响指标</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C4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开展科学研学活动可影响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6F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A8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97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F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E3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7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7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5F30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88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5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45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B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参加学生及其家长满意度</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3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0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FC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B5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DD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96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0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4D747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E1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D9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3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36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预计组织30名学生参加科学研学活动年所需费用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3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1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6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BBD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E7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A6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3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39F5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4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659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0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1DB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C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r>
      <w:tr w14:paraId="3CDA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E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471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85D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过程中，我部门高度重视，精心组织，确保了各项任务的顺利完成。本次项目实施过程规范、有序，取得了显著成效，达到了预期目标。我们从产出、效益、满意度指标等进行了逐项认真的打分，预算执行率100%，执行情况良好。但因受资金短缺等限制，学习的深度和广度不够，短期内收效不明显，满意度方面不能达到预期目的，故自评扣分3分、得分97分。</w:t>
            </w:r>
          </w:p>
        </w:tc>
      </w:tr>
      <w:tr w14:paraId="10C3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D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471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718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一是由于经费有限，只能组织一等奖的选手参加活动，受益面较窄。二是由于参加活动的学生有小学生、有初高中学生，年龄层次和知识能力相差太大，部分研学课程难以满足所有学生的需求。</w:t>
            </w:r>
          </w:p>
        </w:tc>
      </w:tr>
      <w:tr w14:paraId="2B05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B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471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8D9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青少年科学兴趣的培养和科学素质的提高，是实施科技强国的基础性工程，建议合理增加科普经费，用于开展青少年科技创新及科学普及活动。以后再开展此类活动，应尽量分学龄段，同时对研学课程设置进行更加合理的优化。</w:t>
            </w:r>
          </w:p>
        </w:tc>
      </w:tr>
      <w:tr w14:paraId="55B7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1DE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项目负责人：吴朝兰</w:t>
            </w:r>
          </w:p>
        </w:tc>
        <w:tc>
          <w:tcPr>
            <w:tcW w:w="237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34F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0892A746">
      <w:pPr>
        <w:rPr>
          <w:rFonts w:hint="eastAsia"/>
        </w:rPr>
      </w:pPr>
    </w:p>
    <w:p w14:paraId="4008EC60">
      <w:pPr>
        <w:keepNext w:val="0"/>
        <w:keepLines w:val="0"/>
        <w:pageBreakBefore w:val="0"/>
        <w:kinsoku/>
        <w:wordWrap/>
        <w:overflowPunct/>
        <w:topLinePunct w:val="0"/>
        <w:autoSpaceDE/>
        <w:autoSpaceDN/>
        <w:bidi w:val="0"/>
        <w:adjustRightInd/>
        <w:snapToGrid/>
        <w:spacing w:line="180" w:lineRule="exact"/>
        <w:rPr>
          <w:rFonts w:hint="eastAsia"/>
        </w:rPr>
      </w:pPr>
    </w:p>
    <w:p w14:paraId="71C6A150">
      <w:pPr>
        <w:pStyle w:val="2"/>
        <w:keepNext w:val="0"/>
        <w:keepLines w:val="0"/>
        <w:pageBreakBefore w:val="0"/>
        <w:kinsoku/>
        <w:wordWrap/>
        <w:overflowPunct/>
        <w:topLinePunct w:val="0"/>
        <w:autoSpaceDE/>
        <w:autoSpaceDN/>
        <w:bidi w:val="0"/>
        <w:adjustRightInd/>
        <w:snapToGrid/>
        <w:spacing w:line="180" w:lineRule="exact"/>
        <w:rPr>
          <w:rFonts w:hint="eastAsia"/>
        </w:rPr>
      </w:pPr>
    </w:p>
    <w:tbl>
      <w:tblPr>
        <w:tblStyle w:val="18"/>
        <w:tblW w:w="10164" w:type="dxa"/>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896"/>
        <w:gridCol w:w="939"/>
        <w:gridCol w:w="2042"/>
        <w:gridCol w:w="529"/>
        <w:gridCol w:w="1359"/>
        <w:gridCol w:w="529"/>
        <w:gridCol w:w="1173"/>
        <w:gridCol w:w="495"/>
        <w:gridCol w:w="414"/>
        <w:gridCol w:w="984"/>
      </w:tblGrid>
      <w:tr w14:paraId="4345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101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07619D">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部门预算项目支出绩效自评表（2024年度）</w:t>
            </w:r>
          </w:p>
        </w:tc>
      </w:tr>
      <w:tr w14:paraId="4AC4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9BA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4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D237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51340022T000000278905-凉山州全民科学素质提升专项</w:t>
            </w:r>
          </w:p>
        </w:tc>
      </w:tr>
      <w:tr w14:paraId="7F38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EF9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B254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173" w:type="dxa"/>
            <w:tcBorders>
              <w:top w:val="nil"/>
              <w:left w:val="nil"/>
              <w:bottom w:val="nil"/>
              <w:right w:val="nil"/>
            </w:tcBorders>
            <w:shd w:val="clear" w:color="auto" w:fill="auto"/>
            <w:vAlign w:val="center"/>
          </w:tcPr>
          <w:p w14:paraId="203B6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66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4401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69F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696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5F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2D0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5DA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32A8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340F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8C8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依据中央贯彻实施《全民科学素质行动纲要》等决策部署，省委、省政府制定和实施“十四五”时期全省明确了今后五年将经济建设、科技创新、乡村振兴作为社会发展的主要目标规划。项目能够实现传播科学思想，普及科技知识，提高公众科学素质，助力全州乡村振兴，更好为科技工作者、创新驱动发展、党和政府科学决策服务、为凉山经济社会发展服务。</w:t>
            </w:r>
          </w:p>
        </w:tc>
        <w:tc>
          <w:tcPr>
            <w:tcW w:w="3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054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年度完成了提高全民科学素质服务高质量发展为目标，开展科学普及、素质提升、科普活动进机关、进乡村、进学校、进企事业、进社区等全民科学素质提升相关工作。</w:t>
            </w:r>
          </w:p>
        </w:tc>
      </w:tr>
      <w:tr w14:paraId="3462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B40E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A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4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2B8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本部门于2024年2月6日向州科协提交了项目备案书，年度开展科学普及、素质调查等相关工作；开展科普“五进”活动；召开相关会议等各项科普活动已按计划完成，项目资金已支付完成。</w:t>
            </w:r>
          </w:p>
        </w:tc>
      </w:tr>
      <w:tr w14:paraId="02D8C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ABA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B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0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E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FE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B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0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0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7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17D4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55A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C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C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14.57</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3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14.57</w:t>
            </w:r>
          </w:p>
        </w:tc>
        <w:tc>
          <w:tcPr>
            <w:tcW w:w="2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D5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14.57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B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09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F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EE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07CF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EC2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A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7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14.57</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1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14.57</w:t>
            </w:r>
          </w:p>
        </w:tc>
        <w:tc>
          <w:tcPr>
            <w:tcW w:w="2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CB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14.57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66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3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1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5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2212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D43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C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C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F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A4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4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D4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E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3A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170E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5621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8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9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E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4A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E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E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3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23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601A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87C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3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C6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5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2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6C7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9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F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9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48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6B438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891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0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4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D0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8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D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2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D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A8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B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B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1140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D13B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190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3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3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年度内开展科学普及、素质调查等相关工作；开展科普“五进”活动；召开相关会议三项工作。</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F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D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F2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5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73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C8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C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702E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437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B8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0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F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各项工作单位考核合格率90%以上</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0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5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95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7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A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6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0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6CF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15EC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C5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3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9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年度12月前</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C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A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4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F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9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6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A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731D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2E5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E4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4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5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年度完成全民科学素质提升社会效益</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4C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A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实现传播科学思想，普及科技知识，提高公众科学素质</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F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C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实现传播科学思想，普及科技知识，提高公众科学素质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F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D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8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79E1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66C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BAD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2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可持续影响指标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3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年度完成全民科学素质提升影响力</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9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B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E4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E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9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2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2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4709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1D3E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1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5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D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政府各部门、社会群众满意度。</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7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B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93</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1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A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8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0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6E54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82F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C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A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F3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年度完成全民科学素质提升所需费用</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D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6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A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6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14.57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A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2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D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26C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A90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C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3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4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r>
      <w:tr w14:paraId="14238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D9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3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C1A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部门通过丰富多样的科普活动，努力提升全民科学素质高质量发展。从项目的立项政策依据、项目实施管理办法、专用指标和个性指标设置评定、完成结果将产生的经济效益、社会效益、可持续效益、服务对象满意度等进行了以上综述，据实据效、客观公正进行综合评估。自评扣分2分、得分98分。</w:t>
            </w:r>
          </w:p>
        </w:tc>
      </w:tr>
      <w:tr w14:paraId="1B49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C3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3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561A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项目资金偏少，在一定程度上制约了项目在当年实施完成进度。</w:t>
            </w:r>
          </w:p>
        </w:tc>
      </w:tr>
      <w:tr w14:paraId="5AD4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2A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3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4A8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建议能够适当增加科普专项资金投入，实现从更好的广度深度提升全民科学素质提高。</w:t>
            </w:r>
          </w:p>
        </w:tc>
      </w:tr>
      <w:tr w14:paraId="4069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2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1DF8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项目负责人：邓伟</w:t>
            </w:r>
          </w:p>
        </w:tc>
        <w:tc>
          <w:tcPr>
            <w:tcW w:w="49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0593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791BB08C">
      <w:pPr>
        <w:rPr>
          <w:rFonts w:hint="eastAsia"/>
        </w:rPr>
      </w:pPr>
    </w:p>
    <w:tbl>
      <w:tblPr>
        <w:tblStyle w:val="18"/>
        <w:tblW w:w="10692" w:type="dxa"/>
        <w:tblInd w:w="-4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008"/>
        <w:gridCol w:w="1416"/>
        <w:gridCol w:w="2316"/>
        <w:gridCol w:w="888"/>
        <w:gridCol w:w="600"/>
        <w:gridCol w:w="96"/>
        <w:gridCol w:w="588"/>
        <w:gridCol w:w="1020"/>
        <w:gridCol w:w="804"/>
        <w:gridCol w:w="468"/>
        <w:gridCol w:w="852"/>
      </w:tblGrid>
      <w:tr w14:paraId="4070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069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27FFBE7">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部门预算项目支出绩效自评表（2024年度）</w:t>
            </w:r>
          </w:p>
        </w:tc>
      </w:tr>
      <w:tr w14:paraId="19B80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929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EFB7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51340022T000000278908-凉山州级科普专项经费</w:t>
            </w:r>
          </w:p>
        </w:tc>
      </w:tr>
      <w:tr w14:paraId="5BD3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3EF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F1D7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704" w:type="dxa"/>
            <w:gridSpan w:val="3"/>
            <w:tcBorders>
              <w:top w:val="nil"/>
              <w:left w:val="nil"/>
              <w:bottom w:val="nil"/>
              <w:right w:val="nil"/>
            </w:tcBorders>
            <w:shd w:val="clear" w:color="auto" w:fill="auto"/>
            <w:vAlign w:val="center"/>
          </w:tcPr>
          <w:p w14:paraId="20F8661C">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5FD8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31B4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086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DF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10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F6E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194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D04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FF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4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C6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围绕省科协天府科技云服务重点工作，继续深入开展学术交流，传播科学思想，普及科技知识，推广先进技术，提高公众科学素质，表彰奖励优秀科技工作者，助力全州乡村振兴，维护视讯中心、互联网+科普平台建设网络运行，补充必要设施等公共服务及各项基础工作；实施学会能力提升计划、活动；开发科普资源，制作科普宣传光碟、编印科普资料；组织开展青少年科技创新教育活动、院士专家工作站及企事业科协建设；组织全州科协系统干部能力提升培训，参加中国科协、省科协及相关部门业务、党务培训；科普进乡村、大篷车进校园活动，深入企业村组社区等开展科普活动，更好为凉山经济社会发展服务。</w:t>
            </w:r>
          </w:p>
        </w:tc>
        <w:tc>
          <w:tcPr>
            <w:tcW w:w="44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068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完成了围绕省科协天府科技云服务重点工作，继续深入开展学术交流，传播科学思想，普及科技知识，推广先进技术，提高公众科学素质，表彰奖励优秀科技工作者，助力全州乡村振兴，维护视讯中心、互联网+科普平台建设网络运行，补充必要设施等公共服务及各项基础工作；实施学会能力提升计划、活动；开发科普资源，制作科普宣传光碟、编印科普资料；组织开展青少年科技创新教育活动、院士专家工作站及企事业科协建设；参加中国科协、省科协及相关部门业务培训；科普进乡村、大篷车进校园活动，深入企业村组社区等开展科普活动等工作。</w:t>
            </w:r>
          </w:p>
        </w:tc>
      </w:tr>
      <w:tr w14:paraId="36A9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9EAB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B6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B38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完成了科普月活动，“天府科技云服务”信息收集、技术维护、咨询解答、供需精准对接等，完成了“菁英计划”、院士（专家）工作站评审系列工作，实施举办了凉山州第39届青少年科技创新初赛、遴选科技创新作品参加省赛、组织开展了青少年科学调查体验活动、青少年科学影像节、高校科学营等系列活动，农技协实施了科普宣传品印制发放、食用菌栽培冷藏技术、松露根苗仿生保育促繁技术、专业人员乡村振兴交流观摩、农技协高质量发展培训等活动，乡村振兴驻村工作队牵头完成村民生产生活水平，促进乡村经济发展和文明进步调研等、举办养殖技术培训2次（捐赠鸡苗800只）、移风易俗科普活动1次（捐赠不锈钢盆2100个,不锈钢碗2900个，不锈钢勺2900个）等等。</w:t>
            </w:r>
          </w:p>
        </w:tc>
      </w:tr>
      <w:tr w14:paraId="5311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07E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C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E6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6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7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2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4D7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B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7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F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494C7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E1E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4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0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95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128.00</w:t>
            </w:r>
          </w:p>
        </w:tc>
        <w:tc>
          <w:tcPr>
            <w:tcW w:w="2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40C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8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9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C7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7E4B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351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B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40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87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2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128.00</w:t>
            </w:r>
          </w:p>
        </w:tc>
        <w:tc>
          <w:tcPr>
            <w:tcW w:w="2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C00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3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C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09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7918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30F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B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A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5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D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FF3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E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E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A6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12ED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3BB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A4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D2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1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344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4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2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E31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0C86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52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0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5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D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1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2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492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B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9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7B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3876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54F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0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1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A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8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B5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4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1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C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B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2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1F46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BC46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A1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5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7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共由7个大项目组成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C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69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A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B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C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A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0982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DDE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6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F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5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7个大项目经各职能科室精心策划，较高质量提请党组集体论的工作安排。</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F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B2A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B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7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7个大项目经各职能科室精心策划，较高质量提请党组集体论的工作安排。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E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A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00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76B1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9BC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16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D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6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2024年1-12月完成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5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0A2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3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4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9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4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9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619F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8D6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4F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F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C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组织全州科技人员和科普志愿者开展宣传科普知识、科普主题活动；在全州贫困地区开展科普进农民夜校工作，传播科学思想、倡导科学方法，激发群众的内生动力，助力乡村振兴。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A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57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5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1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D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C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8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6E6C4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C35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54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4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可持续影响指标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B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影响力</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D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E9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5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C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4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1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D0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7FC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F61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3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1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1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相关部门、群众满意度能够达到95%左右。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3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2D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4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E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E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9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A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7E31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DA2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D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1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2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年度各项项目成本</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F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03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0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4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F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5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C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39F0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F7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7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946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B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97</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F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r>
      <w:tr w14:paraId="2E594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F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0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A4D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度较好的完成了年初设定的“天府科技云服务”、学会能力提升计划、青少年科技创新教育活动、农技协和乡村振兴科普宣传培训、人才举荐和院士（专家）工作站评审等等各项目标任务。因资金使用支付进度前期较缓慢，受资金短缺制约，受益群众有限，满意度不能达预期目的，个别项目评审前提条件设定不够准确。故自评扣分3分，得分97分。</w:t>
            </w:r>
          </w:p>
        </w:tc>
      </w:tr>
      <w:tr w14:paraId="0515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E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0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0C8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资金使用支付进度前期较缓慢。个别项目评审前提条件设定不够准确。受资金短缺制约，受益群众有限，满意度不能达预期目的。</w:t>
            </w:r>
          </w:p>
        </w:tc>
      </w:tr>
      <w:tr w14:paraId="5C22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9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0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BCC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相关部门提早谋划，做好多方协调沟通，合理安排部署项目实施工作，及时对接财务部门支付，着力解决资金使用支付进度前期较缓慢问题；做好行业调研，个别需评审的项目事前设定较准确的评审条件，便于评审工作的顺利完成；合理争取项目资金投入，让更多的群众受益，提高预期目的。</w:t>
            </w:r>
          </w:p>
        </w:tc>
      </w:tr>
      <w:tr w14:paraId="6B7B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E9E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项目负责人：唐德强、吴家英、吴朝兰、李阳德</w:t>
            </w:r>
          </w:p>
        </w:tc>
        <w:tc>
          <w:tcPr>
            <w:tcW w:w="44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04C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3B2235E8">
      <w:pPr>
        <w:rPr>
          <w:rFonts w:hint="eastAsia"/>
        </w:rPr>
      </w:pPr>
      <w:r>
        <w:rPr>
          <w:rFonts w:hint="eastAsia"/>
        </w:rPr>
        <w:br w:type="page"/>
      </w:r>
    </w:p>
    <w:tbl>
      <w:tblPr>
        <w:tblStyle w:val="18"/>
        <w:tblW w:w="10728" w:type="dxa"/>
        <w:tblInd w:w="-4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465"/>
        <w:gridCol w:w="800"/>
        <w:gridCol w:w="1532"/>
        <w:gridCol w:w="643"/>
        <w:gridCol w:w="1368"/>
        <w:gridCol w:w="648"/>
        <w:gridCol w:w="1560"/>
        <w:gridCol w:w="624"/>
        <w:gridCol w:w="492"/>
        <w:gridCol w:w="936"/>
      </w:tblGrid>
      <w:tr w14:paraId="1EE0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107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5CAC08">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部门预算项目支出绩效自评表（2024年度）</w:t>
            </w:r>
          </w:p>
        </w:tc>
      </w:tr>
      <w:tr w14:paraId="3157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624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CA5D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51340022T000000278903-老科技工作者科普活动保障经费</w:t>
            </w:r>
          </w:p>
        </w:tc>
      </w:tr>
      <w:tr w14:paraId="40DB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E7D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9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1934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560" w:type="dxa"/>
            <w:tcBorders>
              <w:top w:val="nil"/>
              <w:left w:val="nil"/>
              <w:bottom w:val="nil"/>
              <w:right w:val="nil"/>
            </w:tcBorders>
            <w:shd w:val="clear" w:color="auto" w:fill="auto"/>
            <w:vAlign w:val="center"/>
          </w:tcPr>
          <w:p w14:paraId="08FA29BC">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327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2417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772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268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9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8989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9EBE1C">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5803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19F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DE0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49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307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该项目围绕认真学习贯彻党的二十大精神，落实习近平总书记对中国老科协重要批示“老有所为，积极作为”进行农村科普和城市科普活动，青少年科技教育活动，提升全民科学素质，对离退休老专家开展敬老月各项活动，进行党总支和党支部建设的各项活动，结合乡村振兴工作继续开展世界首创彩色花油菜示范种植，继续联手省老科协实施ESS（美国科技教育协会）资助贫困生，开展各类培训，科普宣传，科技咨询,健康义诊，积极探索金沙江流域合作调研、交流会、秘书处工作等。省和市州老科协工作研讨，筹建县老科协等活动及省上参加秘书长会及省老科协年度会议，在学校实施各类公益活动。</w:t>
            </w:r>
          </w:p>
        </w:tc>
        <w:tc>
          <w:tcPr>
            <w:tcW w:w="36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3CB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完成了农村科普和城市科普活动，青少年科技教育活动，对离退休老专家开展敬老月各项活动，进行党总支和党支部建设的各项活动，开展各类培训，科普宣传，科技咨询,健康义诊，积极探索金沙江流域合作调研、交流会、秘书处工作等。省和市州老科协工作研讨，筹建县老科协等活动及省上参加秘书长会及省老科协年度会议，在学校实施各类公益活动等。</w:t>
            </w:r>
          </w:p>
        </w:tc>
      </w:tr>
      <w:tr w14:paraId="50EF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98E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B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8DC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年度完成了资助35名困难高中生，发放助学金7万元；推广彩色花油菜试种 250 亩；开展了农业、牧业、林业、卫生、康养等培训班共56期，培训群众1500多人次；24年5月30参与开展全国科技工作者日系列活动日，发放5000余份科普资料，为600余人提供义诊服务；参加了9月12—13日，在西昌市建昌古城，凉山州科协举办的2024年全国科普日活动，现场开展了凉山州第二届公民科学素质竞赛、机器人秀、科普大家说及科普实验秀等活动； 2024年2月27—29日，凉山州老科协承办了金沙江论坛成果转化研讨会,汇聚了云贵川三省五市州的老科协领导及老专家代表共50余人。会议讨论并通过了多项重要文件，包括《云贵川三省五市州老科协西昌会议行动共识》和《金沙江流域芒果产业发展现状及对策调研报告》等。同时，强调了创建“云贵川三省金沙江中下游老科协创新合作试验区”的重要性，以贯彻相关意见精神，对接国家战略，推进老科协改革与发展等等工作</w:t>
            </w:r>
          </w:p>
        </w:tc>
      </w:tr>
      <w:tr w14:paraId="5692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CC3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4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B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6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B9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6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2E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3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C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1C41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C08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D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B4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5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2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43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B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8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D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B74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749A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BBA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4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9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BF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2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11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F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3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A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329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7F71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892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0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4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4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4D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5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2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A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949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335D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2BD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8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D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A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50D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2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8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F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E37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0180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F44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C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54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59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2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FA2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2A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0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F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94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3E3E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8F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A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E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B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F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37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5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6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E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5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F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17F8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3EC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6E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D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A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年补助工作经费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6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5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F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5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7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6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94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A1D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A26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E27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6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5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工作完成合格率</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C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E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9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7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4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F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B1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3D4E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C5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821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C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4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年度12月前</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2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F9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5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AB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5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0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7C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5684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DBD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61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E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8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老科技工作者发挥余热开展各项工作</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A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A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发挥老科技工作者长期积累的科技知识所长，继续为科普宣传、党建工作、乡村振兴等服务。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CF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F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发挥老科技工作者长期积累的科技知识所长，继续为科普宣传、党建工作、乡村振兴等服务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7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0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4E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1820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BE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6B4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7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可持续影响指标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7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发挥老科技工作者长期积累的科技知识所长，继续为科普宣传、党建工作、乡村振兴等服务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F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9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1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C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8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11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A1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8E2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2C1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1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7E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A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各社会群体及州科协领导满意度可达95%左右。</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C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3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AC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5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5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C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36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17E3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0DC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C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E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D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州老科协开展各项工作年所需经费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9B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B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D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A2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D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A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91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4F9D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6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E205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E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5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2C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r>
      <w:tr w14:paraId="69CA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F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0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505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过程中，老科协高度重视，精心组织，确保了各项任务的顺利完成。本次项目实施过程规范、有序，取得了显著成效，达到了预期目标。我们从产出、效益、满意度指标等进行了逐项认真的打分，预算执行率100%，执行情况良好。故自评得分98分。</w:t>
            </w:r>
          </w:p>
        </w:tc>
      </w:tr>
      <w:tr w14:paraId="0C72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3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0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E6F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由于经费有限，资助贫困学生和推广彩色花油菜示范种植受限。科普宣传深度广度不够，未达到预期目的。</w:t>
            </w:r>
          </w:p>
        </w:tc>
      </w:tr>
      <w:tr w14:paraId="61B0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2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0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250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建议合理增加老科协科普经费，用于开展科学技术普及和科技成果推广。</w:t>
            </w:r>
          </w:p>
        </w:tc>
      </w:tr>
      <w:tr w14:paraId="5314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88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项目负责人：黄发元</w:t>
            </w:r>
          </w:p>
        </w:tc>
        <w:tc>
          <w:tcPr>
            <w:tcW w:w="5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B5B4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004CF1FA">
      <w:pPr>
        <w:keepNext w:val="0"/>
        <w:keepLines w:val="0"/>
        <w:pageBreakBefore w:val="0"/>
        <w:kinsoku/>
        <w:wordWrap/>
        <w:overflowPunct/>
        <w:topLinePunct w:val="0"/>
        <w:autoSpaceDE/>
        <w:autoSpaceDN/>
        <w:bidi w:val="0"/>
        <w:adjustRightInd/>
        <w:snapToGrid/>
        <w:spacing w:line="180" w:lineRule="exact"/>
        <w:rPr>
          <w:rFonts w:hint="eastAsia"/>
        </w:rPr>
      </w:pPr>
    </w:p>
    <w:p w14:paraId="4FA6A3B2">
      <w:pPr>
        <w:rPr>
          <w:rFonts w:hint="eastAsia"/>
        </w:rPr>
      </w:pPr>
      <w:r>
        <w:rPr>
          <w:rFonts w:hint="eastAsia"/>
        </w:rPr>
        <w:br w:type="page"/>
      </w:r>
    </w:p>
    <w:tbl>
      <w:tblPr>
        <w:tblStyle w:val="18"/>
        <w:tblW w:w="10498" w:type="dxa"/>
        <w:tblInd w:w="-3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334"/>
        <w:gridCol w:w="686"/>
        <w:gridCol w:w="768"/>
        <w:gridCol w:w="1344"/>
        <w:gridCol w:w="552"/>
        <w:gridCol w:w="792"/>
        <w:gridCol w:w="696"/>
        <w:gridCol w:w="2307"/>
        <w:gridCol w:w="885"/>
        <w:gridCol w:w="662"/>
        <w:gridCol w:w="752"/>
      </w:tblGrid>
      <w:tr w14:paraId="6DD4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9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EEEB7DC">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部门预算项目支出绩效自评表（2024年度）</w:t>
            </w:r>
          </w:p>
        </w:tc>
      </w:tr>
      <w:tr w14:paraId="2780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15F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3852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51340022T000005849018-省级科普专项资金</w:t>
            </w:r>
          </w:p>
        </w:tc>
      </w:tr>
      <w:tr w14:paraId="7435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59F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9228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2307" w:type="dxa"/>
            <w:tcBorders>
              <w:top w:val="nil"/>
              <w:left w:val="nil"/>
              <w:bottom w:val="nil"/>
              <w:right w:val="nil"/>
            </w:tcBorders>
            <w:shd w:val="clear" w:color="auto" w:fill="auto"/>
            <w:vAlign w:val="center"/>
          </w:tcPr>
          <w:p w14:paraId="6C218D13">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6B0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5935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47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C4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D1E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04D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04A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3C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A42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95A0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主要用于“天府科技云”奖补运维、与州融媒体中心合作科普宣传项目、科普示范创建、开展“流动科技馆"、全国科普日活动、《科学发展》期刊建设、开展科学家进校园、公民素质提升、特色科普制作等科普活动项目。切实推动天府科技云在凉山落地落实，以科技助推凉山巩固拓展脱贫攻坚成果接续乡村振兴，促进科学技术的繁荣和发展，为推动全州的科技创新和科技进步做贡献。</w:t>
            </w:r>
          </w:p>
        </w:tc>
        <w:tc>
          <w:tcPr>
            <w:tcW w:w="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C0B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完成了“天府科技云”奖补运维、与州融媒体中心合作科普宣传项目、科普示范创建、开展“流动科技馆"、全国科普日活动、《科学发展》期刊建设、开展科学家进校园、公民素质提升、特色科普制作等科普活动项目。实现了推动天府科技云在凉山落地落实，以科技助推凉山巩固拓展脱贫攻坚成果接续乡村振兴，促进科学技术的繁荣和发展，为推动全州的科技创新和科技进步做贡献。</w:t>
            </w:r>
          </w:p>
        </w:tc>
      </w:tr>
      <w:tr w14:paraId="0FDD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98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F6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47B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天府科技云服务项目，实现了整体工作位居全省前列；完成了全国科普日活动；公民科学素质提升项目所设目标；创建了15个州级科普示范单位；年度已完成制作特色科普作品动画沙画共计20条；中国流动科技馆四川巡展—凉山站展示，使5万余人次获得了科普体验；开设《科普凉山》电视专题节目，译制、采编24期科普节目播报；中国科学院老科学家科普演讲团智力帮扶凉山科学家进校园科普宣讲活动，凉山24所学校开展科普报告54场次，1.2万余名青少年聆听报告；《凉山科学发展》全年已完成发行4期，发行2000册的任务。圆满完成年度项目任务。</w:t>
            </w:r>
          </w:p>
        </w:tc>
      </w:tr>
      <w:tr w14:paraId="6869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1F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66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E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0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B7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8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D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0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8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2094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28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7A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2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D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156.60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D0E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156.60</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4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9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F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D93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4669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AF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1C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4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3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156.60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67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156.60</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2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5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6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1B7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1CC7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71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AB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D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7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DD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0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F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E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5A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6D26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D3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FD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F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2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C0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C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D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5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05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4307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6C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DE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9B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A7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4609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C1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94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8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8CB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1058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B7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E7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B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C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0A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2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B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8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B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6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3F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1217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8F0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305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A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F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促成成果转化、高新技术推广、科研难题攻克</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D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17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C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4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2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3F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DF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7D8A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E7E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AD5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F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6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委托专业机构对展区的设计、布置及网络维护</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77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6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B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个（台、套、件、辆）</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3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8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6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55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6563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994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2E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C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A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展区的设计、布置及网络维护完成时间</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2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9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3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5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63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CA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84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727E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95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CF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6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C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预计促成科技服务、成果转化、科研项目承接</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40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F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9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F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1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A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A2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1B9C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F2D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13B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78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1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流动科普设施年服务观众总量</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8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6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8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亿人次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8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0.05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9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9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24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78B8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3EF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749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F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4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参会人员</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9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3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3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20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8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5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C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340CC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64A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95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A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7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完成以上9个项目所需成本</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2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B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156.6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E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F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156.6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4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C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EC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55F9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1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C46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1F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8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0D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r>
      <w:tr w14:paraId="2289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5D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4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04CE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度圆满完成天府科技云服务项目；完成了全国科普日活动；公民科学素质提升项目所设目标；创建了15个州级科普示范单位；年特色科普作品科普作品翻译；中国流动科技馆四川巡展—凉山站科普展示；开设《科普凉山》电视专题节目等；中国科学院老科学家科普演讲团智力帮扶凉山科学家进校园科普宣讲活动；《凉山科学发展》等等任务。因年度省级科普项目资金下达时间较晚导致有些项目推动滞后，资金使用进度前期较缓慢；受资金短缺制约，受益群众有限，满意度不能达预期目的。故自评扣分2分，得分98分。</w:t>
            </w:r>
          </w:p>
        </w:tc>
      </w:tr>
      <w:tr w14:paraId="7674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634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4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061A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因省级科普项目资金拨付时间晚，制约项目实施进度，造成当年形成项目资金年末结转较大的最主要因素。项目组跟踪问效有待跟进，按照项目管理要求收集资料、形成文字的记载有待加强。</w:t>
            </w:r>
          </w:p>
        </w:tc>
      </w:tr>
      <w:tr w14:paraId="40EC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36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4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703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相关部门提早谋划，做好多方协调沟通，着力解决资金拨付到位时间晚的问题，便于项目实施单位有充足的时间，科学、合理安排部署项目实施工作，推进支付进度。项目组对项目实施后要跟进问效，查找差距、收集资料、形成必要的文字记载，以便以后项目工作规划和绩效考评工作顺利完成。</w:t>
            </w:r>
          </w:p>
        </w:tc>
      </w:tr>
      <w:tr w14:paraId="772D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4C5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项目负责人：唐德强、吴家英、吴朝兰</w:t>
            </w:r>
          </w:p>
        </w:tc>
        <w:tc>
          <w:tcPr>
            <w:tcW w:w="6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102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1855CD05">
      <w:pPr>
        <w:keepNext w:val="0"/>
        <w:keepLines w:val="0"/>
        <w:pageBreakBefore w:val="0"/>
        <w:kinsoku/>
        <w:wordWrap/>
        <w:overflowPunct/>
        <w:topLinePunct w:val="0"/>
        <w:autoSpaceDE/>
        <w:autoSpaceDN/>
        <w:bidi w:val="0"/>
        <w:adjustRightInd/>
        <w:snapToGrid/>
        <w:spacing w:line="180" w:lineRule="exact"/>
        <w:rPr>
          <w:rFonts w:hint="eastAsia"/>
        </w:rPr>
      </w:pPr>
    </w:p>
    <w:p w14:paraId="5AAD3257">
      <w:pPr>
        <w:pStyle w:val="2"/>
        <w:keepNext w:val="0"/>
        <w:keepLines w:val="0"/>
        <w:pageBreakBefore w:val="0"/>
        <w:kinsoku/>
        <w:wordWrap/>
        <w:overflowPunct/>
        <w:topLinePunct w:val="0"/>
        <w:autoSpaceDE/>
        <w:autoSpaceDN/>
        <w:bidi w:val="0"/>
        <w:adjustRightInd/>
        <w:snapToGrid/>
        <w:spacing w:line="180" w:lineRule="exact"/>
        <w:rPr>
          <w:rFonts w:hint="eastAsia"/>
        </w:rPr>
      </w:pPr>
    </w:p>
    <w:tbl>
      <w:tblPr>
        <w:tblStyle w:val="18"/>
        <w:tblW w:w="10404"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984"/>
        <w:gridCol w:w="996"/>
        <w:gridCol w:w="1848"/>
        <w:gridCol w:w="660"/>
        <w:gridCol w:w="1284"/>
        <w:gridCol w:w="660"/>
        <w:gridCol w:w="1368"/>
        <w:gridCol w:w="468"/>
        <w:gridCol w:w="528"/>
        <w:gridCol w:w="984"/>
      </w:tblGrid>
      <w:tr w14:paraId="418C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104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CD842D">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部门预算项目支出绩效自评表（2024年度）</w:t>
            </w:r>
          </w:p>
        </w:tc>
      </w:tr>
      <w:tr w14:paraId="55F2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6C0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7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ED9E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51340023T000009491998-天府科技云服务项目</w:t>
            </w:r>
          </w:p>
        </w:tc>
      </w:tr>
      <w:tr w14:paraId="271B9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B98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3535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368" w:type="dxa"/>
            <w:tcBorders>
              <w:top w:val="nil"/>
              <w:left w:val="nil"/>
              <w:bottom w:val="nil"/>
              <w:right w:val="nil"/>
            </w:tcBorders>
            <w:shd w:val="clear" w:color="auto" w:fill="auto"/>
            <w:vAlign w:val="center"/>
          </w:tcPr>
          <w:p w14:paraId="3F2ED4CB">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B6C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6A05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C45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29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A853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404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B62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36A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8BE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5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F4A6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凉山州科协体制外配备从事天府科技云服务“保姆式”专职工作人员，主要完成：</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1、促使科技工作者（团队）、企事业单位在平台注册量不断增长。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2、做大有效科技所能所需精准信息发布量。</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3、精准反映生产生活状况，促进双方对接交易量。</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4、打造永不落幕“科创会”，遴选高精难项目集中推荐入会。</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5、对17个县市进行调研；对“专职保姆”进行线下线上培训指导。</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6、助力平台功能优化，保障高效运转。</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 xml:space="preserve">   通过以上任务的完成，能促进更多有效的科技供需对接，以加快汇聚足够的有效科技供给和旺盛的有效科技需求、尽快形成有效科技市场、切实为用户提供高效便捷的科技服，更好地为科技助力乡村振兴服务、为提高全民科学素质服务、为党和政府科学决策服务，为凉山经济社会发展服务的最终目的。</w:t>
            </w:r>
          </w:p>
        </w:tc>
        <w:tc>
          <w:tcPr>
            <w:tcW w:w="3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09B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完成了促使科技工作者（团队）、企事业单位在平台注册量不断增长；做大有效科技所能所需精准信息发布量；精准反映生产生活状况，促进双方对接交易量；打造永不落幕“科创会”，遴选高精难项目集中推荐入会；对17个县市进行调研；对“专职保姆”进行线下线上培训指导；助力平台功能优化，保障高效运转。实现了促进更多有效的科技供需对接，以加快汇聚足够的有效科技供给和旺盛的有效科技需求、尽快形成有效科技市场、切实为用户提供高效便捷的科技服，更好地为科技助力乡村振兴服务、为提高全民科学素质服务、为党和政府科学决策服务，为凉山经济社会发展服务的最终目的。</w:t>
            </w:r>
          </w:p>
        </w:tc>
      </w:tr>
      <w:tr w14:paraId="67D8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1A9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4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7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606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组建凉山天府科技云服务中心运营团队，包括安排2人入驻及3人线上远程支撑。维持凉山州云服务中心日常开设与运营，每日通过线上+线下的方式为17县(市)协助支撑。8月27日-30日，在凉山州云服务中心共分4批次为凉山17县（市）保姆开展天府科技云高质量发展相关工作培训。针对宁南、雷波等有新保姆入职或平台操作不熟悉、操作过程中容易出现问题的县（市）进行针对性的平台介绍、操作讲解。对17个县共计3098项科技交易订单进行了严格审核，保障交易的规范性与合法性。为提升服务质量与水平，积极与省云服务中心交易服务部和攀枝花市、绵阳市兄弟单位交流，学习典型案例经验，并将案例标准整理成详细文档，同步给各县云服务中心学习，促进整体业务能力提升。协助州本级各学协会完成11家示范工作室打造。</w:t>
            </w:r>
          </w:p>
        </w:tc>
      </w:tr>
      <w:tr w14:paraId="58E7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74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F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3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D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F4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2F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9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E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A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39073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F9E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D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C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25.00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1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25.00</w:t>
            </w:r>
          </w:p>
        </w:tc>
        <w:tc>
          <w:tcPr>
            <w:tcW w:w="2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22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A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C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4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A85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1F8D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B2C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B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E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25.00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A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25.00</w:t>
            </w:r>
          </w:p>
        </w:tc>
        <w:tc>
          <w:tcPr>
            <w:tcW w:w="2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82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A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8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3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E11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6833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84D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4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5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3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56B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0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2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C9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6F5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0798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7F6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5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2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9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3E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7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3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02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6B7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2774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781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E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5C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40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2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5F9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FB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A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F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E9D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4122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29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FC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0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3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5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38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8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8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C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68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7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3783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916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7A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F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C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聘请专业人员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F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7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D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人数</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B8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7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AA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1E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674C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3BD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783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A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0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工作完成合格率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3F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A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7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C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B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D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29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3E4F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86E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6AF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8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F0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年度12月前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1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0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9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C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8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8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16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BCD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243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7C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E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1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天府科技云服务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A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4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促进更多有效的科技供需对接，为凉山经济社会发展服务。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1D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left"/>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4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促进更多有效的科技供需对接，为凉山经济社会发展服务。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8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6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CC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4F43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6AF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EAE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B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可持续影响指标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5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天府科技云服务“保姆式”工作的影响力</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9F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F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6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0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4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B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6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48361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D6F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7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6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42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9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9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9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D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7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D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D2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6B59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4AC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5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A1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社会成本指标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5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天府科技云服务“保姆式”工作所需费用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D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A5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7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9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E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4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9B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1171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4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7FB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B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6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8E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r>
      <w:tr w14:paraId="6914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5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7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E318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该项目目的在于提升保姆式服务的质量，打造一批示范带头的科创工作室，起到精准服务科技工作者、创新驱动发展、全民科学素质提升以及党和政府科学决策的作用。项目自评得分100分。</w:t>
            </w:r>
          </w:p>
        </w:tc>
      </w:tr>
      <w:tr w14:paraId="2CDD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7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7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9FC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主要是保姆更换频率高，业务熟练程度不高。</w:t>
            </w:r>
          </w:p>
        </w:tc>
      </w:tr>
      <w:tr w14:paraId="0FCD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3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7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964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加强对保姆的培训和管理，建立完善的激励和考核机制，提高他们的工作积极性和服务质量。</w:t>
            </w:r>
          </w:p>
        </w:tc>
      </w:tr>
      <w:tr w14:paraId="07CD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1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07F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项目负责人：余敏</w:t>
            </w:r>
          </w:p>
        </w:tc>
        <w:tc>
          <w:tcPr>
            <w:tcW w:w="52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1B2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29F9A05F">
      <w:pPr>
        <w:keepNext w:val="0"/>
        <w:keepLines w:val="0"/>
        <w:pageBreakBefore w:val="0"/>
        <w:kinsoku/>
        <w:wordWrap/>
        <w:overflowPunct/>
        <w:topLinePunct w:val="0"/>
        <w:autoSpaceDE/>
        <w:autoSpaceDN/>
        <w:bidi w:val="0"/>
        <w:adjustRightInd/>
        <w:snapToGrid/>
        <w:spacing w:line="180" w:lineRule="exact"/>
        <w:rPr>
          <w:rFonts w:hint="eastAsia"/>
        </w:rPr>
      </w:pPr>
      <w:r>
        <w:rPr>
          <w:rFonts w:hint="eastAsia"/>
        </w:rPr>
        <w:br w:type="page"/>
      </w:r>
    </w:p>
    <w:tbl>
      <w:tblPr>
        <w:tblStyle w:val="18"/>
        <w:tblW w:w="10407" w:type="dxa"/>
        <w:tblInd w:w="-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967"/>
        <w:gridCol w:w="750"/>
        <w:gridCol w:w="1106"/>
        <w:gridCol w:w="478"/>
        <w:gridCol w:w="457"/>
        <w:gridCol w:w="970"/>
        <w:gridCol w:w="1500"/>
        <w:gridCol w:w="1644"/>
        <w:gridCol w:w="744"/>
        <w:gridCol w:w="1203"/>
      </w:tblGrid>
      <w:tr w14:paraId="7CB3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04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8283D9">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部门预算项目支出绩效自评表（2024年度）</w:t>
            </w:r>
          </w:p>
        </w:tc>
      </w:tr>
      <w:tr w14:paraId="1FB3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2CE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8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6BE2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51340023Y000007909602-青少年科技活动</w:t>
            </w:r>
          </w:p>
        </w:tc>
      </w:tr>
      <w:tr w14:paraId="0471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B0A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74C4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500" w:type="dxa"/>
            <w:tcBorders>
              <w:top w:val="nil"/>
              <w:left w:val="nil"/>
              <w:bottom w:val="nil"/>
              <w:right w:val="nil"/>
            </w:tcBorders>
            <w:shd w:val="clear" w:color="auto" w:fill="auto"/>
            <w:vAlign w:val="center"/>
          </w:tcPr>
          <w:p w14:paraId="5D80DCDE">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E16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7F4E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FB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D8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2B2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5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64D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723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6E1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131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D69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用于开展科学家（精神）进校园等活动，培养青少年科学兴趣、科技创新精神和实践能力，提升青少年科学素养，推动凉山中小学校科普活动篷勃开展和整个科技教育事业的健康发展各项活动的工作补助经费。</w:t>
            </w:r>
          </w:p>
        </w:tc>
        <w:tc>
          <w:tcPr>
            <w:tcW w:w="5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A69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项目完成科学家（精神）进校园等活动，培养青少年科学兴趣、科技创新精神和实践能力，提升青少年科学素养，推动凉山中小学校科普活动篷勃开展和整个科技教育事业的健康发展各项活动的工作补助经费。</w:t>
            </w:r>
          </w:p>
        </w:tc>
      </w:tr>
      <w:tr w14:paraId="483D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6EA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5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8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6FE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4月22日至28日，由凉山州关工委、凉山州科协、凉山州教育和体育局共同举办的“弘扬科学精神 做好科学教育加法”2024年大手拉小手科普报告汇四川省校园巡讲活动暨中国科学院老科学家科普演讲团智力帮扶凉山宣讲活动在凉山州布拖县、普格县、盐源县、木里县成功举办。</w:t>
            </w:r>
          </w:p>
        </w:tc>
      </w:tr>
      <w:tr w14:paraId="51F7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B1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8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9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A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D7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A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0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1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EC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5645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D85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7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1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2.80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9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2.80</w:t>
            </w:r>
          </w:p>
        </w:tc>
        <w:tc>
          <w:tcPr>
            <w:tcW w:w="1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C3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2.80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8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1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A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2D1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5126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3B8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4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E9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2.80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1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2.80</w:t>
            </w:r>
          </w:p>
        </w:tc>
        <w:tc>
          <w:tcPr>
            <w:tcW w:w="1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DF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2.80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7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D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76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8DE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1B86D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6A6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1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E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0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A9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94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B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0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A1D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2668C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C24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6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A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E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2C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B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7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C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64F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537C5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B6B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E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3C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7F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4BE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B9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3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0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B88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1284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12E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C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F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5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8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D1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F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A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F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10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4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19AD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FB4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BEC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C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6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开展科学家精神进校园等活动各次数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B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C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3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场次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C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D7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4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5D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6E98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73D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E05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DE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9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各科学科普活动场地选择适合率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E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C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5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1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5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9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78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38C6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A31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7B3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6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A1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各类科学科普活动完成时间</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F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93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B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0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C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C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43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12A3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CED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D7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F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C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青少年科学素质提升率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1A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8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F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3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A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F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2E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05E1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AA4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A01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2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可持续影响指标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F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青少年科学科普活动影响力</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1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F9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1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B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5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F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9D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5849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2D8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9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9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3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青少年及家长满意度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6C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9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E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A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5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2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76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E16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0BF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0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A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3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预计开展科学家（精神）进校园等活动年所需补助工作经费</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7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1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99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8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2.8</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2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8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43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3C5F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0D2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5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B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4E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r>
      <w:tr w14:paraId="302E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5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8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35F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过程规范、有序，取得了显著成效，达到了预期目标。我们从产出、效益、满意度指标等进行了逐项认真的打分，预算执行率100%，执行情况良好。但由于受经费的限制，无法让更多的学校和学生受益，短期内收效不明显，故自评扣2分、得分98分。</w:t>
            </w:r>
          </w:p>
        </w:tc>
      </w:tr>
      <w:tr w14:paraId="4007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0E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8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A05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受经费的限制，科学家进校园活动只能覆盖所到县（市）的2-3所学校，无法让更多的学校和学生受益。</w:t>
            </w:r>
          </w:p>
        </w:tc>
      </w:tr>
      <w:tr w14:paraId="2C88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6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8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2DA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凉山整体科普基础设施薄弱、科普资源非常匮乏。建议一是要加大经费保障。二是要加大资源整合力度。</w:t>
            </w:r>
          </w:p>
        </w:tc>
      </w:tr>
      <w:tr w14:paraId="197E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1A6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项目负责人：吴朝兰</w:t>
            </w:r>
          </w:p>
        </w:tc>
        <w:tc>
          <w:tcPr>
            <w:tcW w:w="6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5A6C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57821192">
      <w:pPr>
        <w:keepNext w:val="0"/>
        <w:keepLines w:val="0"/>
        <w:pageBreakBefore w:val="0"/>
        <w:kinsoku/>
        <w:wordWrap/>
        <w:overflowPunct/>
        <w:topLinePunct w:val="0"/>
        <w:autoSpaceDE/>
        <w:autoSpaceDN/>
        <w:bidi w:val="0"/>
        <w:adjustRightInd/>
        <w:snapToGrid/>
        <w:spacing w:line="180" w:lineRule="exact"/>
        <w:rPr>
          <w:rFonts w:hint="eastAsia"/>
        </w:rPr>
      </w:pPr>
      <w:r>
        <w:rPr>
          <w:rFonts w:hint="eastAsia"/>
        </w:rPr>
        <w:br w:type="page"/>
      </w:r>
    </w:p>
    <w:p w14:paraId="66D09A84">
      <w:pPr>
        <w:rPr>
          <w:rFonts w:hint="eastAsia"/>
        </w:rPr>
      </w:pP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916"/>
        <w:gridCol w:w="992"/>
        <w:gridCol w:w="1191"/>
        <w:gridCol w:w="590"/>
        <w:gridCol w:w="616"/>
        <w:gridCol w:w="590"/>
        <w:gridCol w:w="1040"/>
        <w:gridCol w:w="517"/>
        <w:gridCol w:w="517"/>
        <w:gridCol w:w="1714"/>
      </w:tblGrid>
      <w:tr w14:paraId="4619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4301C3">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部门预算项目支出绩效自评表（2024年度）</w:t>
            </w:r>
          </w:p>
        </w:tc>
      </w:tr>
      <w:tr w14:paraId="6457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CBD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3F38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51340024R000010184587-州本级工资支出（行政）</w:t>
            </w:r>
          </w:p>
        </w:tc>
      </w:tr>
      <w:tr w14:paraId="7132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534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C197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797A7C7F">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FEE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22EF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A8A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655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5D9E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8F73D6">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A48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0489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746E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5F3C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A9C3F9">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6088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5F800">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21C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729B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保障职工工作及时、足额缴纳。预算编制科学合理，减少结余资金。年度用于人员类项目按照配置定额，逐人核定编制执行。年度内不存在无故拖延、错发、误发职工工资发等情况发生，也无超范围发放职工工资等违纪记录情况发生。</w:t>
            </w:r>
          </w:p>
        </w:tc>
      </w:tr>
      <w:tr w14:paraId="4832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ED4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C2E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75E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A02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688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A8E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7A6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295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625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7102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940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B4C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9D4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D54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132.14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83D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D56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4B0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671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B6015">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按照相关政策调整职工晋级工资增加、逐人核定编制执行清算调出人员工资等。</w:t>
            </w:r>
          </w:p>
        </w:tc>
      </w:tr>
      <w:tr w14:paraId="4807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73AB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521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487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0E3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132.14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FFD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0A6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543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010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02A7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537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6C9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461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1EA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43A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89B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9A6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AD9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98B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5DE3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9DD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1B7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87A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A9E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F90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DAF7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E99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01D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3F8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114F6">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FAE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4B0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21C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AA02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14A7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FAB68">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1DF5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F3A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B66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9DFE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4E7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096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139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30F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80F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72F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D27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800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5F3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DE2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234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5AC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468C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B3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99A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E71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91A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D7B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26F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030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9E0C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DAA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6D1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626B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6DEE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A64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D9B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749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B16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12D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907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8CA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3294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2C9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BA3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216B7">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1869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9BA3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8A2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202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441E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796B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49C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533084">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职工工作及时、足额缴纳。预算编制科学合理，减少结余资金。年度用于人员类项目按照配置定额，逐人核定编制执行。年度内不存在无故拖延、错发、误发职工工资发等情况发生，也无超范围发放职工工资等违纪记录情况发生。从产出、效益、满意度指标等进行了以上打分，预算执行率100%，执行情况良好，自评得分100分。</w:t>
            </w:r>
          </w:p>
        </w:tc>
      </w:tr>
      <w:tr w14:paraId="69FA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6A1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32327F">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F78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895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8FC57B">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1FE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8C2F97">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47D002">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48A7E00A">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932"/>
        <w:gridCol w:w="944"/>
        <w:gridCol w:w="1161"/>
        <w:gridCol w:w="611"/>
        <w:gridCol w:w="632"/>
        <w:gridCol w:w="611"/>
        <w:gridCol w:w="1210"/>
        <w:gridCol w:w="571"/>
        <w:gridCol w:w="571"/>
        <w:gridCol w:w="1429"/>
      </w:tblGrid>
      <w:tr w14:paraId="5250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807EEF">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05FD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597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1672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51340024R000010184871-州本级工资支出（事业）</w:t>
            </w:r>
          </w:p>
        </w:tc>
      </w:tr>
      <w:tr w14:paraId="698E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156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FD7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17057471">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7B7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623C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D9A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CA4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9A1B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584006">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A6A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F582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D654C">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553E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57568B">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2334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358F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BBB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B7BC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保障职工工作及时、足额缴纳。预算编制科学合理，减少结余资金。年度用于人员类项目按照配置定额，逐人核定编制执行。年度内不存在无故拖延、错发、误发职工工资发等情况发生，也无超范围发放职工工资等违纪记录情况发生。</w:t>
            </w:r>
          </w:p>
        </w:tc>
      </w:tr>
      <w:tr w14:paraId="4582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2A9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74D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AB1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542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71F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16A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638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0E0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04A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5E45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B35F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E43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5D5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33.88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224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34.33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118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34.33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C4D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821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FD8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53B03">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按照相关政策调整职工晋级工资增加。</w:t>
            </w:r>
          </w:p>
        </w:tc>
      </w:tr>
      <w:tr w14:paraId="3D51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60D8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E18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329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33.88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159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34.33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1A5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34.33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55E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9BE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717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79BB">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95F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B964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69D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090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547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1C2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8A5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4F1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5FC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431EF">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046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1CA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633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406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55C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A6B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D8C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9DC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7F5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0FD5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40A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6C6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D1C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D06E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5DAF8">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4436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A26D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CC1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B3B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2C96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BF1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93B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070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7BE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650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1CC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3F5C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679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146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8E7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995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187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2694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EE4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793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9CC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482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6F1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BBE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49C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9AA5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057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CF9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8C7E4">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B90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080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9C2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0A9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F46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C03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681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B74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0F4D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882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161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B68F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5FA5B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9776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A64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370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C198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2DA1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5C0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3731A0">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职工工作及时、足额缴纳。预算编制科学合理，减少结余资金。年度用于人员类项目按照配置定额，逐人核定编制执行。年度内不存在无故拖延、错发、误发职工工资发等情况发生，也无超范围发放职工工资等违纪记录情况发生。从产出、效益、满意度指标等进行了以上打分，预算执行率100%，执行情况良好，自评得分100分。</w:t>
            </w:r>
          </w:p>
        </w:tc>
      </w:tr>
      <w:tr w14:paraId="08C4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E4D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4D1C04">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D76E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A83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F629FF">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BA2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48989E">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D65121">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175A4BDE">
      <w:pPr>
        <w:rPr>
          <w:rFonts w:hint="eastAsia"/>
        </w:rPr>
      </w:pPr>
    </w:p>
    <w:p w14:paraId="3686C12D">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8"/>
        <w:gridCol w:w="932"/>
        <w:gridCol w:w="944"/>
        <w:gridCol w:w="1161"/>
        <w:gridCol w:w="611"/>
        <w:gridCol w:w="631"/>
        <w:gridCol w:w="611"/>
        <w:gridCol w:w="1095"/>
        <w:gridCol w:w="533"/>
        <w:gridCol w:w="533"/>
        <w:gridCol w:w="1619"/>
      </w:tblGrid>
      <w:tr w14:paraId="4107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CC6777">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3DD4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FF9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6832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51340024R000010188283-州本级目标绩效（行政）</w:t>
            </w:r>
          </w:p>
        </w:tc>
      </w:tr>
      <w:tr w14:paraId="1F60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843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992A4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0992042C">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66B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46AB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B32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2D0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8DBB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400588">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38A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26F3F">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4EFA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E15D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4CC4BF">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6A9CE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87AD6">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AE1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0972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定额定编逐人核定。保障职工目标绩效及时、足额发放。预算执行中不存在无故拖延、错发、误发职工工目标绩效情况发生，也无超范围发放职工目标绩效等违纪记录情况发生。预算编制科学合理，减少结余资金。</w:t>
            </w:r>
          </w:p>
        </w:tc>
      </w:tr>
      <w:tr w14:paraId="0952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AC1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F8A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6B4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A9F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C1C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3AA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A5F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A64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DAE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2505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14B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DB7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7CC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AD4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14.91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6119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A16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A54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0D5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418E6">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按照相关政策逐人核定编制，执行清算调出人员目标绩效等。</w:t>
            </w:r>
          </w:p>
        </w:tc>
      </w:tr>
      <w:tr w14:paraId="54A2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D23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10E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062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C87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14.91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E3A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7C6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637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CCB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73BE">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086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7C6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5DB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A3F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6A4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870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725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274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C4D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07DE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0C0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8B6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BCE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E7A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007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F2D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423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BB2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FC6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03D8B">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997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622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19D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D6B37">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C1B7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01247">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123C4">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5AD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A4A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9C135">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F8A0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986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F67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B71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223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85D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516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A2D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944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EFD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E55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742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5A01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7A4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D32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72F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BB2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E35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8E9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5D8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9BAB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7A9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286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A942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105B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441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70A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45F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DF7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70C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0D0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DF1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47DB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A0F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5AB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C1C9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5D6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DFA1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241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6B6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B133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7B9A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0F1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BC82DB">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严格执行相关政策，定额定编逐人核定。保障职工目标绩效及时、足额发放。预算执行中不存在无故拖延、错发、误发职工目标绩效情况发生，也无超范围发放职工目标绩效等违纪记录情况发生。预算编制科学合理，减少结余资金。从产出、效益、满意度指标等进行了以上打分，预算执行率100%，执行情况良好，自评得分100分。</w:t>
            </w:r>
          </w:p>
        </w:tc>
      </w:tr>
      <w:tr w14:paraId="301DA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11C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A28F4A">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E93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DF9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D4D8F4">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211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B0D74">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2AAAFF">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027D92C0">
      <w:pPr>
        <w:rPr>
          <w:rFonts w:hint="eastAsia"/>
        </w:rPr>
      </w:pPr>
    </w:p>
    <w:p w14:paraId="215AC886">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9"/>
        <w:gridCol w:w="948"/>
        <w:gridCol w:w="956"/>
        <w:gridCol w:w="1183"/>
        <w:gridCol w:w="621"/>
        <w:gridCol w:w="638"/>
        <w:gridCol w:w="621"/>
        <w:gridCol w:w="1443"/>
        <w:gridCol w:w="646"/>
        <w:gridCol w:w="646"/>
        <w:gridCol w:w="957"/>
      </w:tblGrid>
      <w:tr w14:paraId="119B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A159B7">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77A47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AF8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05DE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51340024R000010188546-州本级目标绩效（事业）</w:t>
            </w:r>
          </w:p>
        </w:tc>
      </w:tr>
      <w:tr w14:paraId="06FD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D7F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038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6D52DF4E">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47F7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6739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9B2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2C3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132E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D8DAFA">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CBF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947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67099">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82B4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9C3C85">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551A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878B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7F7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3984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定额定编逐人核定。保障职工目标绩效及时、足额发放。预算执行中不存在无故拖延、错发、误发职工工目标绩效情况发生，也无超范围发放职工目标绩效等违纪记录情况发生。预算编制科学合理，减少结余资金。</w:t>
            </w:r>
          </w:p>
        </w:tc>
      </w:tr>
      <w:tr w14:paraId="11AB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AAC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7A5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147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E14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DF5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524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B4C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AF1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872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3EDA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E4D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A4F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16A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807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23.00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454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10F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050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F08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C515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342D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97B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CC7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B9D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05F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23.00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07F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BE0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981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36A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B3478">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F98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C7B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BD0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9BB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33C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056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43F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E49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9DA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BF781">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D7F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EEE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458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F66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3CD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FE7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212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0A9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4D3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C3D31">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215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0EC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706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D6E5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34CC8">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0B76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12853">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763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00A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336F">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6A2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43A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5CB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AE2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1AC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71F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D5C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DF0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773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53D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E83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64E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365C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B62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0F5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5BA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244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149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892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90E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AB39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E0C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5ED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CCEE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35CB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384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7B6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282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367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2F2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B9F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242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97F1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59E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F09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244A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1A28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BA1E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06F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7DD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219BF">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6EF3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6E9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EE924F">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严格执行相关政策，定额定编逐人核定。保障职工目标绩效及时、足额发放。预算执行中不存在无故拖延、错发、误发职工目标绩效情况发生，也无超范围发放职工目标绩效等违纪记录情况发生。预算编制科学合理，减少结余资金。从产出、效益、满意度指标等进行了以上打分，预算执行率100%，执行情况良好，自评得分100分。</w:t>
            </w:r>
          </w:p>
        </w:tc>
      </w:tr>
      <w:tr w14:paraId="6516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E62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0D10CE">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E42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C29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5D6C93">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B21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84C9B3">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005336">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5C694AD9">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2"/>
        <w:gridCol w:w="958"/>
        <w:gridCol w:w="933"/>
        <w:gridCol w:w="1155"/>
        <w:gridCol w:w="605"/>
        <w:gridCol w:w="622"/>
        <w:gridCol w:w="605"/>
        <w:gridCol w:w="1070"/>
        <w:gridCol w:w="519"/>
        <w:gridCol w:w="518"/>
        <w:gridCol w:w="1641"/>
      </w:tblGrid>
      <w:tr w14:paraId="7080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6E387D">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15AB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39E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1AC56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51340024R000010188820-州本级在职工资附加性支出（行政）</w:t>
            </w:r>
          </w:p>
        </w:tc>
      </w:tr>
      <w:tr w14:paraId="0617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557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83D5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2CE6DB99">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FEA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632B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3CD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C8E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C0B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9F1A25">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E0F9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CA2A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0091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19F3C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0F355B">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4EBE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34AE0">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F42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762A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定额定编逐人核定。保障职工工资附加性支出及时、足额发放。预算执行中不存在无故拖延、错发、误发职工的情况发生，也无超范围发放等违纪记录情况发生。预算编制科学合理，减少结余资金。</w:t>
            </w:r>
          </w:p>
        </w:tc>
      </w:tr>
      <w:tr w14:paraId="24F9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DB3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AFC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D2E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9D1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616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DEF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EF1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CA1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B18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0F23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F6F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503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657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63C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45.32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955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45.32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009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813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701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899BA">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按照相关政策核定编制，执行清算调出人员工资附加性支出等。</w:t>
            </w:r>
          </w:p>
        </w:tc>
      </w:tr>
      <w:tr w14:paraId="778B1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F79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CF7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506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757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45.32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197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45.32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B95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785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72D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BF46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B40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41B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9FB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B06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12B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581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D04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301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E9E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7A5A6">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436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615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D4B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136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EC4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158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7A2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D42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351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AD21C">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ACB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92C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30F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554B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C2ACC">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5C24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AA4F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91D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0A6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1F50E">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C35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818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214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250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EE9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A7E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91E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D31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E98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296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49A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F67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7115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C43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AEE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DAA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3E9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DF7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B13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02D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1DE4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BD2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C39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B2E9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D5B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855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9F4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7FB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196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DFB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3C3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B58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D582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9F0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467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9484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00C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D9DF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9B1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83CE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82858">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6F73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63A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21475F">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职工工资附加性支出及时、足额发放。预算执行中不存在无故拖延、错发、误发职工工资附加性支出情况发生，也无超范围发放等违纪记录情况发生。预算编制科学合理，减少结余资金。从产出、效益、满意度指标等进行了以上打分，预算执行率100%，执行情况良好，自评得分100分。</w:t>
            </w:r>
          </w:p>
        </w:tc>
      </w:tr>
      <w:tr w14:paraId="56A3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1BE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F5FE53">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66B2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A68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B16EFE">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9A7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5FF792">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A123E2">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42086F45">
      <w:pPr>
        <w:rPr>
          <w:rFonts w:hint="eastAsia"/>
        </w:rPr>
      </w:pPr>
      <w:r>
        <w:rPr>
          <w:rFonts w:hint="eastAsia"/>
        </w:rPr>
        <w:br w:type="page"/>
      </w:r>
    </w:p>
    <w:p w14:paraId="05F1B5AE">
      <w:pPr>
        <w:rPr>
          <w:rFonts w:hint="eastAsia"/>
        </w:rPr>
      </w:pP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975"/>
        <w:gridCol w:w="944"/>
        <w:gridCol w:w="1175"/>
        <w:gridCol w:w="614"/>
        <w:gridCol w:w="628"/>
        <w:gridCol w:w="614"/>
        <w:gridCol w:w="1432"/>
        <w:gridCol w:w="636"/>
        <w:gridCol w:w="637"/>
        <w:gridCol w:w="959"/>
      </w:tblGrid>
      <w:tr w14:paraId="7DDC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BB1E3C">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1518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45B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5461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51340024R000010189088-州本级在职工资附加性支出（事业）</w:t>
            </w:r>
          </w:p>
        </w:tc>
      </w:tr>
      <w:tr w14:paraId="691A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5E9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196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34E72872">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83A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1A4D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142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43C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B87D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18F4F6">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119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1498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B25A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3B9F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673791">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7836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5C00">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8D2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034D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定额定编逐人核定。保障职工工资附加性支出及时、足额发放。预算执行中不存在无故拖延、错发、误发职工的情况发生，也无超范围发放等违纪记录情况发生。预算编制科学合理，减少结余资金。</w:t>
            </w:r>
          </w:p>
        </w:tc>
      </w:tr>
      <w:tr w14:paraId="1E89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879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C1D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878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8FE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A8D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583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4D3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735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361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402E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8EA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EB0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849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57B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21.87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42D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1D7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647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7FA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2A6D4">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DEF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362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7F8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2F2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491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21.87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80C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B2E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6DB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A64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EA0B8">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0EB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51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982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184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BAF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6FB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33B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163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058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6A13">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5ADD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29DC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3D7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40B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CDF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DE5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C3C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7E0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93B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640A0">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297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E3C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5FD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00CE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202C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E70B4">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AAA93">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C4A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8CA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A847F">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8FF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136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7F5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6EB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945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0A4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3A3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AE7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0D1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2EF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0BB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59F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5A23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C94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EB1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574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2A4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4C8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496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0C6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A780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EC7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F52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4CE77">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1F7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36E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D71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404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4EC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BAD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B83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528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E733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31B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48B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4DD9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684E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5702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83E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EFE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5152C">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56E2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5D3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BDF708">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职工工资附加性支出及时、足额发放。预算执行中不存在无故拖延、错发、误发职工工资附加性支出情况发生，也无超范围发放等违纪记录情况发生。预算编制科学合理，减少结余资金。从产出、效益、满意度指标等进行了以上打分，预算执行率100%，执行情况良好，自评得分100分。</w:t>
            </w:r>
          </w:p>
        </w:tc>
      </w:tr>
      <w:tr w14:paraId="6614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28F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356318">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6052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F16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83D269">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912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F9D722">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3EC7FD">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4F7C7E87">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3"/>
        <w:gridCol w:w="961"/>
        <w:gridCol w:w="928"/>
        <w:gridCol w:w="1153"/>
        <w:gridCol w:w="604"/>
        <w:gridCol w:w="618"/>
        <w:gridCol w:w="604"/>
        <w:gridCol w:w="1190"/>
        <w:gridCol w:w="555"/>
        <w:gridCol w:w="555"/>
        <w:gridCol w:w="1437"/>
      </w:tblGrid>
      <w:tr w14:paraId="57393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E09413">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3B7F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D3F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6FBE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51340024R000010189892-州本级离休人员经费（行政)</w:t>
            </w:r>
          </w:p>
        </w:tc>
      </w:tr>
      <w:tr w14:paraId="58EB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BEF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0BD0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0FC492B3">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194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663A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0C4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195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C98D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5A4DDC">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6F1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1C92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0ADF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E5B2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2989AE">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09AD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768E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7B4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B82F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严格执行相关政策，定额定编逐人核定。保障离休人员经费及时、足额发放。预算执行中不存在无故拖延、错发、误发的情况发生，也无超范围发放等违纪记录情况发生。预算编制科学合理，减少结余资金。</w:t>
            </w:r>
          </w:p>
        </w:tc>
      </w:tr>
      <w:tr w14:paraId="0579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399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4A2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12F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073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173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917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B74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7FB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DD9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5383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428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B96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1F9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1EB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13.49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12F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F53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9C6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688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64B98">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按照相关政策调整离休人员经费支出。</w:t>
            </w:r>
          </w:p>
        </w:tc>
      </w:tr>
      <w:tr w14:paraId="0A1D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6AF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FDB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B71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DC2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13.49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754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54B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E71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80E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D282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FBB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061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351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D95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283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83BC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DD5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DF9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1F4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F7A5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DB4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F28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2A2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6B8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053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1DA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1CF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F49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108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3C05B">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811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58D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8B0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A7AA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2133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30D63">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DA1B8">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E1C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F64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31AC2">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5E9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DA7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536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6B9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5BC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72B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DFB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454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1D4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991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58C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F26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096C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062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931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D59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359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E37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7D9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6AA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BFD5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52B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57C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69E63">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11C2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E8C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100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A6C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D7A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F1A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540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C94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916C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B56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A21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6622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6A42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2AAA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D9A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AA2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386B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5A39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8DC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B14C75">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离休人员经费支出及时、足额发放。预算执行中不存在无故拖延、错发、误发的情况发生，也无超范围发放等违纪记录情况发生。预算编制科学合理，减少结余资金。从产出、效益、满意度指标等进行了以上打分，预算执行率100%，执行情况良好，自评得分100分。</w:t>
            </w:r>
          </w:p>
        </w:tc>
      </w:tr>
      <w:tr w14:paraId="62D18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45D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BADCAC">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55D7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67D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006872">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8561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BBCE9E">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593425">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163753C0">
      <w:pPr>
        <w:rPr>
          <w:rFonts w:hint="eastAsia"/>
        </w:rPr>
      </w:pPr>
      <w:r>
        <w:rPr>
          <w:rFonts w:hint="eastAsia"/>
        </w:rPr>
        <w:br w:type="page"/>
      </w:r>
    </w:p>
    <w:p w14:paraId="1277907D">
      <w:pPr>
        <w:rPr>
          <w:rFonts w:hint="eastAsia"/>
        </w:rPr>
      </w:pP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977"/>
        <w:gridCol w:w="939"/>
        <w:gridCol w:w="1174"/>
        <w:gridCol w:w="612"/>
        <w:gridCol w:w="624"/>
        <w:gridCol w:w="612"/>
        <w:gridCol w:w="1429"/>
        <w:gridCol w:w="632"/>
        <w:gridCol w:w="632"/>
        <w:gridCol w:w="960"/>
      </w:tblGrid>
      <w:tr w14:paraId="135A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29A749">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0B4E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9B4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0D65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51340024R000010190962-州本级退休（职）人员生活补助(行政）</w:t>
            </w:r>
          </w:p>
        </w:tc>
      </w:tr>
      <w:tr w14:paraId="5EAC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09E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926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4161590F">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350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4C58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A69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B17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42C0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475D38">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00E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C0C5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2F74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18EE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FD60CC">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1D159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01BC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A00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1D63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严格执行相关政策，定额定编逐人核定。保障退休人员生活补助及时、足额发放。预算执行中不存在无故拖延、错发、误发的情况发生，也无超范围发放等违纪记录情况发生。预算编制科学合理，减少结余资金。</w:t>
            </w:r>
          </w:p>
        </w:tc>
      </w:tr>
      <w:tr w14:paraId="7FDB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70C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E16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E93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968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ACD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A2D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7C8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055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42B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4CAED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CC0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1E6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457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C90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53.17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6EA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737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623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B95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17B01">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902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BF9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0B6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1F6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431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53.17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B89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E21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67A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6CB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3FE82">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CE8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7C8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39B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7DD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9C1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792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454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9A4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39BF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E26F2">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396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B54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2C7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EB0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25A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C90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5E2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EFD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F49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9EE62">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7459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F06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775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B47F4">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1CA6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90B4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E730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BCC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975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4E4C0">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160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581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C0D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2F2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5D4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D2C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BD0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AAE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008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0C4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7EA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D03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766BB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3A1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C27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8A7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D16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701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149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81C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7E04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E56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225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74AC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02A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E5ED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7FD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BE9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48D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9A3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0C0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CCE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0C9B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F40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656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B088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7473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8E30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994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6592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51B5D">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79C1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9A3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4F1F70">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退休人员生活补助及时、足额发放。预算执行中不存在无故拖延、错发、误发的情况发生，也无超范围发放等违纪记录情况发生。预算编制科学合理，减少结余资金。从产出、效益、满意度指标等进行了以上打分，预算执行率100%，执行情况良好，自评得分100分。</w:t>
            </w:r>
          </w:p>
        </w:tc>
      </w:tr>
      <w:tr w14:paraId="257C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CEC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9A223E">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 无</w:t>
            </w:r>
          </w:p>
        </w:tc>
      </w:tr>
      <w:tr w14:paraId="03B7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C9A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F958BC">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01EE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D869E2">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F888AF">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0EC702C9">
      <w:pPr>
        <w:rPr>
          <w:rFonts w:hint="eastAsia"/>
        </w:rPr>
      </w:pPr>
      <w:r>
        <w:rPr>
          <w:rFonts w:hint="eastAsia"/>
        </w:rPr>
        <w:br w:type="page"/>
      </w:r>
    </w:p>
    <w:p w14:paraId="35AEF206">
      <w:pPr>
        <w:rPr>
          <w:rFonts w:hint="eastAsia"/>
        </w:rPr>
      </w:pPr>
    </w:p>
    <w:p w14:paraId="3B9B6A66">
      <w:pPr>
        <w:pStyle w:val="2"/>
        <w:rPr>
          <w:rFonts w:hint="eastAsia"/>
        </w:rPr>
      </w:pP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9"/>
        <w:gridCol w:w="993"/>
        <w:gridCol w:w="881"/>
        <w:gridCol w:w="1124"/>
        <w:gridCol w:w="621"/>
        <w:gridCol w:w="629"/>
        <w:gridCol w:w="621"/>
        <w:gridCol w:w="1452"/>
        <w:gridCol w:w="638"/>
        <w:gridCol w:w="638"/>
        <w:gridCol w:w="982"/>
      </w:tblGrid>
      <w:tr w14:paraId="2391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CBCF48">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48C9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AA5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9895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51340024R000010191316-州本级退休（职）人员生活补助(事业）</w:t>
            </w:r>
          </w:p>
        </w:tc>
      </w:tr>
      <w:tr w14:paraId="3DC8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C0D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6D43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7BC87349">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AF5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2D1F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2F0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3E5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487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0E7443">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88E4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99D2C">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CC26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CA1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2546BF">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2EF8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B6B1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B65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A2E1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严格执行相关政策，定额定编逐人核定。保障退休人员生活补助及时、足额发放。预算执行中不存在无故拖延、错发、误发的情况发生，也无超范围发放等违纪记录情况发生。预算编制科学合理，减少结余资金。</w:t>
            </w:r>
          </w:p>
        </w:tc>
      </w:tr>
      <w:tr w14:paraId="3A6F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289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B84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7D2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186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D58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5D1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8CD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0E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A19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09F5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FC5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84A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B0B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05E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F3D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EE5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FC4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858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2F84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B60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08E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EF3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9F7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EF5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0BF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A4B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EEA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EA3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20A9B">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0A7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199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8BF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C11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02C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EE9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C20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7E7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363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E45F5">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D7C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44C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363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269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1BD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110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7BA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3A6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443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13263">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521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5A9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64E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9EDB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5108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76E7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912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85B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FD3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88845">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4F5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AD8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C1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B94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260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526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78B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383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119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DD5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BBA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0C2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024D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935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73E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F73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0FF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92F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F0B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D2A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35D1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B79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863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8DF1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1C2D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542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2AF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A51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310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A44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B89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464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05B5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771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444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3C4E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57A8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D581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B65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E28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A12D8">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4908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9BC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3D953D">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退休人员生活补助及时、足额发放。预算执行中不存在无故拖延、错发、误发的情况发生，也无超范围发放等违纪记录情况发生。预算编制科学合理，减少结余资金。从产出、效益、满意度指标等进行了以上打分，预算执行率100%，执行情况良好，自评得分100分。</w:t>
            </w:r>
          </w:p>
        </w:tc>
      </w:tr>
      <w:tr w14:paraId="7430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F6B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8C6B28">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5089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4CB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2DFF20">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596F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8722D7">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B275AE">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3398E578">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969"/>
        <w:gridCol w:w="863"/>
        <w:gridCol w:w="1163"/>
        <w:gridCol w:w="608"/>
        <w:gridCol w:w="621"/>
        <w:gridCol w:w="608"/>
        <w:gridCol w:w="1193"/>
        <w:gridCol w:w="555"/>
        <w:gridCol w:w="555"/>
        <w:gridCol w:w="1463"/>
      </w:tblGrid>
      <w:tr w14:paraId="05EB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690130">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0B26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DF2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FF78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51340024R000010192947-州本级其他人员类支出（行政）</w:t>
            </w:r>
          </w:p>
        </w:tc>
      </w:tr>
      <w:tr w14:paraId="1058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567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7507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7E861657">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9A4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429D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6F4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042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64D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8D059A">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C92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8374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6E8E8">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53E9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63931A">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2FBB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6FE31">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C07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825D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严格执行相关政策，定额定编逐人核定。保障其他人员类支出及时、足额发放。预算执行中不存在无故拖延、错发、误发的情况发生，也无超范围发放等违纪记录情况发生。预算编制科学合理，减少结余资金。</w:t>
            </w:r>
          </w:p>
        </w:tc>
      </w:tr>
      <w:tr w14:paraId="331A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AE7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2B4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D02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C6D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079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280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D2E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3E5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8DF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26CD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9DC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63A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109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E30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55.25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822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55.25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B6F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5C3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235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8F1ED">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依照相关规定调整预算后执行率达100%</w:t>
            </w:r>
          </w:p>
        </w:tc>
      </w:tr>
      <w:tr w14:paraId="1722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E6A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FF2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EC7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AD5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55.25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40D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55.25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F31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B79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941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F19B">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C15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646A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CD9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BCA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FB5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EC39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6A4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D9E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C23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A5F48">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ECF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42A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3F9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F36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D71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E02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5DB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84E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012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3EC9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08B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7B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AD6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2D46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033A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A0A48">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FDE7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AF5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C80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ADD43">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7E0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94F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3B2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E3E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4DE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EF6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A2F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D4F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09C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455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993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9C3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546F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08C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FD7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8CF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316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299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44C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7AA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CFA7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85E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5C6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A00D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5A4AD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142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BF2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317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F32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342D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41C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965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471A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795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4D4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7554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6D61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B4ED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A33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A35C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C0A7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673B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0E8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35D35E">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其他人员类支出及时、足额发放。预算执行中不存在无故拖延、错发、误发的情况发生，也无超范围发放等违纪记录情况发生。预算编制科学合理，减少结余资金。从产出、效益、满意度指标等进行了以上打分，预算执行率100%，执行情况良好，自评得分100分。</w:t>
            </w:r>
          </w:p>
        </w:tc>
      </w:tr>
      <w:tr w14:paraId="3196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F44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53FA8C">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2472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76F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B73BD6">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47538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653285">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310A9A">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60AC61F5">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997"/>
        <w:gridCol w:w="884"/>
        <w:gridCol w:w="1131"/>
        <w:gridCol w:w="623"/>
        <w:gridCol w:w="631"/>
        <w:gridCol w:w="623"/>
        <w:gridCol w:w="1442"/>
        <w:gridCol w:w="634"/>
        <w:gridCol w:w="634"/>
        <w:gridCol w:w="975"/>
      </w:tblGrid>
      <w:tr w14:paraId="2CE1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3C2A5A">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4768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26F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ED21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51340024R000010193215-州本级其他人员类支出（事业）</w:t>
            </w:r>
          </w:p>
        </w:tc>
      </w:tr>
      <w:tr w14:paraId="3E03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543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F3D9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764C8EAB">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3B7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4638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966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630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1E1A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7EA6B0">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10E7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6CB9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FE33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1CF3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180AA6">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格执行相关政策，保障工资及时、足额发放或社保及时、足额缴纳，预算编制科学合理，减少结余资金。</w:t>
            </w:r>
          </w:p>
        </w:tc>
      </w:tr>
      <w:tr w14:paraId="3732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EFAC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9DF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E0E2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严格执行相关政策，定额定编逐人核定。保障其他人员类支出及时、足额发放。预算执行中不存在无故拖延、错发、误发的情况发生，也无超范围发放等违纪记录情况发生。预算编制科学合理，减少结余资金。</w:t>
            </w:r>
          </w:p>
        </w:tc>
      </w:tr>
      <w:tr w14:paraId="6468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A25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9EE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C0E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631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CD9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192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29C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FF8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BDC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1271C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317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74A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057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43D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828F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891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B47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A8A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199D5">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8A4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E88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31F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4B9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9D9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0B4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872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4A6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938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87C1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25B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3B0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CE6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81B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270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F4E9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821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965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F4C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DED0C">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E3E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9E7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4B4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081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949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1CF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C12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303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370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85072">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ABA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A4F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5E8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9D13A">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BD44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DB467">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79C5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23F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BD8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C23E6">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68F7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B1D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D2E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F49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C48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876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711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28B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D86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E86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40C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474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6248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08F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FF8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882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8B2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2DC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19B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185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708B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9A5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AC1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A87E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3BE7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52E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244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563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C08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8C6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82D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923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E521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789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8A9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9C74A">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60A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CFB6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F9B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E7B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138E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40C9F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697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2685DE">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其他人员类支出及时、足额发放。预算执行中不存在无故拖延、错发、误发的情况发生，也无超范围发放等违纪记录情况发生。预算编制科学合理，减少结余资金。从产出、效益、满意度指标等进行了以上打分，预算执行率100%，执行情况良好，自评得分100分。</w:t>
            </w:r>
          </w:p>
        </w:tc>
      </w:tr>
      <w:tr w14:paraId="4650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4D9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A4DEC0">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7ADA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96F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0D77A9">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6F74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448A32">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39DCBD">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7572B15E">
      <w:pPr>
        <w:rPr>
          <w:rFonts w:hint="eastAsia"/>
        </w:rPr>
      </w:pPr>
      <w:r>
        <w:rPr>
          <w:rFonts w:hint="eastAsia"/>
        </w:rPr>
        <w:br w:type="page"/>
      </w:r>
    </w:p>
    <w:p w14:paraId="2964F364">
      <w:pPr>
        <w:rPr>
          <w:rFonts w:hint="eastAsia"/>
        </w:rPr>
      </w:pP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977"/>
        <w:gridCol w:w="939"/>
        <w:gridCol w:w="1174"/>
        <w:gridCol w:w="612"/>
        <w:gridCol w:w="624"/>
        <w:gridCol w:w="612"/>
        <w:gridCol w:w="1429"/>
        <w:gridCol w:w="632"/>
        <w:gridCol w:w="632"/>
        <w:gridCol w:w="960"/>
      </w:tblGrid>
      <w:tr w14:paraId="4DAF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889B42">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1DBC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780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E7EE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51340024R000010721449-州本级其他工资及附加支出（行政）</w:t>
            </w:r>
          </w:p>
        </w:tc>
      </w:tr>
      <w:tr w14:paraId="03DD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D5F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E7DA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667D440D">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F58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0DDAC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070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229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F812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A1510C">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EBB9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323A1">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31B0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2652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60342B">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4ABB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4A29">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B18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7FC7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定额定编逐人核定。保障其他工资及附加支出及时、足额发放。预算执行中不存在无故拖延、错发、误发的情况发生，也无超范围发放等违纪记录情况发生。预算编制科学合理，减少结余资金。</w:t>
            </w:r>
          </w:p>
        </w:tc>
      </w:tr>
      <w:tr w14:paraId="5CC1A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E75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F55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57D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D78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22F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F00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3FD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FA9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701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03BE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699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9A6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A85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A40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14.37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5C6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A4C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016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417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863E8">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55B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441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999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042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43D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14.37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362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24C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AD9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5D8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0DC5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768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EF7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A09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22A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58A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9B9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D6A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277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616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7909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0B9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89C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5DB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0C8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490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6DB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D22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031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796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337B5">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F5C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362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799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2396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2783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86E08">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6845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43A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38B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6B022">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D7E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0A5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ED9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484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D3E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A0B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E4C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EA9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4CA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0FC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A74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28E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3A07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CA2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07B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92C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16B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22E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6FC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C04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3DFC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C84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79B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2C5F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78014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212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BC8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EDF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87B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081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48B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2FC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8E5F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C6D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D30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6F4E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D69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0123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602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3DA7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9F3E8">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2743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B7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9B5619">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其他工资及附加支出及时、足额发放。预算执行中不存在无故拖延、错发、误发的情况发生，也无超范围发放等违纪记录情况发生。预算编制科学合理，减少结余资金。从产出、效益、满意度指标等进行了以上打分，预算执行率100%，执行情况良好，自评得分100分。</w:t>
            </w:r>
          </w:p>
        </w:tc>
      </w:tr>
      <w:tr w14:paraId="6AE9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575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085A4F">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0509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06E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D53132">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637B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5E4E2">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A59EA3">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571E7857">
      <w:pPr>
        <w:rPr>
          <w:rFonts w:hint="eastAsia"/>
        </w:rPr>
      </w:pPr>
      <w:r>
        <w:rPr>
          <w:rFonts w:hint="eastAsia"/>
        </w:rPr>
        <w:br w:type="page"/>
      </w:r>
    </w:p>
    <w:p w14:paraId="568127FE">
      <w:pPr>
        <w:rPr>
          <w:rFonts w:hint="eastAsia"/>
        </w:rPr>
      </w:pP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9"/>
        <w:gridCol w:w="993"/>
        <w:gridCol w:w="881"/>
        <w:gridCol w:w="1124"/>
        <w:gridCol w:w="621"/>
        <w:gridCol w:w="629"/>
        <w:gridCol w:w="621"/>
        <w:gridCol w:w="1452"/>
        <w:gridCol w:w="638"/>
        <w:gridCol w:w="638"/>
        <w:gridCol w:w="982"/>
      </w:tblGrid>
      <w:tr w14:paraId="0B92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E0BAE8">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3FC92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B3B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99D6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51340024R000010721454-州本级其他工资及附加支出（事业）</w:t>
            </w:r>
          </w:p>
        </w:tc>
      </w:tr>
      <w:tr w14:paraId="0563B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469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9A87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28CE0A26">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801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331A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6D3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81D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756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BBF90D">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012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3483C">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F896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3F2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3FEBEE">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3B72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2E051">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3D5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1CE49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定额定编逐人核定。保障其他工资及附加支出及时、足额发放。预算执行中不存在无故拖延、错发、误发的情况发生，也无超范围发放等违纪记录情况发生。预算编制科学合理，减少结余资金。</w:t>
            </w:r>
          </w:p>
        </w:tc>
      </w:tr>
      <w:tr w14:paraId="119F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565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342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209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87A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803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66C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7D7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F9B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44E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0E34F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A56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BB0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A4E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51E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B08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6E2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BBB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04A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7B50D">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409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E76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6B9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089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949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2F1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15C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80E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AA5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566D9">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2DB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FDC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E13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D12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AC7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E75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18A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8B0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E55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C7A30">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C35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459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C68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E2E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53C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7EC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7D8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EF3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DA3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30D3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295C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C06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772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2835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8DCC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BDAA3">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6E8C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16C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14B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D469B">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C66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4A9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AA7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024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2C9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A12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FA4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7E6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E64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BAC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669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10E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69BB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296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F81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274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8F1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402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160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D1C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5FF37">
            <w:pPr>
              <w:keepNext w:val="0"/>
              <w:keepLines w:val="0"/>
              <w:suppressLineNumbers w:val="0"/>
              <w:spacing w:before="0" w:beforeAutospacing="0" w:after="0" w:afterAutospacing="0"/>
              <w:ind w:left="0" w:right="0"/>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4DC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A44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BC17C">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1526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2C3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037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600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3A6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62E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522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CEB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D5704">
            <w:pPr>
              <w:keepNext w:val="0"/>
              <w:keepLines w:val="0"/>
              <w:suppressLineNumbers w:val="0"/>
              <w:spacing w:before="0" w:beforeAutospacing="0" w:after="0" w:afterAutospacing="0"/>
              <w:ind w:left="0" w:right="0"/>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D31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94A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85CF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740E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3140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B7E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C6C5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3E7CC">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5FB6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357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C7B6E1">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其他工资及附加支出及时、足额发放。预算执行中不存在无故拖延、错发、误发的情况发生，也无超范围发放等违纪记录情况发生。预算编制科学合理，减少结余资金。从产出、效益、满意度指标等进行了以上打分，预算执行率100%，执行情况良好，自评得分100分。</w:t>
            </w:r>
          </w:p>
        </w:tc>
      </w:tr>
      <w:tr w14:paraId="6CE7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BE4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029F0E">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111F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5C8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C5DBF9">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6B7DD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0EB513">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678CDA">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327D8568">
      <w:pPr>
        <w:rPr>
          <w:rFonts w:hint="eastAsia"/>
        </w:rPr>
      </w:pPr>
      <w:r>
        <w:rPr>
          <w:rFonts w:hint="eastAsia"/>
        </w:rPr>
        <w:br w:type="page"/>
      </w:r>
    </w:p>
    <w:p w14:paraId="566444A2">
      <w:pPr>
        <w:rPr>
          <w:rFonts w:hint="eastAsia"/>
        </w:rPr>
      </w:pP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977"/>
        <w:gridCol w:w="939"/>
        <w:gridCol w:w="1174"/>
        <w:gridCol w:w="612"/>
        <w:gridCol w:w="624"/>
        <w:gridCol w:w="612"/>
        <w:gridCol w:w="1429"/>
        <w:gridCol w:w="632"/>
        <w:gridCol w:w="632"/>
        <w:gridCol w:w="960"/>
      </w:tblGrid>
      <w:tr w14:paraId="3C92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66FC70">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68B2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F4E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76F4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51340024R000010721466-州本级离退休（职）人员经费（行政）</w:t>
            </w:r>
          </w:p>
        </w:tc>
      </w:tr>
      <w:tr w14:paraId="4566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C52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7E0B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43051006">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1E1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60F40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ACD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98E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17F8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0EB722">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F5F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25B99">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4D6B6">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CA21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043477">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5C02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ABCF0">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B19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2F09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严格执行相关政策，定额定编逐人核定。保障离退休人员经费及时、足额发放。预算执行中不存在无故拖延、错发、误发的情况发生，也无超范围发放等违纪记录情况发生。预算编制科学合理，减少结余资金。</w:t>
            </w:r>
          </w:p>
        </w:tc>
      </w:tr>
      <w:tr w14:paraId="2519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01E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945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4A3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0AE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5C0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90A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681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7A6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90E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6AF1A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62F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C75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F5C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1A7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17.76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F8D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A0C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8BA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C82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64403">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BA4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554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2AE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406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743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17.76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3125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8B9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6A8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062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0CD61">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2DA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0D0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B4A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F3D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340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C19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5B0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84C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CE6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5BB4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A92E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668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8C0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7A8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C4C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E45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D4E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C99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1E2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9E2A0">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AEBB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BD7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599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B7DA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2081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0092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A040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C85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3F5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50122">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8C4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BD7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FC1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44F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A77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4E5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F75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434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6DD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ABF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CC4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AF4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5511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552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E6E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E90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C5B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ECD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912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264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F7BA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DA8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F6E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14A5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737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98CD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C79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963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DA5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35E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1DE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196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170B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839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7D9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E8AE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3AB6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C88A4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ED4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11A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DA6B9">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5240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30F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C899F5">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离退休人员经费及时、足额发放。预算执行中不存在无故拖延、错发、误发的情况发生，也无超范围发放等违纪记录情况发生。预算编制科学合理，减少结余资金。从产出、效益、满意度指标等进行了以上打分，预算执行率100%，执行情况良好，自评得分100分。</w:t>
            </w:r>
          </w:p>
        </w:tc>
      </w:tr>
      <w:tr w14:paraId="36E5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0C6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664B87">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6587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91D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BCF5F1">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3BA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7663FE">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F66B03">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6E4E82DC">
      <w:pPr>
        <w:rPr>
          <w:rFonts w:hint="eastAsia"/>
        </w:rPr>
      </w:pPr>
      <w:r>
        <w:rPr>
          <w:rFonts w:hint="eastAsia"/>
        </w:rPr>
        <w:br w:type="page"/>
      </w:r>
    </w:p>
    <w:p w14:paraId="670DF6FA">
      <w:pPr>
        <w:rPr>
          <w:rFonts w:hint="eastAsia"/>
        </w:rPr>
      </w:pP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9"/>
        <w:gridCol w:w="993"/>
        <w:gridCol w:w="881"/>
        <w:gridCol w:w="1124"/>
        <w:gridCol w:w="621"/>
        <w:gridCol w:w="629"/>
        <w:gridCol w:w="621"/>
        <w:gridCol w:w="1452"/>
        <w:gridCol w:w="638"/>
        <w:gridCol w:w="638"/>
        <w:gridCol w:w="982"/>
      </w:tblGrid>
      <w:tr w14:paraId="6BBD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7A2346">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7524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627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9AB7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51340024R000010721470-州本级离退休（职）人员经费（事业）</w:t>
            </w:r>
          </w:p>
        </w:tc>
      </w:tr>
      <w:tr w14:paraId="6442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AC1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7EED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00F4D718">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CC3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2DC1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945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0BD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27B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C48B24">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71C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1E8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EDB9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FC42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20261D">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46F3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ED26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B8A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A019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严格执行相关政策，定额定编逐人核定。保障离退休人员经费及时、足额发放。预算执行中不存在无故拖延、错发、误发的情况发生，也无超范围发放等违纪记录情况发生。预算编制科学合理，减少结余资金。</w:t>
            </w:r>
          </w:p>
        </w:tc>
      </w:tr>
      <w:tr w14:paraId="13E1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EBC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387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A26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BE2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91C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F49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D4C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2D3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821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41AA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7C3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F49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CE6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60A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0.38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7A5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DE9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B41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CEBD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7814B">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04D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948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917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C57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93C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0.38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F84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6A8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F3D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7D0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C77B9">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159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A4F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1FA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9C6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476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2DD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0FF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ABB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C48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885D1">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97D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37E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A1D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B6E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252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420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79E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D6D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969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09F6D">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E60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227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AA4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D1ED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9399C">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44C3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9231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7EC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4EA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2C64">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35F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796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2DA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0EB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543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B71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F60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E60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5EB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FE1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A16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118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44FC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284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D38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CBA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937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C56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87C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EE2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81C1A">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C2A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3DC67">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73F8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44FC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7FE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290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2FC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69C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76A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B37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EC9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6FF4C">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4B6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3BF53">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CA72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61E0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4388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C1E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3D8F0">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7B81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7484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66F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90C445">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离退休人员经费及时、足额发放。预算执行中不存在无故拖延、错发、误发的情况发生，也无超范围发放等违纪记录情况发生。预算编制科学合理，减少结余资金。从产出、效益、满意度指标等进行了以上打分，预算执行率100%，执行情况良好，自评得分100分。</w:t>
            </w:r>
          </w:p>
        </w:tc>
      </w:tr>
      <w:tr w14:paraId="2B3E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588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99734F">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5A67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1EE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319985">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14FA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8B605A">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F7C3D8">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3FF5A662">
      <w:pPr>
        <w:rPr>
          <w:rFonts w:hint="eastAsia"/>
        </w:rPr>
      </w:pPr>
      <w:r>
        <w:rPr>
          <w:rFonts w:hint="eastAsia"/>
        </w:rPr>
        <w:br w:type="page"/>
      </w:r>
    </w:p>
    <w:tbl>
      <w:tblPr>
        <w:tblStyle w:val="18"/>
        <w:tblW w:w="10536" w:type="dxa"/>
        <w:tblInd w:w="-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960"/>
        <w:gridCol w:w="1216"/>
        <w:gridCol w:w="1064"/>
        <w:gridCol w:w="576"/>
        <w:gridCol w:w="1476"/>
        <w:gridCol w:w="672"/>
        <w:gridCol w:w="1807"/>
        <w:gridCol w:w="605"/>
        <w:gridCol w:w="612"/>
        <w:gridCol w:w="972"/>
      </w:tblGrid>
      <w:tr w14:paraId="2AF5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10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27D4A8">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部门预算项目支出绩效自评表（2024年度）</w:t>
            </w:r>
          </w:p>
        </w:tc>
      </w:tr>
      <w:tr w14:paraId="5B87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2B3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D015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51340024T000010558143-科创中国.天府科技云服务大会</w:t>
            </w:r>
          </w:p>
        </w:tc>
      </w:tr>
      <w:tr w14:paraId="7F70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0BA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42FF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2479" w:type="dxa"/>
            <w:gridSpan w:val="2"/>
            <w:tcBorders>
              <w:top w:val="nil"/>
              <w:left w:val="nil"/>
              <w:bottom w:val="nil"/>
              <w:right w:val="nil"/>
            </w:tcBorders>
            <w:shd w:val="clear" w:color="auto" w:fill="auto"/>
            <w:vAlign w:val="center"/>
          </w:tcPr>
          <w:p w14:paraId="258A8E00">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239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5DE2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1E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DB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7DB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787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3D0E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8E8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B13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4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C8ED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创会”是省科协在中国科协指导下联合省委组织部、省发改委等22家省级单位（部门）共同主办的科技服务大会。“科创会”每年召开一次，大会依托天府科技云平台，通过线上线下相结合的方式推广一批重大高新技术、转化一批重大科技成果、攻克一批重大科技难题，服务科技创新体系建设，实现科技项目推荐发布、对接洽谈、现场签约、交易合作、跟踪服务、落地运用，促进凉山经济、社会高速发展。</w:t>
            </w:r>
          </w:p>
        </w:tc>
        <w:tc>
          <w:tcPr>
            <w:tcW w:w="4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3EE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科创会”每年召开一次，大会依托天府科技云平台，通过线上线下相结合的方式推广一批重大高新技术、转化一批重大科技成果、攻克一批重大科技难题，服务科技创新体系建设，实现科技项目推荐发布、对接洽谈、现场签约、交易合作、跟踪服务、落地运用，促进凉山经济、社会高速发展。</w:t>
            </w:r>
          </w:p>
        </w:tc>
      </w:tr>
      <w:tr w14:paraId="5FF7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679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1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F9E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根据项目个性指标设定为“征集参会项目不少于50项”、“获评优质项目不少于15项”。第三届科创会，共征集91个项目参会，凉山13个项目获评“特别推荐优质科创项目”、12个项目获评“重点推荐优质科创项目”，搭建了一个具有凉山特色的专属展区。超额完成任务。</w:t>
            </w:r>
          </w:p>
        </w:tc>
      </w:tr>
      <w:tr w14:paraId="3BE8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0C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5C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7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82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BA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64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2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7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A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7F0F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2AE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F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DC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95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AA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50.00</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E8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C7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6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AB4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6084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399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9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C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D2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CA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50.00</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EE2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8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F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FA6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0D60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54B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B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9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E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35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20C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2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5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5C0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78A3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AFB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E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A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7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87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AB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18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7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B50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3D960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320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1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ED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92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0F3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7C1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5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4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09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0BA0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C45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8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B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B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9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7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E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9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1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2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6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6527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03B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B6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6B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A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科创项目推介个数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5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8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2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D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0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6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33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3BAF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AEB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E8D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A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E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搭建线下展区行业合格率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7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6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B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F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8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C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EB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5E9E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AD8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A4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A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2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科创会完成时间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BA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1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年度1-5月</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CA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D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2024年1月</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B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B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DB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58C6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F8A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BC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3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7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科创会产生的社会效益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2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9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面向全省推广一批重大高新技术、转化一批重大科技成果、攻克一批重大科技难题，促成现场签约交易合作，促进凉山经济高速发展。</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09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4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面向全省推广一批重大高新技术、转化一批重大科技成果、攻克一批重大科技难题，促成现场签约交易合作，促进凉山经济高速发展。</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6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B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D1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4E1A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736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101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5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可持续影响指标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0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科创会社会影响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B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A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D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6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5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C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72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4C13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630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1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1C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2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科技工作者满意度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7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2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C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AF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0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31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06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4D63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33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3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A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4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预计科创会年所需费用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F4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E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4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8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9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D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A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825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3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724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8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1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BA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r>
      <w:tr w14:paraId="6FF5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6D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9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1B48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该项目目的筹办好第三届科创中国·天府科技云服务大会，全面深化天府科技云服务在凉山落地落实落细。凉山州科协积极筹办大会，推动天府科技云更广更快传播，为天府科技云在凉山落地落实落细起到了良好成效。自评得分100分。</w:t>
            </w:r>
          </w:p>
        </w:tc>
      </w:tr>
      <w:tr w14:paraId="37ED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0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9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A9D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项目类型比较单一，多以农业项目为主。</w:t>
            </w:r>
          </w:p>
        </w:tc>
      </w:tr>
      <w:tr w14:paraId="1EEF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0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9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6B5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加大征集力度，广泛征集各领域优秀典型项目。</w:t>
            </w:r>
          </w:p>
        </w:tc>
      </w:tr>
      <w:tr w14:paraId="3CAC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25D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项目负责人：余敏</w:t>
            </w:r>
          </w:p>
        </w:tc>
        <w:tc>
          <w:tcPr>
            <w:tcW w:w="61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E43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629FCF11">
      <w:pPr>
        <w:keepNext w:val="0"/>
        <w:keepLines w:val="0"/>
        <w:pageBreakBefore w:val="0"/>
        <w:kinsoku/>
        <w:wordWrap/>
        <w:overflowPunct/>
        <w:topLinePunct w:val="0"/>
        <w:autoSpaceDE/>
        <w:autoSpaceDN/>
        <w:bidi w:val="0"/>
        <w:adjustRightInd/>
        <w:snapToGrid/>
        <w:spacing w:line="180" w:lineRule="exact"/>
        <w:rPr>
          <w:rFonts w:hint="eastAsia"/>
        </w:rPr>
      </w:pPr>
      <w:r>
        <w:rPr>
          <w:rFonts w:hint="eastAsia"/>
        </w:rPr>
        <w:br w:type="page"/>
      </w:r>
    </w:p>
    <w:tbl>
      <w:tblPr>
        <w:tblStyle w:val="18"/>
        <w:tblW w:w="10248" w:type="dxa"/>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1020"/>
        <w:gridCol w:w="681"/>
        <w:gridCol w:w="1191"/>
        <w:gridCol w:w="612"/>
        <w:gridCol w:w="1080"/>
        <w:gridCol w:w="600"/>
        <w:gridCol w:w="1476"/>
        <w:gridCol w:w="1080"/>
        <w:gridCol w:w="960"/>
        <w:gridCol w:w="936"/>
      </w:tblGrid>
      <w:tr w14:paraId="1201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102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D7DD67">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部门预算项目支出绩效自评表（2024年度）</w:t>
            </w:r>
          </w:p>
        </w:tc>
      </w:tr>
      <w:tr w14:paraId="6C5F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8F1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6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8EFE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51340024T000010581447-“最美科技工作者”评选活动</w:t>
            </w:r>
          </w:p>
        </w:tc>
      </w:tr>
      <w:tr w14:paraId="6A66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E78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5D8F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476" w:type="dxa"/>
            <w:tcBorders>
              <w:top w:val="nil"/>
              <w:left w:val="nil"/>
              <w:bottom w:val="nil"/>
              <w:right w:val="nil"/>
            </w:tcBorders>
            <w:shd w:val="clear" w:color="auto" w:fill="auto"/>
            <w:vAlign w:val="center"/>
          </w:tcPr>
          <w:p w14:paraId="5C4562F9">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B10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210C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072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93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A45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971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498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35601">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C5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4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93D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过选定科技工作者日开展“最美科技工作者“”活动，意在大力弘扬新时代科学家精神，激发全州科技工作者荣誉感、自豪感、责任感，引导鼓励全州科技工作者勇做高水平科技自立自强排头兵，发挥科技创新助推凉山高质量发展。</w:t>
            </w:r>
          </w:p>
        </w:tc>
        <w:tc>
          <w:tcPr>
            <w:tcW w:w="44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9DD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5.30日科技工作者日完成开展“最美科技工作者”活动，实现了意在大力弘扬新时代科学家精神，激发全州科技工作者荣誉感、自豪感、责任感，引导鼓励全州科技工作者勇做高水平科技自立自强排头兵，发挥科技创新助推凉山高质量发展。</w:t>
            </w:r>
          </w:p>
        </w:tc>
      </w:tr>
      <w:tr w14:paraId="0710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28B38">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0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6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139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5.30日科技工作者日组织开展了“最美科技工作者”庆祝系列活动，搭建了舞台、LED屏等开展歌舞表演、科普宣传、义诊等。拍摄最美科技工作者</w:t>
            </w:r>
            <w:r>
              <w:rPr>
                <w:rFonts w:hint="eastAsia" w:ascii="宋体" w:hAnsi="宋体" w:cs="宋体"/>
                <w:i w:val="0"/>
                <w:iCs w:val="0"/>
                <w:color w:val="000000"/>
                <w:kern w:val="0"/>
                <w:sz w:val="18"/>
                <w:szCs w:val="18"/>
                <w:u w:val="none"/>
                <w:lang w:val="en-US" w:eastAsia="zh-CN" w:bidi="ar"/>
              </w:rPr>
              <w:t>纪</w:t>
            </w:r>
            <w:r>
              <w:rPr>
                <w:rFonts w:hint="default" w:ascii="宋体" w:hAnsi="宋体" w:eastAsia="宋体" w:cs="宋体"/>
                <w:i w:val="0"/>
                <w:iCs w:val="0"/>
                <w:color w:val="000000"/>
                <w:kern w:val="0"/>
                <w:sz w:val="18"/>
                <w:szCs w:val="18"/>
                <w:u w:val="none"/>
                <w:lang w:val="en-US" w:eastAsia="zh-CN" w:bidi="ar"/>
              </w:rPr>
              <w:t>录片《追光》等。弘扬了新时代科学家精神，激发全州科技工作者的荣誉感、自豪感、责任感，引导鼓励全州科技工作者勇做高水平科技自立自强排头兵。</w:t>
            </w:r>
          </w:p>
        </w:tc>
      </w:tr>
      <w:tr w14:paraId="59E3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343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2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8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8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6C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0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6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F7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4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35F7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185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7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7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25.00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B2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25.00</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19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9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4E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73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F0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57F8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C23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B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1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25.00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3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25.00</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FA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E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C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2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AE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3E44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26C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7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4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FE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E1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9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8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6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15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6B4CE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B19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1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B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C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FC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2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36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0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33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0BF1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8E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A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E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3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EF4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84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3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0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A28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428A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DE8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7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1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8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2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4D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6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1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6D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4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8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1CC9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048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D2E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B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C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“最美科技工作者”活动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DC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A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E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人数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A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1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7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B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6BCC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568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4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D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A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有资历的科技工作者</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0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9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有资历的科技工作者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6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0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有资历的科技工作者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B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0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8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050F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37F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9D5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2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3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“最美科技工作者”活动完成时间</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A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3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19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5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0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F1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C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FBC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BCD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7A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6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8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“最美科技工作者”活动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2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E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引导鼓励全州科技工作者勇做高水平科技自立自强排头兵，发挥科技创新助推凉山高质量发展。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C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C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引导鼓励全州科技工作者勇做高水平科技自立自强排头兵，发挥科技创新助推凉山高质量发展。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7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23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6E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38C7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79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23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F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可持续影响指标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B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“最美科技工作者”活动影响时间</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3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A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5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F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7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D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70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F7B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667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FC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8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8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科技工作者满意度</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9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58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5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E0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D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1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2E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18BA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55D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2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4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E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“最美科技工作者”活动时所需费用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3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1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C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8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3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E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9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0236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71F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C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B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A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r>
      <w:tr w14:paraId="1A2A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F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6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B48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力弘扬新时代科学家精神，激发全州科技工作者的荣誉感、自豪感、责任感，引导鼓励全州科技工作者勇做高水平科技自立自强排头兵，发挥科技创新助推凉山高质量发展。项目符合国家大政方针政策，预期社会效益比较显著，资金得到财政支持，属于可持续项目。综合以上情况，故自评扣分4分，得分96分。</w:t>
            </w:r>
          </w:p>
        </w:tc>
      </w:tr>
      <w:tr w14:paraId="6C65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2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6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3EC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对资金的预测不是十分精准。</w:t>
            </w:r>
          </w:p>
        </w:tc>
      </w:tr>
      <w:tr w14:paraId="773C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91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6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60A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今后做好调研等相关工作，力争做到精准预测。</w:t>
            </w:r>
          </w:p>
        </w:tc>
      </w:tr>
      <w:tr w14:paraId="1DC8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4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89A3BA">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项目负责人：吴家英</w:t>
            </w:r>
          </w:p>
        </w:tc>
        <w:tc>
          <w:tcPr>
            <w:tcW w:w="61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7D2579">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6BFCDBB2">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984"/>
        <w:gridCol w:w="809"/>
        <w:gridCol w:w="2429"/>
        <w:gridCol w:w="518"/>
        <w:gridCol w:w="547"/>
        <w:gridCol w:w="518"/>
        <w:gridCol w:w="1081"/>
        <w:gridCol w:w="517"/>
        <w:gridCol w:w="517"/>
        <w:gridCol w:w="667"/>
      </w:tblGrid>
      <w:tr w14:paraId="39C6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61A1A6">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72B0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032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2DCA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51340024Y000010282374-州本级定额公用经费（行政）</w:t>
            </w:r>
          </w:p>
        </w:tc>
      </w:tr>
      <w:tr w14:paraId="7F42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1E7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EA3D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7A1C0F9E">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029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5C28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47E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009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5256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623E9D">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D91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8520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E674D">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E7AF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A49553">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48B1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4C683">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B48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F05A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严格执行预算，日常公用经费按照“总量控制、计划管理”的要求从严控制行政经费。及时申请支用保障单位日常运转。</w:t>
            </w:r>
          </w:p>
        </w:tc>
      </w:tr>
      <w:tr w14:paraId="3F8F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34D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CC0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F48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D78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99A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143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0D1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0D3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325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2357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D3C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719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0DB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8E7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11.40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A69E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CD2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D8E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796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5E5A9">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48E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993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856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53C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F37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11.40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C67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A27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ABF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37F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31DCC">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C0F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9394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FAB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C93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645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945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F70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BE9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E9A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1F3BF">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9CB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E17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663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C20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A8F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009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CC1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B48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0BD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8CA2F">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173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1A3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2E1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ED4A7">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348B3">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88A6C">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53AC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CF1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43C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FD000">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45F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B55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05A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F61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F68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98B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774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B4F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81F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AC6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C32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0EB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0159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00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798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805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78E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CEE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44A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934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5551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494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190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83F4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53EE1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5C5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D64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410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6BD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642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519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349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2877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D92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307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A5A04">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1B9F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608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896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025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0DD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CCF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BB3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2FA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2A6B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A8B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C5F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E27F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480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B57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7BE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588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367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7AD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968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787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A227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30A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B4B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5AC4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143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898A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C0C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1AA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F442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4EDF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EE3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045207">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严格执行预算，日常公用经费按照“总量控制、计划管理”的要求从严控制行政经费，及时申请支用保障单位日常运转。从产出、效益指标进行了以上打分，预算执行率100%，执行情况良好，自评得分100分。</w:t>
            </w:r>
          </w:p>
        </w:tc>
      </w:tr>
      <w:tr w14:paraId="2BCC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190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19FE69">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ADC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9E8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2EA9DE">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3DB5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BE2979">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6A9F1E">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2DDA3B70">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992"/>
        <w:gridCol w:w="750"/>
        <w:gridCol w:w="2445"/>
        <w:gridCol w:w="526"/>
        <w:gridCol w:w="557"/>
        <w:gridCol w:w="526"/>
        <w:gridCol w:w="1097"/>
        <w:gridCol w:w="527"/>
        <w:gridCol w:w="527"/>
        <w:gridCol w:w="673"/>
      </w:tblGrid>
      <w:tr w14:paraId="485C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B3316A">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4953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F0C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0F7D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51340024Y000010282596-州本级定额公用经费（事业）</w:t>
            </w:r>
          </w:p>
        </w:tc>
      </w:tr>
      <w:tr w14:paraId="30BC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325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F8DC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32916513">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777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30F4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68C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CA5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997F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7749E1">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EC0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56D8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1D47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07B0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D52B2E">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657D2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1435C">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F8A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BCDB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严格执行预算，日常公用经费按照“总量控制、计划管理”的要求从严控制行政经费。及时申请支用保障单位日常运转。</w:t>
            </w:r>
          </w:p>
        </w:tc>
      </w:tr>
      <w:tr w14:paraId="054A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9C5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A06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B99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B18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09D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9E4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E30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C1A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56D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1F35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B82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6F9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CCE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5B0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3BD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09E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80E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151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62CB3">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CED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E09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391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D3B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31C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CD0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13F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A84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61C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68707">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F582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B52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E40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C35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61F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6D4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84A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9B4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EDE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0378E">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9C4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B58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1BE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9FE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F0A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252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92A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20D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BC5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1167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EBA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46B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BF1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44E6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894F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14114">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8D86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53D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187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6E4A4">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4DA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15E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F58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8AF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045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E65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C0F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25A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002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37C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33F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F7B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39BA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6EE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9EF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866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B9F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761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7B0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29D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DCC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494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5CC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BB6E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4D60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95A2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882F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CF9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B1B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202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D5A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A94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FA46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8F2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167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66174">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999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B70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F9C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02E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2CA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F16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6FF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9F1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5B71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08F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C40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6732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51DE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4272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DFF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CD3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E21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80B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5B2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6B2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1A2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3B9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189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0F2E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6600F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8458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B94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741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3F7F0">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1F3F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F14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41CDA6">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格执行预算，日常公用经费按照“总量控制、计划管理”的要求从严控制行政经费，及时申请支用保障单位日常运转。从产出、效益指标进行了以上打分，预算执行率100%，执行情况良好，自评得分100分。</w:t>
            </w:r>
          </w:p>
        </w:tc>
      </w:tr>
      <w:tr w14:paraId="2B4F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308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B90646">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362B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104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EAAFD0">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退休人员生活补助及时、足额发放。预算执行中不存在无故拖延、错发、误发的情况发生，也无超范围发放等违纪记录情况发生。预算编制科学合理，减少结余资金。从产出、效益、满意度指标等进行了以上打分，预算执行率100%，执行情况良好，自评得分100分。</w:t>
            </w:r>
          </w:p>
        </w:tc>
      </w:tr>
      <w:tr w14:paraId="7F69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ADE672">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1F3C96">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2C970784">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2"/>
        <w:gridCol w:w="887"/>
        <w:gridCol w:w="701"/>
        <w:gridCol w:w="2141"/>
        <w:gridCol w:w="490"/>
        <w:gridCol w:w="533"/>
        <w:gridCol w:w="490"/>
        <w:gridCol w:w="1002"/>
        <w:gridCol w:w="502"/>
        <w:gridCol w:w="502"/>
        <w:gridCol w:w="1418"/>
      </w:tblGrid>
      <w:tr w14:paraId="7AB0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999D78">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677B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3F0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6F41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51340024Y000010282983-州本级公务用车运行维护费（行政）</w:t>
            </w:r>
          </w:p>
        </w:tc>
      </w:tr>
      <w:tr w14:paraId="7258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F0E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CAD3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47544AF8">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F60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3572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8F9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F8B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B11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F5B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7A93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7EB69">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6D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830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33A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13A3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6D250">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67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3B3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按照相关规定定额编制公务用车运行维护费预算，并严格执行，保障单位日常工作运转。</w:t>
            </w:r>
          </w:p>
        </w:tc>
      </w:tr>
      <w:tr w14:paraId="57A8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9C9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E4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F6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9F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D2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98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E5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C5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A8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1AD54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B8E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5E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42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0F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7.16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60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88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15F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D0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58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历行节约、严格执行压减三公经费支出规定，将结余经费上缴财政</w:t>
            </w:r>
          </w:p>
        </w:tc>
      </w:tr>
      <w:tr w14:paraId="51469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979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9D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80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95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7.16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6C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AD8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C5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67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F26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14:paraId="2112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A66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85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DC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43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FC7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1F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17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01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6B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14:paraId="7380E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2AD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E1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CA4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3C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2C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C3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70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771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12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14:paraId="2596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218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8E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54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20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FB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DD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44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88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52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14:paraId="7EA0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CD0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5D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9F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00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6A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A9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85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4F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BC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07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1B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5D1C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1E8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973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0D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3E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97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B5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B1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0FB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49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0B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5B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14:paraId="5615B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BE3C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26C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93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0A1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DC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29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5A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EA8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D4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ED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56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14:paraId="6C43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D59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973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16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CB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7D8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8C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5F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B33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62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CC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04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14:paraId="273C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4002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F7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91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E66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3D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B0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5C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798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AF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0B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65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14:paraId="5F03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852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ED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55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F27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r>
      <w:tr w14:paraId="1CC9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FF3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5FC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严格执行预算，定额公用经费按照“总量控制、计划管理”的要求和厉行节约从严控制三公经费。及时申请支用保障单位日常运转。从产出、效益指标进行了以上打分，预算执行率100%，执行情况良好，自评得分100分。</w:t>
            </w:r>
          </w:p>
        </w:tc>
      </w:tr>
      <w:tr w14:paraId="1E6A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447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9F7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65F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4B6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FF4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105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CD1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3AC7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173E6EAB">
      <w:pPr>
        <w:pStyle w:val="2"/>
        <w:rPr>
          <w:rFonts w:hint="eastAsia"/>
        </w:rPr>
      </w:pPr>
    </w:p>
    <w:p w14:paraId="301F697F">
      <w:pPr>
        <w:rPr>
          <w:rFonts w:hint="eastAsia"/>
        </w:rPr>
      </w:pPr>
      <w:r>
        <w:rPr>
          <w:rFonts w:hint="eastAsia"/>
        </w:rPr>
        <w:br w:type="page"/>
      </w:r>
    </w:p>
    <w:tbl>
      <w:tblPr>
        <w:tblStyle w:val="18"/>
        <w:tblW w:w="971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998"/>
        <w:gridCol w:w="814"/>
        <w:gridCol w:w="2473"/>
        <w:gridCol w:w="523"/>
        <w:gridCol w:w="549"/>
        <w:gridCol w:w="523"/>
        <w:gridCol w:w="1057"/>
        <w:gridCol w:w="507"/>
        <w:gridCol w:w="438"/>
        <w:gridCol w:w="904"/>
      </w:tblGrid>
      <w:tr w14:paraId="4027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97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BB5E84">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6776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1031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78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AB30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51340024Y000010283058-州本级其他公用经费（行政）</w:t>
            </w:r>
          </w:p>
        </w:tc>
      </w:tr>
      <w:tr w14:paraId="6B6D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94D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0CF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246DDAEC">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39A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4B63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F36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505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0FD3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2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8D2317">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986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1336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CCDC0">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E726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777168">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B48C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7674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AAB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8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CA96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严格执行预算，日常公用经费按照“总量控制、计划管理”的要求从严控制行政经费。及时申请支用保障单位日常运转。</w:t>
            </w:r>
          </w:p>
        </w:tc>
      </w:tr>
      <w:tr w14:paraId="55F6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BF1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1AC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505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43B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262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898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1E0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D97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E9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220E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3FF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FBE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A40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5DE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12.78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D9E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1E7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B11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34C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12D16">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EB3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68B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6F6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D8D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709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12.78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D2C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2EC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C68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1FE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E5D4F">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11D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4A2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40E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A67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2EA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71B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F72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721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FA6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1B4C5">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E43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34A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73B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096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75C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F92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5C7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465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231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DFAE9">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DB7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C1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163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BDE4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BEF9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D9D3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6173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053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0C4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6EE4E">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0D5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FBF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7CD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88F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26B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13D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FDF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992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4EA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3D4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C99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45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7CF1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F1A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13D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90C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4A6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2D9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A19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38A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618E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81B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905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927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47AA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10C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C08C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BA4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8BB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3C3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E77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FA9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3DCE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BC9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56F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F82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E12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948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249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A72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A54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370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EF9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A87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7B61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6B6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08E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957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57E18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34D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CAB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A19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659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3D4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85A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F02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994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4B0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C06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F50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7D4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10F9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54B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BB35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A14D">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7065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1D5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87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F6A082">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严格执行预算，日常公用经费按照“总量控制、计划管理”的要求从严控制行政经费，及时申请支用保障单位日常运转。从产出、效益进行了以上打分，预算执行率100%，执行情况良好，自评得分100分。</w:t>
            </w:r>
          </w:p>
        </w:tc>
      </w:tr>
      <w:tr w14:paraId="1F89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079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87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5591DD">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9DC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CFD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87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E3081B">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B99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D677C3">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40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9D6A46">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56DB69F4">
      <w:pPr>
        <w:rPr>
          <w:rFonts w:hint="eastAsia"/>
        </w:rPr>
      </w:pPr>
      <w:r>
        <w:rPr>
          <w:rFonts w:hint="eastAsia"/>
        </w:rPr>
        <w:br w:type="page"/>
      </w:r>
    </w:p>
    <w:tbl>
      <w:tblPr>
        <w:tblStyle w:val="18"/>
        <w:tblW w:w="98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6"/>
        <w:gridCol w:w="1001"/>
        <w:gridCol w:w="746"/>
        <w:gridCol w:w="2480"/>
        <w:gridCol w:w="523"/>
        <w:gridCol w:w="550"/>
        <w:gridCol w:w="523"/>
        <w:gridCol w:w="1058"/>
        <w:gridCol w:w="507"/>
        <w:gridCol w:w="507"/>
        <w:gridCol w:w="1069"/>
      </w:tblGrid>
      <w:tr w14:paraId="187AC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98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9EC243">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0A3C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3D0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79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CF1B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51340024Y000010283360-州本级在职人员工会经费、福利费（行政）</w:t>
            </w:r>
          </w:p>
        </w:tc>
      </w:tr>
      <w:tr w14:paraId="431D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599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7C6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6D6DF66A">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27C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6917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7E8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6D3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9070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1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188EF6">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F6B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19DF1">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4703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C4FD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1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641D9D">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318D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346C9">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05F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41A5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按规定比例计提职工年度工会经费、福利费并及时申请在预算额度中支用，不形成沉淀资金。</w:t>
            </w:r>
          </w:p>
        </w:tc>
      </w:tr>
      <w:tr w14:paraId="53C30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A00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013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4BA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732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C27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078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3F8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90A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6D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3325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124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B8E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D6B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E02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3.87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AB6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F6E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D30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482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2AC6F">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B24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A2F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EA8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9BD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1A3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3.87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AD6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F1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9F5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0D5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B30C2">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5FD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ECB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C15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0C2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705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E0C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666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929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9B5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7DADF">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733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A33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BCC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F63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72E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145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F14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00A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E14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1ECD4">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3EB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C5A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1FF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69B8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3C2CE">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5D50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345A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441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99E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AECDE">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FA3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D30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49C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B8A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D6A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B69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6D7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3C7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7E2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516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4E9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35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632A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383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9DF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DD0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955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9B7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656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B05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A003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616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D68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7B5A">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78EC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0E4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9F4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75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FFC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1B0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E78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6D6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1E7E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420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528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290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67192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AEB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7CC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DE7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1AB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861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4CB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053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1F7C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D91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F7B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5AE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4309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AF4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EA8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2D9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5AE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598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0AD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8BE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8833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C5C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202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0C6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603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0702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336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9EC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F458">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657D3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23B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89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6427EB">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按规定比例计提职工年度工会经费、福利费并及时申请在预算额度中支用，不形成沉淀资金。从产出、效益进行了以上打分，预算执行率100%，自评得分100分。</w:t>
            </w:r>
          </w:p>
        </w:tc>
      </w:tr>
      <w:tr w14:paraId="36DC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C7A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89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41A5F4">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143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EE7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89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20F13D">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536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B1E3A2">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42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448600">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459B07BF">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0"/>
        <w:gridCol w:w="993"/>
        <w:gridCol w:w="743"/>
        <w:gridCol w:w="2457"/>
        <w:gridCol w:w="521"/>
        <w:gridCol w:w="549"/>
        <w:gridCol w:w="521"/>
        <w:gridCol w:w="1086"/>
        <w:gridCol w:w="517"/>
        <w:gridCol w:w="517"/>
        <w:gridCol w:w="674"/>
      </w:tblGrid>
      <w:tr w14:paraId="2450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39B45C">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0DE8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E15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3C8B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51340024Y000010284429-州本级在职人员工会经费、福利费（事业）</w:t>
            </w:r>
          </w:p>
        </w:tc>
      </w:tr>
      <w:tr w14:paraId="3420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11A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6934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4CA9555E">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5C9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19BA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3E5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7B8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13B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7D445E">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825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33F5F">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2D18F">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E5BF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C9583B">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574A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6AD9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036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A606A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按规定比例计提职工年度工会经费、福利费并及时申请在预算额度中支用，不形成沉淀资金。</w:t>
            </w:r>
          </w:p>
        </w:tc>
      </w:tr>
      <w:tr w14:paraId="08E4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667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A5E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25B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15A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E1A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BC2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BD3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E4E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3F0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5311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D0A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8BE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E86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8B9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997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304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401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222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7B236">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AD2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568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122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5C9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9A2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F33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55B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BDC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C50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82F99">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1D00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E20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5CA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94E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E3E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58D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020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6D5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914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F3F1F">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B5A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132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35B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6DC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CDA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370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C83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E7C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C83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54B2C">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3BB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75A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048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653A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E013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2B22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7DE5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97A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791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712F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583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89F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DED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523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FBA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197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63E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C73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094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922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3CE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A36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6112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D76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143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393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186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69C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644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055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1412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DAF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D40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400B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3B9BB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68F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58A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A5B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C4A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A3D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70C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EB2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610E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F53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A20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B6934">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241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F7D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9DF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58D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AA3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1ED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C40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A04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1F72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446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130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D262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4B04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105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C85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60F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51F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FEF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32A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C3F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6A4E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CA4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C1F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511C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4F7F1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3CB8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28C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CF81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D669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466C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E03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1C3962">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按规定比例计提职工年度工会经费、福利费并及时申请在预算额度中支用，不形成沉淀资金。从产出、效益指标进行了以上打分，预算执行率100%，自评得分100分。</w:t>
            </w:r>
          </w:p>
        </w:tc>
      </w:tr>
      <w:tr w14:paraId="6553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4F4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3FC3F4">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6A1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08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F31D99">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92E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F8AB98">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0C177E">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70D620AB">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3"/>
        <w:gridCol w:w="993"/>
        <w:gridCol w:w="744"/>
        <w:gridCol w:w="2456"/>
        <w:gridCol w:w="522"/>
        <w:gridCol w:w="550"/>
        <w:gridCol w:w="522"/>
        <w:gridCol w:w="1088"/>
        <w:gridCol w:w="518"/>
        <w:gridCol w:w="519"/>
        <w:gridCol w:w="673"/>
      </w:tblGrid>
      <w:tr w14:paraId="0D37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93371F">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647E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08A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CA8D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51340024Y000010284485-州本级离休人员公用经费（行政离休）</w:t>
            </w:r>
          </w:p>
        </w:tc>
      </w:tr>
      <w:tr w14:paraId="00A2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AAD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4FA7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3802C94A">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D01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747A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BCD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E63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9E7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593355">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0FF1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0D65C">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FB0F8">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84E6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D77BDC">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3942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7DB41">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C61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AC70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严格执行预算，定额公用经费按照“总量控制、计划管理”的要求从严控制行政经费。厉行节约把控离休人员公用开支，及时申请支用保障日常活动开展。</w:t>
            </w:r>
          </w:p>
        </w:tc>
      </w:tr>
      <w:tr w14:paraId="2C8F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CDA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1C0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DD4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54C7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973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14D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94D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7A2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EE8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612F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3B5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7D4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9ED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58B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0.45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F41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3AE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F9B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36B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721EC">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B823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96C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CEA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71D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9DD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0.45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3F4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75A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9C6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B29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9CFAA">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753E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500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EDF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C00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73A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7F2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AF5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228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AB5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603C4">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D4F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9CB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1FF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C33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2EA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1AE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DDA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357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701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DC6E4">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4409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E9D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697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C44A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DE09A">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5FE9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3662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F6E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ECA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995A5">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317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415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29B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D54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633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FCA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490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3FD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3E7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7FD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C9D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BBD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4B08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5D7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F2C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0E3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947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0BD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599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8EA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4865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FBF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908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FE43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7B59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82B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3E2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F4F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084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E16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F8C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67F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A199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F84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F4D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711E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5802A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816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6B8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D16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2DE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B33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B53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290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C878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411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B8C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168F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593B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FD0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D9E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375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0AD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A4C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AEE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75B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689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5AA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3D1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7308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101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139A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4D6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76C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CD34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1BAC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BD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6E0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严格执行预算，定额公用经费按照“总量控制、计划管理”的要求从严控制行政经费。厉行节约把控离休人员公用经费开支，及时申请支用保障日常活动开展。从产出、效益指标进行了以上打分，预算执行率100%，执行情况良好，自评得分100分。</w:t>
            </w:r>
          </w:p>
        </w:tc>
      </w:tr>
      <w:tr w14:paraId="630F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CD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261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F8D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A5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75B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DDD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1C9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C29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616ADD4B">
      <w:pPr>
        <w:keepNext w:val="0"/>
        <w:keepLines w:val="0"/>
        <w:pageBreakBefore w:val="0"/>
        <w:kinsoku/>
        <w:wordWrap/>
        <w:overflowPunct/>
        <w:topLinePunct w:val="0"/>
        <w:autoSpaceDE/>
        <w:autoSpaceDN/>
        <w:bidi w:val="0"/>
        <w:adjustRightInd/>
        <w:snapToGrid/>
        <w:spacing w:line="180" w:lineRule="exact"/>
        <w:rPr>
          <w:rFonts w:hint="eastAsia"/>
        </w:rPr>
      </w:pPr>
      <w:r>
        <w:rPr>
          <w:rFonts w:hint="eastAsia"/>
        </w:rPr>
        <w:br w:type="page"/>
      </w:r>
    </w:p>
    <w:tbl>
      <w:tblPr>
        <w:tblStyle w:val="18"/>
        <w:tblW w:w="972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7"/>
        <w:gridCol w:w="1001"/>
        <w:gridCol w:w="746"/>
        <w:gridCol w:w="2481"/>
        <w:gridCol w:w="523"/>
        <w:gridCol w:w="550"/>
        <w:gridCol w:w="523"/>
        <w:gridCol w:w="1058"/>
        <w:gridCol w:w="507"/>
        <w:gridCol w:w="507"/>
        <w:gridCol w:w="899"/>
      </w:tblGrid>
      <w:tr w14:paraId="79150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97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160256">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6CEA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1FF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78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C273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51340024Y000010284569-州本级退休人员公用经费（行政退休）</w:t>
            </w:r>
          </w:p>
        </w:tc>
      </w:tr>
      <w:tr w14:paraId="68F3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538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83BE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1DAE6A03">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A60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6728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6F6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2EE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5D5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831555">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E93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3F119">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669C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DCB2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5F1014">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2C31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03B9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268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8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4C71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严格执行预算，定额公用经费按照“总量控制、计划管理”的要求从严控制行政经费。厉行节约把控退休人员公用开支，及时申请支用保障日常活动开展。</w:t>
            </w:r>
          </w:p>
        </w:tc>
      </w:tr>
      <w:tr w14:paraId="3BE6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9B7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BEE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8E8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52E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E95A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BB6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DA4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BBC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83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5304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EE9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BF7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484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DA7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3.75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725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1E7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B80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25C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BF4E4">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FC7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B9E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B55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A62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787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3.75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ED0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3B7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86B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CAD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A8BE8">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369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EF4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947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561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F17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52F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D40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1C0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93E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97834">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709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06B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4CF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C8C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3F5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B7E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A27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AAB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A2E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4E566">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C43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515B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A3F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4016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C34B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72AC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3F7AC">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BA8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6F5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CCDF8">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424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912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D31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A2F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D2B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50C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28B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345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A97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FA6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171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21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7521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262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144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55D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C9C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F6A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979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042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BC35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29C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CC4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D27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836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85DE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AABE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2AE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ADB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D82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F33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4D6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7A76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697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C46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0CE9">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44D3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1D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CE0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92E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F27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4DD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061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192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C36A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0E5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C9E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43A3">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7AAE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71A7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275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712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34A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5AA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C0A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149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2684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D5D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595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B84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3C47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8D9F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D1A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722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9C6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487FA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F4E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88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9A63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严格执行预算，定额公用经费按照“总量控制、计划管理”的要求从严控制行政经费。厉行节约把控退休人员公用开支，及时申请支用保障日常活动开展。从产出、效益指标进行了以上打分，预算执行率100%，执行情况良好，自评得分100分。</w:t>
            </w:r>
          </w:p>
        </w:tc>
      </w:tr>
      <w:tr w14:paraId="61D3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25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88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A862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440E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F0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88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B6E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140C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FE0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5A2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53B6F23F">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0"/>
        <w:gridCol w:w="993"/>
        <w:gridCol w:w="743"/>
        <w:gridCol w:w="2457"/>
        <w:gridCol w:w="521"/>
        <w:gridCol w:w="549"/>
        <w:gridCol w:w="521"/>
        <w:gridCol w:w="1086"/>
        <w:gridCol w:w="517"/>
        <w:gridCol w:w="517"/>
        <w:gridCol w:w="674"/>
      </w:tblGrid>
      <w:tr w14:paraId="0715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AC4A1F">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187A4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47A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6457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51340024Y000010284590-州本级退休人员公用经费（事业退休）</w:t>
            </w:r>
          </w:p>
        </w:tc>
      </w:tr>
      <w:tr w14:paraId="0A59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27B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0211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177E07C1">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00B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78AC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339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C57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BECD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43BFC7">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037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C3F9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FD79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6144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C460F8">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2A98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A9FBE">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7C9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B433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严格执行预算，定额公用经费按照“总量控制、计划管理”的要求从严控制行政经费。厉行节约把控退休人员公用开支，及时申请支用保障日常活动开展。</w:t>
            </w:r>
          </w:p>
        </w:tc>
      </w:tr>
      <w:tr w14:paraId="14B1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410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CAE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719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0F5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FB5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62E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EB2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C7F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AE0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684C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D20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2F9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CC7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395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0.17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4DF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224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E92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786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7D73E">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D8C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48D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EB7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4C8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951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0.17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D35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F5D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A67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614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FC45B">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E8B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90B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683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675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482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9F5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2E3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3A9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697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2D87C">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BE1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C1E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4BB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0E5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0F5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391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501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DE5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067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DC6D8">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5EA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080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192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1B740">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4643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2380C1">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69DD4">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91A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099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E18B2">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EFE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14D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514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D53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4D7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DCF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5BB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532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C5B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2EF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6F6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AE3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13A8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7E8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CA9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02B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E66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3EF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581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7F0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933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53B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E84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0B15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E77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94D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C1D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05F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6FF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B26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3AC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4B0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B9B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00C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1DB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5A444">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3874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9E6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4FF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D46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1E6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DB1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811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97E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40DA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C9F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75A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FF3C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181B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FE2C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122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EFD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87A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734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58E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630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9EAD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E6B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1FF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D51A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A568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10F1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604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F16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FC7F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728B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08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D27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严格执行预算，定额公用经费按照“总量控制、计划管理”的要求从严控制行政经费。厉行节约把控退休人员公用开支，及时申请支用保障日常活动开展。从产出、效益指标进行了以上打分，预算执行率100%，执行情况良好，自评得分100分。</w:t>
            </w:r>
          </w:p>
        </w:tc>
      </w:tr>
      <w:tr w14:paraId="23BE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D5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A51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29D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36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870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C9D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4DE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59C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596D61DD">
      <w:pPr>
        <w:rPr>
          <w:rFonts w:hint="eastAsia"/>
        </w:rPr>
      </w:pPr>
      <w:r>
        <w:rPr>
          <w:rFonts w:hint="eastAsia"/>
        </w:rPr>
        <w:br w:type="page"/>
      </w: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0"/>
        <w:gridCol w:w="993"/>
        <w:gridCol w:w="743"/>
        <w:gridCol w:w="2457"/>
        <w:gridCol w:w="521"/>
        <w:gridCol w:w="549"/>
        <w:gridCol w:w="521"/>
        <w:gridCol w:w="1086"/>
        <w:gridCol w:w="517"/>
        <w:gridCol w:w="517"/>
        <w:gridCol w:w="674"/>
      </w:tblGrid>
      <w:tr w14:paraId="352A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951E4B">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5734A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124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A8C0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51340024Y000010284631-州本级体检经费（行政）</w:t>
            </w:r>
          </w:p>
        </w:tc>
      </w:tr>
      <w:tr w14:paraId="095A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A76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7E3B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0" w:type="auto"/>
            <w:tcBorders>
              <w:top w:val="nil"/>
              <w:left w:val="nil"/>
              <w:bottom w:val="nil"/>
              <w:right w:val="nil"/>
            </w:tcBorders>
            <w:shd w:val="clear" w:color="auto" w:fill="auto"/>
            <w:vAlign w:val="center"/>
          </w:tcPr>
          <w:p w14:paraId="0E16C6EA">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E06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3736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669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648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43CD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6B7E76">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FA6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A8176">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0F5FD">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DE8D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B98950">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37D8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D41F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649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41BE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严格执行预算，按照定员定额标准从严控制体检经费，及时申请支用保障职工体检工作有序进行。</w:t>
            </w:r>
          </w:p>
        </w:tc>
      </w:tr>
      <w:tr w14:paraId="4227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DE5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7F0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EA5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872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2E6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392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4CE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057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78E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256B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699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131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A3D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D08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3.48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4C1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E67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C7D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B61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41D66">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EEF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35F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BDE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A42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95B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3.48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1CA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6C7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326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591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3F775">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8CC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83C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968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566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E36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1CA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225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F0C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D28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4536D">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5FBE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16F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8C2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783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0C6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59B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4C8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CF1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4A5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F1CB4">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61A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02F9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190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2DE5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3502A">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C0F5B">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C41B8">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30F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342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CDA33">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69E9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E55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A1E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2F6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21D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A53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3E0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E64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108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99D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4BE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121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23EB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B0B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FB7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007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AE6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6DB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749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CEC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6A76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93C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6D7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DF82C">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54BD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BE8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2BD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039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579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94B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E0A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828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E4A9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7A2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E3C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385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76EC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A106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048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03F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20A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347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DA0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5C9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99B7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0CE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1C2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F4AD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757F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80A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942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D85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9EC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CEC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109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640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6655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336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4E2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D21A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04ED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4417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A8B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156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AE297">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5818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2F4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6552EE">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严格执行预算，按照定员定额标准从严控制体检经费，及时申请支用保障职工体检工作有序进行。从产出、效益指标进行了以上打分，预算执行率100%，执行情况良好，自评得分100分。</w:t>
            </w:r>
          </w:p>
        </w:tc>
      </w:tr>
      <w:tr w14:paraId="5EE7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E09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0D89B7">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无  </w:t>
            </w:r>
          </w:p>
        </w:tc>
      </w:tr>
      <w:tr w14:paraId="3B6A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B44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AC2D42">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2B5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F80AAE">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0B5486">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1478DFD4">
      <w:pPr>
        <w:rPr>
          <w:rFonts w:hint="eastAsia"/>
        </w:rPr>
      </w:pPr>
      <w:r>
        <w:rPr>
          <w:rFonts w:hint="eastAsia"/>
        </w:rPr>
        <w:br w:type="page"/>
      </w:r>
    </w:p>
    <w:tbl>
      <w:tblPr>
        <w:tblStyle w:val="18"/>
        <w:tblW w:w="9888"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164"/>
        <w:gridCol w:w="588"/>
        <w:gridCol w:w="1581"/>
        <w:gridCol w:w="747"/>
        <w:gridCol w:w="720"/>
        <w:gridCol w:w="576"/>
        <w:gridCol w:w="1020"/>
        <w:gridCol w:w="552"/>
        <w:gridCol w:w="600"/>
        <w:gridCol w:w="1632"/>
      </w:tblGrid>
      <w:tr w14:paraId="095B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8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A31E16">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4013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DC7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0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4BD4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51340024Y000010284644-州本级体检经费（事业）</w:t>
            </w:r>
          </w:p>
        </w:tc>
      </w:tr>
      <w:tr w14:paraId="3117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08E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4D45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020" w:type="dxa"/>
            <w:tcBorders>
              <w:top w:val="nil"/>
              <w:left w:val="nil"/>
              <w:bottom w:val="nil"/>
              <w:right w:val="nil"/>
            </w:tcBorders>
            <w:shd w:val="clear" w:color="auto" w:fill="auto"/>
            <w:vAlign w:val="center"/>
          </w:tcPr>
          <w:p w14:paraId="6FADBD21">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48A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0C3A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45E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281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592D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9DF10C">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66B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460BF">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26CEB">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B3B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FBF4F0">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3D349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59CDF">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FF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0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1F1D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严格执行预算，按照定员定额标准从严控制体检经费，及时申请支用保障职工体检工作有序进行。</w:t>
            </w:r>
          </w:p>
        </w:tc>
      </w:tr>
      <w:tr w14:paraId="11DB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183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76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FF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01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7D0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A5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65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E2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4C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675B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1A1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FF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5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0.81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EC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0.81</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055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0.81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BD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28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92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F0FF5">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p>
        </w:tc>
      </w:tr>
      <w:tr w14:paraId="78A7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A64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12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60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0.81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5C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0.81</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AEF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0.81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7C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DD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2E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AEACE">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638B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78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2E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1F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F6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5C4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71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9B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D8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A768">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2ABD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F4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BC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4E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9C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709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E7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EF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1E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29D50">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3D64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021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FD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5178">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C786">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22929F">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988C">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83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8C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3C8C0">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14:paraId="0568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C32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18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AB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8D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DC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3F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77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DB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8D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F4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32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2947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892C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CFE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89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FB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F2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2A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24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0E4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3D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954E">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BA47">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7581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CD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F7C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0D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9B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F1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79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71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2032">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2D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25CB">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5B1D">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37FD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641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9E6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A9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84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3E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9E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57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94C7">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6F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5ABE">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F807">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28BD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36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D67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DF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CE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1D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93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68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D902">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84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6748">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DB45">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14:paraId="36AE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4F7E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D7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1588">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2A92">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14:paraId="6407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C9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1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C5794A">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严格执行预算，按照定员定额标准从严控制体检经费，及时申请支用保障职工体检工作有序进行。从产出、效益指标进行了以上打分，预算执行率100%，执行情况良好，自评得分100分。</w:t>
            </w:r>
          </w:p>
        </w:tc>
      </w:tr>
      <w:tr w14:paraId="6C1EE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64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1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BF72A8">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73E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BB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1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CEBAFA">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17C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014C2D">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项目负责人：张舒雁</w:t>
            </w:r>
          </w:p>
        </w:tc>
        <w:tc>
          <w:tcPr>
            <w:tcW w:w="5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8DDB4D">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612BE345">
      <w:pPr>
        <w:rPr>
          <w:rFonts w:hint="eastAsia"/>
        </w:rPr>
      </w:pPr>
      <w:r>
        <w:rPr>
          <w:rFonts w:hint="eastAsia"/>
        </w:rPr>
        <w:br w:type="page"/>
      </w:r>
    </w:p>
    <w:tbl>
      <w:tblPr>
        <w:tblStyle w:val="18"/>
        <w:tblW w:w="10311"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995"/>
        <w:gridCol w:w="733"/>
        <w:gridCol w:w="973"/>
        <w:gridCol w:w="492"/>
        <w:gridCol w:w="1376"/>
        <w:gridCol w:w="965"/>
        <w:gridCol w:w="1690"/>
        <w:gridCol w:w="864"/>
        <w:gridCol w:w="612"/>
        <w:gridCol w:w="891"/>
      </w:tblGrid>
      <w:tr w14:paraId="28BD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031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C85CF9">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部门预算项目支出绩效自评表（2024年度）</w:t>
            </w:r>
          </w:p>
        </w:tc>
      </w:tr>
      <w:tr w14:paraId="51CB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1CC6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5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AA1C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51340025T000012341489-全州急需紧缺专业大学生顶岗实习补助</w:t>
            </w:r>
          </w:p>
        </w:tc>
      </w:tr>
      <w:tr w14:paraId="579B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12C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5EEA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凉山州科学技术协会部门</w:t>
            </w:r>
          </w:p>
        </w:tc>
        <w:tc>
          <w:tcPr>
            <w:tcW w:w="1690" w:type="dxa"/>
            <w:tcBorders>
              <w:top w:val="nil"/>
              <w:left w:val="nil"/>
              <w:bottom w:val="nil"/>
              <w:right w:val="nil"/>
            </w:tcBorders>
            <w:shd w:val="clear" w:color="auto" w:fill="auto"/>
            <w:vAlign w:val="center"/>
          </w:tcPr>
          <w:p w14:paraId="4A2F4DEB">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9A5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凉山州科学技术协会</w:t>
            </w:r>
          </w:p>
        </w:tc>
      </w:tr>
      <w:tr w14:paraId="2EF0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9E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34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403B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D5E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630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E14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9B5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4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9FC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为拓宽高素质专业化干部人才队伍建设来源渠道，加快建设特色优势产业人才集聚地，2024年州委人才办面向州内外招募并分配14名急需紧缺专业大学生开展科普科服顶岗实习工作。</w:t>
            </w:r>
          </w:p>
        </w:tc>
        <w:tc>
          <w:tcPr>
            <w:tcW w:w="40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289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年度完成14名急需紧缺专业大学生开展科普科服顶岗实习工作任务。</w:t>
            </w:r>
          </w:p>
        </w:tc>
      </w:tr>
      <w:tr w14:paraId="6FD1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0F0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A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5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820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结合各自专业特点及岗位需求，分配2名顶岗实习大学生在州科协，其余12名分配到西昌航飞苦荞科技小院、会理烟草科技小院、会理石榴科技小院、布拖马铃薯科技小院等,顶岗实习时间均为6个月，规定时间内圆满完成科普科服顶岗实习工作任务。</w:t>
            </w:r>
          </w:p>
        </w:tc>
      </w:tr>
      <w:tr w14:paraId="6F00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9B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9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1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A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8D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6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D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6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6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16F1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340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C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5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90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11.85</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24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11.85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5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C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2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E65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6096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054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8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D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E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11.85</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7C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11.85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D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0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0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35F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4EA2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826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51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D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0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991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9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1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2D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E8F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6D60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51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0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7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10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A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7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6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982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055E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926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7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6B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59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9B1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1D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0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A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9EB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黑体" w:hAnsi="黑体" w:eastAsia="黑体" w:cs="黑体"/>
                <w:i/>
                <w:iCs/>
                <w:color w:val="000000"/>
                <w:sz w:val="18"/>
                <w:szCs w:val="18"/>
                <w:u w:val="none"/>
              </w:rPr>
            </w:pPr>
          </w:p>
        </w:tc>
      </w:tr>
      <w:tr w14:paraId="608F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02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0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7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C7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1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4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93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6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0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5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C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44F4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BA8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18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A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C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聘请顶岗实习生人员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69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D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B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人数</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B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42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D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50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717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E2C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821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6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DC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工作完成合格率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E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A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A4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7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B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65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0A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6108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6E8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195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0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9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年度12月前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8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48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0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7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1E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8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71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D92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A57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AE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75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科普科服工作</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7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2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科普科服工作注入新鲜血液，更好的为凉山经济社会发展服务。</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46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A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科普科服工作注入新鲜血液，更好的为凉山经济社会发展服务。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E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0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DB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6BC7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8DE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0A7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B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可持续影响指标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1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顶岗实习科普科服工作影响力</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6E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4B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E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B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7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9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07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0B5A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12B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B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2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7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1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0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E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3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4B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5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08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42D3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5D4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75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8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社会成本指标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6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聘请顶岗实习生人员所需费用</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A5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4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11.85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1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B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11.85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D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6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CE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微软雅黑" w:hAnsi="微软雅黑" w:eastAsia="微软雅黑" w:cs="微软雅黑"/>
                <w:i/>
                <w:iCs/>
                <w:color w:val="000000"/>
                <w:sz w:val="16"/>
                <w:szCs w:val="16"/>
                <w:u w:val="none"/>
              </w:rPr>
            </w:pPr>
          </w:p>
        </w:tc>
      </w:tr>
      <w:tr w14:paraId="2328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9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05B0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D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2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2E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宋体" w:hAnsi="宋体" w:eastAsia="宋体" w:cs="宋体"/>
                <w:i w:val="0"/>
                <w:iCs w:val="0"/>
                <w:color w:val="000000"/>
                <w:sz w:val="18"/>
                <w:szCs w:val="18"/>
                <w:u w:val="none"/>
              </w:rPr>
            </w:pPr>
          </w:p>
        </w:tc>
      </w:tr>
      <w:tr w14:paraId="5ADA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3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8D8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年度完成14名急需紧缺专业大学生开展科普科服顶岗实习工作任务。从产出、效益、满意度等指标进行了以上打分，预算执行率100%，执行情况良好，自评得分100分。</w:t>
            </w:r>
          </w:p>
        </w:tc>
      </w:tr>
      <w:tr w14:paraId="0EAB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7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8DD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一是未全覆盖实地察看大学生工作情况，听取大学生工作汇报及用人单位评价意见；二是实习期较短，不能最大化发挥顶岗实习大学生作用。</w:t>
            </w:r>
          </w:p>
        </w:tc>
      </w:tr>
      <w:tr w14:paraId="2BE6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6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DDA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一是定期召开座谈会，听取工作情况及工作难题，确保引得进人才，留得住人才；二是建议对特别优秀的顶岗实习大学生延长实习期至1年。</w:t>
            </w:r>
          </w:p>
        </w:tc>
      </w:tr>
      <w:tr w14:paraId="155C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9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339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项目负责人：俄木乌洛</w:t>
            </w:r>
          </w:p>
        </w:tc>
        <w:tc>
          <w:tcPr>
            <w:tcW w:w="63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FA4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财务负责人：毛正华</w:t>
            </w:r>
          </w:p>
        </w:tc>
      </w:tr>
    </w:tbl>
    <w:p w14:paraId="02C2D6D3">
      <w:pPr>
        <w:keepNext w:val="0"/>
        <w:keepLines w:val="0"/>
        <w:pageBreakBefore w:val="0"/>
        <w:kinsoku/>
        <w:wordWrap/>
        <w:overflowPunct/>
        <w:topLinePunct w:val="0"/>
        <w:autoSpaceDE/>
        <w:autoSpaceDN/>
        <w:bidi w:val="0"/>
        <w:adjustRightInd/>
        <w:snapToGrid/>
        <w:spacing w:line="180" w:lineRule="exact"/>
        <w:rPr>
          <w:rFonts w:hint="eastAsia"/>
        </w:rPr>
      </w:pPr>
      <w:r>
        <w:rPr>
          <w:rFonts w:hint="eastAsia"/>
        </w:rPr>
        <w:br w:type="page"/>
      </w:r>
    </w:p>
    <w:p w14:paraId="2ECC3DAE">
      <w:pPr>
        <w:pStyle w:val="3"/>
        <w:jc w:val="center"/>
        <w:rPr>
          <w:rFonts w:ascii="黑体" w:hAnsi="黑体" w:eastAsia="黑体"/>
        </w:rPr>
      </w:pPr>
      <w:bookmarkStart w:id="87" w:name="_Toc9943"/>
      <w:r>
        <w:rPr>
          <w:rFonts w:hint="eastAsia" w:ascii="黑体" w:hAnsi="黑体" w:eastAsia="黑体"/>
        </w:rPr>
        <w:t>第五部分 附表</w:t>
      </w:r>
      <w:bookmarkEnd w:id="87"/>
    </w:p>
    <w:p w14:paraId="519773BF">
      <w:pPr>
        <w:rPr>
          <w:rFonts w:ascii="仿宋" w:hAnsi="仿宋" w:eastAsia="仿宋"/>
          <w:sz w:val="32"/>
          <w:szCs w:val="32"/>
        </w:rPr>
      </w:pPr>
      <w:r>
        <w:rPr>
          <w:rFonts w:hint="eastAsia" w:ascii="仿宋" w:hAnsi="仿宋" w:eastAsia="仿宋"/>
          <w:sz w:val="32"/>
          <w:szCs w:val="32"/>
        </w:rPr>
        <w:t>一、收入支出决算总表</w:t>
      </w:r>
    </w:p>
    <w:p w14:paraId="6601F5EC">
      <w:pPr>
        <w:rPr>
          <w:rFonts w:ascii="仿宋" w:hAnsi="仿宋" w:eastAsia="仿宋"/>
          <w:sz w:val="32"/>
          <w:szCs w:val="32"/>
        </w:rPr>
      </w:pPr>
      <w:r>
        <w:rPr>
          <w:rFonts w:hint="eastAsia" w:ascii="仿宋" w:hAnsi="仿宋" w:eastAsia="仿宋"/>
          <w:sz w:val="32"/>
          <w:szCs w:val="32"/>
        </w:rPr>
        <w:t>二、收入决算表</w:t>
      </w:r>
    </w:p>
    <w:p w14:paraId="3307C675">
      <w:pPr>
        <w:rPr>
          <w:rFonts w:ascii="仿宋" w:hAnsi="仿宋" w:eastAsia="仿宋"/>
          <w:sz w:val="32"/>
          <w:szCs w:val="32"/>
        </w:rPr>
      </w:pPr>
      <w:r>
        <w:rPr>
          <w:rFonts w:hint="eastAsia" w:ascii="仿宋" w:hAnsi="仿宋" w:eastAsia="仿宋"/>
          <w:sz w:val="32"/>
          <w:szCs w:val="32"/>
        </w:rPr>
        <w:t>三、支出决算表</w:t>
      </w:r>
    </w:p>
    <w:p w14:paraId="7FF599FA">
      <w:pPr>
        <w:rPr>
          <w:rFonts w:ascii="仿宋" w:hAnsi="仿宋" w:eastAsia="仿宋"/>
          <w:sz w:val="32"/>
          <w:szCs w:val="32"/>
        </w:rPr>
      </w:pPr>
      <w:r>
        <w:rPr>
          <w:rFonts w:hint="eastAsia" w:ascii="仿宋" w:hAnsi="仿宋" w:eastAsia="仿宋"/>
          <w:sz w:val="32"/>
          <w:szCs w:val="32"/>
        </w:rPr>
        <w:t>四、财政拨款收入支出决算总表</w:t>
      </w:r>
    </w:p>
    <w:p w14:paraId="6B99CC3C">
      <w:pPr>
        <w:rPr>
          <w:rFonts w:ascii="仿宋" w:hAnsi="仿宋" w:eastAsia="仿宋"/>
          <w:sz w:val="32"/>
          <w:szCs w:val="32"/>
        </w:rPr>
      </w:pPr>
      <w:r>
        <w:rPr>
          <w:rFonts w:hint="eastAsia" w:ascii="仿宋" w:hAnsi="仿宋" w:eastAsia="仿宋"/>
          <w:sz w:val="32"/>
          <w:szCs w:val="32"/>
        </w:rPr>
        <w:t>五、财政拨款支出决算明细表</w:t>
      </w:r>
    </w:p>
    <w:p w14:paraId="2BF48A57">
      <w:pPr>
        <w:rPr>
          <w:rFonts w:ascii="仿宋" w:hAnsi="仿宋" w:eastAsia="仿宋"/>
          <w:sz w:val="32"/>
          <w:szCs w:val="32"/>
        </w:rPr>
      </w:pPr>
      <w:r>
        <w:rPr>
          <w:rFonts w:hint="eastAsia" w:ascii="仿宋" w:hAnsi="仿宋" w:eastAsia="仿宋"/>
          <w:sz w:val="32"/>
          <w:szCs w:val="32"/>
        </w:rPr>
        <w:t>六、一般公共预算财政拨款支出决算表</w:t>
      </w:r>
    </w:p>
    <w:p w14:paraId="222952E5">
      <w:pPr>
        <w:rPr>
          <w:rFonts w:ascii="仿宋" w:hAnsi="仿宋" w:eastAsia="仿宋"/>
          <w:sz w:val="32"/>
          <w:szCs w:val="32"/>
        </w:rPr>
      </w:pPr>
      <w:r>
        <w:rPr>
          <w:rFonts w:hint="eastAsia" w:ascii="仿宋" w:hAnsi="仿宋" w:eastAsia="仿宋"/>
          <w:sz w:val="32"/>
          <w:szCs w:val="32"/>
        </w:rPr>
        <w:t>七、一般公共预算财政拨款支出决算明细表</w:t>
      </w:r>
    </w:p>
    <w:p w14:paraId="4FB03370">
      <w:pPr>
        <w:rPr>
          <w:rFonts w:ascii="仿宋" w:hAnsi="仿宋" w:eastAsia="仿宋"/>
          <w:sz w:val="32"/>
          <w:szCs w:val="32"/>
        </w:rPr>
      </w:pPr>
      <w:r>
        <w:rPr>
          <w:rFonts w:hint="eastAsia" w:ascii="仿宋" w:hAnsi="仿宋" w:eastAsia="仿宋"/>
          <w:sz w:val="32"/>
          <w:szCs w:val="32"/>
        </w:rPr>
        <w:t>八、一般公共预算财政拨款基本支出决算表</w:t>
      </w:r>
    </w:p>
    <w:p w14:paraId="76A92B31">
      <w:pPr>
        <w:rPr>
          <w:rFonts w:ascii="仿宋" w:hAnsi="仿宋" w:eastAsia="仿宋"/>
          <w:sz w:val="32"/>
          <w:szCs w:val="32"/>
        </w:rPr>
      </w:pPr>
      <w:r>
        <w:rPr>
          <w:rFonts w:hint="eastAsia" w:ascii="仿宋" w:hAnsi="仿宋" w:eastAsia="仿宋"/>
          <w:sz w:val="32"/>
          <w:szCs w:val="32"/>
        </w:rPr>
        <w:t>九、一般公共预算财政拨款项目支出决算表</w:t>
      </w:r>
    </w:p>
    <w:p w14:paraId="5FA6351D">
      <w:pPr>
        <w:rPr>
          <w:rFonts w:ascii="仿宋" w:hAnsi="仿宋" w:eastAsia="仿宋"/>
          <w:sz w:val="32"/>
          <w:szCs w:val="32"/>
        </w:rPr>
      </w:pPr>
      <w:r>
        <w:rPr>
          <w:rFonts w:hint="eastAsia" w:ascii="仿宋" w:hAnsi="仿宋" w:eastAsia="仿宋"/>
          <w:sz w:val="32"/>
          <w:szCs w:val="32"/>
        </w:rPr>
        <w:t>十、政府性基金预算财政拨款收入支出决算表</w:t>
      </w:r>
    </w:p>
    <w:p w14:paraId="75A8D239">
      <w:pPr>
        <w:rPr>
          <w:rFonts w:ascii="仿宋" w:hAnsi="仿宋" w:eastAsia="仿宋"/>
          <w:sz w:val="32"/>
          <w:szCs w:val="32"/>
        </w:rPr>
      </w:pPr>
      <w:r>
        <w:rPr>
          <w:rFonts w:hint="eastAsia" w:ascii="仿宋" w:hAnsi="仿宋" w:eastAsia="仿宋"/>
          <w:sz w:val="32"/>
          <w:szCs w:val="32"/>
        </w:rPr>
        <w:t>十一、国有资本经营预算财政拨款收入支出决算表</w:t>
      </w:r>
    </w:p>
    <w:p w14:paraId="7446B1AE">
      <w:pPr>
        <w:rPr>
          <w:rFonts w:ascii="仿宋" w:hAnsi="仿宋" w:eastAsia="仿宋"/>
          <w:sz w:val="32"/>
          <w:szCs w:val="32"/>
        </w:rPr>
      </w:pPr>
      <w:r>
        <w:rPr>
          <w:rFonts w:hint="eastAsia" w:ascii="仿宋" w:hAnsi="仿宋" w:eastAsia="仿宋"/>
          <w:sz w:val="32"/>
          <w:szCs w:val="32"/>
        </w:rPr>
        <w:t>十二、国有资本经营预算财政拨款支出决算表</w:t>
      </w:r>
    </w:p>
    <w:p w14:paraId="15716C17">
      <w:pPr>
        <w:rPr>
          <w:rFonts w:ascii="仿宋" w:hAnsi="仿宋" w:eastAsia="仿宋"/>
          <w:sz w:val="32"/>
          <w:szCs w:val="32"/>
        </w:rPr>
      </w:pPr>
      <w:r>
        <w:rPr>
          <w:rFonts w:hint="eastAsia" w:ascii="仿宋" w:hAnsi="仿宋" w:eastAsia="仿宋"/>
          <w:sz w:val="32"/>
          <w:szCs w:val="32"/>
        </w:rPr>
        <w:t>十三、财政拨款“三公”经费支出决算表</w:t>
      </w:r>
    </w:p>
    <w:sectPr>
      <w:footerReference r:id="rId6" w:type="first"/>
      <w:footerReference r:id="rId5" w:type="default"/>
      <w:pgSz w:w="11906" w:h="16838"/>
      <w:pgMar w:top="1213" w:right="1179" w:bottom="1213" w:left="1349" w:header="851" w:footer="99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3C50">
    <w:pPr>
      <w:pStyle w:val="12"/>
      <w:jc w:val="center"/>
    </w:pPr>
  </w:p>
  <w:p w14:paraId="433366A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B27CE">
    <w:pPr>
      <w:pStyle w:val="12"/>
      <w:jc w:val="center"/>
    </w:pPr>
    <w:r>
      <w:rPr>
        <w:sz w:val="18"/>
      </w:rPr>
      <w:pict>
        <v:shape id="_x0000_s2052" o:spid="_x0000_s205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C87F78">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14:paraId="0658BB3B">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92AD">
    <w:pPr>
      <w:pStyle w:val="12"/>
    </w:pPr>
    <w:r>
      <w:rPr>
        <w:sz w:val="18"/>
      </w:rPr>
      <w:pict>
        <v:shape id="_x0000_s2053" o:spid="_x0000_s205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5AC0548">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EC97A">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3DD8B"/>
    <w:multiLevelType w:val="singleLevel"/>
    <w:tmpl w:val="8023DD8B"/>
    <w:lvl w:ilvl="0" w:tentative="0">
      <w:start w:val="5"/>
      <w:numFmt w:val="chineseCounting"/>
      <w:suff w:val="nothing"/>
      <w:lvlText w:val="%1、"/>
      <w:lvlJc w:val="left"/>
      <w:rPr>
        <w:rFonts w:hint="eastAsia"/>
      </w:rPr>
    </w:lvl>
  </w:abstractNum>
  <w:abstractNum w:abstractNumId="1">
    <w:nsid w:val="F42D2295"/>
    <w:multiLevelType w:val="singleLevel"/>
    <w:tmpl w:val="F42D2295"/>
    <w:lvl w:ilvl="0" w:tentative="0">
      <w:start w:val="5"/>
      <w:numFmt w:val="decimal"/>
      <w:lvlText w:val="%1."/>
      <w:lvlJc w:val="left"/>
      <w:pPr>
        <w:tabs>
          <w:tab w:val="left" w:pos="312"/>
        </w:tabs>
      </w:pPr>
    </w:lvl>
  </w:abstractNum>
  <w:abstractNum w:abstractNumId="2">
    <w:nsid w:val="FBEF56F9"/>
    <w:multiLevelType w:val="singleLevel"/>
    <w:tmpl w:val="FBEF56F9"/>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385B1ED"/>
    <w:multiLevelType w:val="singleLevel"/>
    <w:tmpl w:val="6385B1ED"/>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1NjI4YjBlYmNiNTcxMzUyYjUxZGNmOGRkZGJmYTg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0A10"/>
    <w:rsid w:val="001654D1"/>
    <w:rsid w:val="00167723"/>
    <w:rsid w:val="001730E5"/>
    <w:rsid w:val="00174518"/>
    <w:rsid w:val="0018106D"/>
    <w:rsid w:val="001877A7"/>
    <w:rsid w:val="00191536"/>
    <w:rsid w:val="00196687"/>
    <w:rsid w:val="001C0962"/>
    <w:rsid w:val="001C2738"/>
    <w:rsid w:val="001D73E7"/>
    <w:rsid w:val="001D7531"/>
    <w:rsid w:val="001E737D"/>
    <w:rsid w:val="001F0592"/>
    <w:rsid w:val="001F6419"/>
    <w:rsid w:val="001F7506"/>
    <w:rsid w:val="002006CD"/>
    <w:rsid w:val="00202B36"/>
    <w:rsid w:val="00204B7A"/>
    <w:rsid w:val="00204CDE"/>
    <w:rsid w:val="0021101A"/>
    <w:rsid w:val="00220536"/>
    <w:rsid w:val="00235629"/>
    <w:rsid w:val="00243BBA"/>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C7888"/>
    <w:rsid w:val="002D6D05"/>
    <w:rsid w:val="002F1818"/>
    <w:rsid w:val="002F5109"/>
    <w:rsid w:val="002F567B"/>
    <w:rsid w:val="00310028"/>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0D8C"/>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0"/>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2E12"/>
    <w:rsid w:val="006440E4"/>
    <w:rsid w:val="00661709"/>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0159"/>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144"/>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2AAA"/>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07C82"/>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C1D33"/>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4809FD"/>
    <w:rsid w:val="015975B8"/>
    <w:rsid w:val="01846C0E"/>
    <w:rsid w:val="019422A6"/>
    <w:rsid w:val="01B224A6"/>
    <w:rsid w:val="01D46B46"/>
    <w:rsid w:val="01D66983"/>
    <w:rsid w:val="01E07299"/>
    <w:rsid w:val="01F23928"/>
    <w:rsid w:val="01F4269B"/>
    <w:rsid w:val="020E2058"/>
    <w:rsid w:val="02555ED9"/>
    <w:rsid w:val="02873BB9"/>
    <w:rsid w:val="029B05E5"/>
    <w:rsid w:val="029F53A6"/>
    <w:rsid w:val="02B96468"/>
    <w:rsid w:val="02C32E43"/>
    <w:rsid w:val="02C95F7F"/>
    <w:rsid w:val="02FEBE30"/>
    <w:rsid w:val="030963D1"/>
    <w:rsid w:val="032B6C3A"/>
    <w:rsid w:val="036F8141"/>
    <w:rsid w:val="03764359"/>
    <w:rsid w:val="039842CF"/>
    <w:rsid w:val="03FF434E"/>
    <w:rsid w:val="045126D0"/>
    <w:rsid w:val="049B26C3"/>
    <w:rsid w:val="04DE21B6"/>
    <w:rsid w:val="04E43544"/>
    <w:rsid w:val="04EE6171"/>
    <w:rsid w:val="050339A6"/>
    <w:rsid w:val="050A64B5"/>
    <w:rsid w:val="055C132D"/>
    <w:rsid w:val="057228FE"/>
    <w:rsid w:val="05C23B25"/>
    <w:rsid w:val="05F31C91"/>
    <w:rsid w:val="0616772D"/>
    <w:rsid w:val="0639341C"/>
    <w:rsid w:val="06456265"/>
    <w:rsid w:val="066E0107"/>
    <w:rsid w:val="068C5E33"/>
    <w:rsid w:val="06C278B5"/>
    <w:rsid w:val="06E93094"/>
    <w:rsid w:val="075F7A5B"/>
    <w:rsid w:val="076A5F83"/>
    <w:rsid w:val="07701168"/>
    <w:rsid w:val="07750DC9"/>
    <w:rsid w:val="077664A4"/>
    <w:rsid w:val="07852830"/>
    <w:rsid w:val="07996F6E"/>
    <w:rsid w:val="07BC6E81"/>
    <w:rsid w:val="07DFD8BA"/>
    <w:rsid w:val="080F1ABD"/>
    <w:rsid w:val="087E6EBB"/>
    <w:rsid w:val="08846FB4"/>
    <w:rsid w:val="09085B18"/>
    <w:rsid w:val="09CC7AF0"/>
    <w:rsid w:val="09CF3319"/>
    <w:rsid w:val="09DB4F16"/>
    <w:rsid w:val="09F75AC8"/>
    <w:rsid w:val="09F854DE"/>
    <w:rsid w:val="0A037FC9"/>
    <w:rsid w:val="0A1E778C"/>
    <w:rsid w:val="0A2032A3"/>
    <w:rsid w:val="0A2E773B"/>
    <w:rsid w:val="0A4A3E4A"/>
    <w:rsid w:val="0A4E7E88"/>
    <w:rsid w:val="0A60366D"/>
    <w:rsid w:val="0ACE4B98"/>
    <w:rsid w:val="0AF73FD1"/>
    <w:rsid w:val="0B1C3A38"/>
    <w:rsid w:val="0B98468D"/>
    <w:rsid w:val="0C25546E"/>
    <w:rsid w:val="0C8547E8"/>
    <w:rsid w:val="0C935725"/>
    <w:rsid w:val="0CAC092E"/>
    <w:rsid w:val="0CC04897"/>
    <w:rsid w:val="0CD65E68"/>
    <w:rsid w:val="0CEB6AEF"/>
    <w:rsid w:val="0CF34DD5"/>
    <w:rsid w:val="0CFF0F1B"/>
    <w:rsid w:val="0D2766C4"/>
    <w:rsid w:val="0D336E17"/>
    <w:rsid w:val="0D35B1ED"/>
    <w:rsid w:val="0D531267"/>
    <w:rsid w:val="0D5374B9"/>
    <w:rsid w:val="0D5A43A4"/>
    <w:rsid w:val="0D9C49BC"/>
    <w:rsid w:val="0DD26630"/>
    <w:rsid w:val="0DD46F20"/>
    <w:rsid w:val="0E364E11"/>
    <w:rsid w:val="0E403CDA"/>
    <w:rsid w:val="0E7ED1F5"/>
    <w:rsid w:val="0F042DBA"/>
    <w:rsid w:val="0F256C33"/>
    <w:rsid w:val="0F480AD4"/>
    <w:rsid w:val="0F632C2C"/>
    <w:rsid w:val="0F6A1BB8"/>
    <w:rsid w:val="0F906E16"/>
    <w:rsid w:val="0F957915"/>
    <w:rsid w:val="0F98263C"/>
    <w:rsid w:val="100B7BD7"/>
    <w:rsid w:val="100D1BA1"/>
    <w:rsid w:val="101860EC"/>
    <w:rsid w:val="10765998"/>
    <w:rsid w:val="108645C9"/>
    <w:rsid w:val="10C055FF"/>
    <w:rsid w:val="10F44B0F"/>
    <w:rsid w:val="110F5ED9"/>
    <w:rsid w:val="11194576"/>
    <w:rsid w:val="11537A88"/>
    <w:rsid w:val="116E6670"/>
    <w:rsid w:val="117C0FF8"/>
    <w:rsid w:val="118107EC"/>
    <w:rsid w:val="11EE262F"/>
    <w:rsid w:val="123A0C48"/>
    <w:rsid w:val="12483364"/>
    <w:rsid w:val="125218E6"/>
    <w:rsid w:val="12647A72"/>
    <w:rsid w:val="126D2DCB"/>
    <w:rsid w:val="12902616"/>
    <w:rsid w:val="12957C2C"/>
    <w:rsid w:val="1296464B"/>
    <w:rsid w:val="12AB6A2C"/>
    <w:rsid w:val="12E82452"/>
    <w:rsid w:val="130354DD"/>
    <w:rsid w:val="1340403C"/>
    <w:rsid w:val="13685340"/>
    <w:rsid w:val="13767A5D"/>
    <w:rsid w:val="13B30CB1"/>
    <w:rsid w:val="13CC7C6B"/>
    <w:rsid w:val="13D34EB0"/>
    <w:rsid w:val="13D50BC4"/>
    <w:rsid w:val="13E56236"/>
    <w:rsid w:val="13F5616D"/>
    <w:rsid w:val="143516C6"/>
    <w:rsid w:val="14551D69"/>
    <w:rsid w:val="14735710"/>
    <w:rsid w:val="147C10A3"/>
    <w:rsid w:val="14847F58"/>
    <w:rsid w:val="14C30A80"/>
    <w:rsid w:val="14E05AD6"/>
    <w:rsid w:val="14EA775D"/>
    <w:rsid w:val="150A4901"/>
    <w:rsid w:val="15347BD0"/>
    <w:rsid w:val="154F0261"/>
    <w:rsid w:val="15532BD1"/>
    <w:rsid w:val="15AF2E15"/>
    <w:rsid w:val="15B2751F"/>
    <w:rsid w:val="15D46CBD"/>
    <w:rsid w:val="15D55C6E"/>
    <w:rsid w:val="16200C19"/>
    <w:rsid w:val="16BB723D"/>
    <w:rsid w:val="176919D6"/>
    <w:rsid w:val="176C53FF"/>
    <w:rsid w:val="17742A69"/>
    <w:rsid w:val="1791130A"/>
    <w:rsid w:val="179B68D4"/>
    <w:rsid w:val="17BD2AFB"/>
    <w:rsid w:val="17F9714D"/>
    <w:rsid w:val="1803088A"/>
    <w:rsid w:val="184B1806"/>
    <w:rsid w:val="18521D6E"/>
    <w:rsid w:val="18664544"/>
    <w:rsid w:val="189B2264"/>
    <w:rsid w:val="189F1804"/>
    <w:rsid w:val="1918F934"/>
    <w:rsid w:val="193455D9"/>
    <w:rsid w:val="19352312"/>
    <w:rsid w:val="19500998"/>
    <w:rsid w:val="19742C91"/>
    <w:rsid w:val="197B5DCD"/>
    <w:rsid w:val="19810F0A"/>
    <w:rsid w:val="19871BE1"/>
    <w:rsid w:val="19B968F6"/>
    <w:rsid w:val="19F142E2"/>
    <w:rsid w:val="1A1B310D"/>
    <w:rsid w:val="1A2C356C"/>
    <w:rsid w:val="1A3955F2"/>
    <w:rsid w:val="1A5B5BFF"/>
    <w:rsid w:val="1A881844"/>
    <w:rsid w:val="1A8A4333"/>
    <w:rsid w:val="1AB042F5"/>
    <w:rsid w:val="1AB65DDE"/>
    <w:rsid w:val="1AF54CC5"/>
    <w:rsid w:val="1B0E4A1F"/>
    <w:rsid w:val="1B2D0C25"/>
    <w:rsid w:val="1B43291B"/>
    <w:rsid w:val="1BA23AE5"/>
    <w:rsid w:val="1BB06CCC"/>
    <w:rsid w:val="1BE8440E"/>
    <w:rsid w:val="1C0C0F5F"/>
    <w:rsid w:val="1C1C46B8"/>
    <w:rsid w:val="1C422BD3"/>
    <w:rsid w:val="1C6B7454"/>
    <w:rsid w:val="1D135919"/>
    <w:rsid w:val="1D155CEE"/>
    <w:rsid w:val="1D547061"/>
    <w:rsid w:val="1D5E3A3C"/>
    <w:rsid w:val="1DEA1774"/>
    <w:rsid w:val="1DFBC4B3"/>
    <w:rsid w:val="1E222CBB"/>
    <w:rsid w:val="1E2F7187"/>
    <w:rsid w:val="1E3A2545"/>
    <w:rsid w:val="1E4C5F8A"/>
    <w:rsid w:val="1E740ACF"/>
    <w:rsid w:val="1EA007AF"/>
    <w:rsid w:val="1F19C781"/>
    <w:rsid w:val="1F1A7324"/>
    <w:rsid w:val="1F33FCE5"/>
    <w:rsid w:val="1F525822"/>
    <w:rsid w:val="1F6F7FE8"/>
    <w:rsid w:val="1F7F5EEC"/>
    <w:rsid w:val="1F7F7398"/>
    <w:rsid w:val="1FA15E62"/>
    <w:rsid w:val="1FC259D5"/>
    <w:rsid w:val="1FD2DB6F"/>
    <w:rsid w:val="1FF200FE"/>
    <w:rsid w:val="1FF35744"/>
    <w:rsid w:val="1FF6BC77"/>
    <w:rsid w:val="1FF9236D"/>
    <w:rsid w:val="20020D51"/>
    <w:rsid w:val="201E3957"/>
    <w:rsid w:val="2021710B"/>
    <w:rsid w:val="206A6B9C"/>
    <w:rsid w:val="207812B9"/>
    <w:rsid w:val="209815AA"/>
    <w:rsid w:val="209B4FA7"/>
    <w:rsid w:val="212E1977"/>
    <w:rsid w:val="21CD3F57"/>
    <w:rsid w:val="224F429B"/>
    <w:rsid w:val="225C60C1"/>
    <w:rsid w:val="226A5F11"/>
    <w:rsid w:val="227274C6"/>
    <w:rsid w:val="2292790A"/>
    <w:rsid w:val="22DB5B2F"/>
    <w:rsid w:val="23042AD1"/>
    <w:rsid w:val="23052BAC"/>
    <w:rsid w:val="2333840E"/>
    <w:rsid w:val="23411E36"/>
    <w:rsid w:val="23860B96"/>
    <w:rsid w:val="238C6622"/>
    <w:rsid w:val="23CB5BA3"/>
    <w:rsid w:val="23CD0024"/>
    <w:rsid w:val="23D94B65"/>
    <w:rsid w:val="240371BF"/>
    <w:rsid w:val="24041DC1"/>
    <w:rsid w:val="24056F84"/>
    <w:rsid w:val="242E3ACF"/>
    <w:rsid w:val="24572E1D"/>
    <w:rsid w:val="24D9609E"/>
    <w:rsid w:val="24E231A5"/>
    <w:rsid w:val="24E30305"/>
    <w:rsid w:val="24F133E8"/>
    <w:rsid w:val="250F26A4"/>
    <w:rsid w:val="251D5997"/>
    <w:rsid w:val="255676EF"/>
    <w:rsid w:val="255B2F57"/>
    <w:rsid w:val="256E67E6"/>
    <w:rsid w:val="25746BE8"/>
    <w:rsid w:val="257C638F"/>
    <w:rsid w:val="258C1362"/>
    <w:rsid w:val="25AC5366"/>
    <w:rsid w:val="25FA62CC"/>
    <w:rsid w:val="2647157C"/>
    <w:rsid w:val="266D15D9"/>
    <w:rsid w:val="26B66697"/>
    <w:rsid w:val="27022698"/>
    <w:rsid w:val="27050DA1"/>
    <w:rsid w:val="27093C7A"/>
    <w:rsid w:val="272E26D1"/>
    <w:rsid w:val="2771431A"/>
    <w:rsid w:val="277A7AB2"/>
    <w:rsid w:val="282D0BDB"/>
    <w:rsid w:val="28335AC5"/>
    <w:rsid w:val="287F5223"/>
    <w:rsid w:val="28B135BA"/>
    <w:rsid w:val="28D126FD"/>
    <w:rsid w:val="28DD7743"/>
    <w:rsid w:val="28E84B02"/>
    <w:rsid w:val="28ED036A"/>
    <w:rsid w:val="29233D8C"/>
    <w:rsid w:val="29676040"/>
    <w:rsid w:val="296F5AFE"/>
    <w:rsid w:val="29BF6E37"/>
    <w:rsid w:val="29F23E8A"/>
    <w:rsid w:val="29FD04D3"/>
    <w:rsid w:val="2A4B5348"/>
    <w:rsid w:val="2A5C4DCB"/>
    <w:rsid w:val="2A6D3510"/>
    <w:rsid w:val="2A704DAF"/>
    <w:rsid w:val="2A81520E"/>
    <w:rsid w:val="2A9B6221"/>
    <w:rsid w:val="2ACF41CB"/>
    <w:rsid w:val="2AF91248"/>
    <w:rsid w:val="2B395AE8"/>
    <w:rsid w:val="2B412B78"/>
    <w:rsid w:val="2BAD11C0"/>
    <w:rsid w:val="2BE617CC"/>
    <w:rsid w:val="2BEF7BC2"/>
    <w:rsid w:val="2BFF7BC6"/>
    <w:rsid w:val="2C133908"/>
    <w:rsid w:val="2C31056E"/>
    <w:rsid w:val="2C8A61B5"/>
    <w:rsid w:val="2C954FA0"/>
    <w:rsid w:val="2C98683F"/>
    <w:rsid w:val="2CB74F17"/>
    <w:rsid w:val="2CD59C95"/>
    <w:rsid w:val="2CDC497D"/>
    <w:rsid w:val="2CFD31AF"/>
    <w:rsid w:val="2D592BF0"/>
    <w:rsid w:val="2DB11743"/>
    <w:rsid w:val="2DC83C90"/>
    <w:rsid w:val="2DDD6BFF"/>
    <w:rsid w:val="2DDF4725"/>
    <w:rsid w:val="2DF04E50"/>
    <w:rsid w:val="2E305D59"/>
    <w:rsid w:val="2E3305CD"/>
    <w:rsid w:val="2E592BDF"/>
    <w:rsid w:val="2EF75A9F"/>
    <w:rsid w:val="2EFD05E5"/>
    <w:rsid w:val="2F040D46"/>
    <w:rsid w:val="2F4F95CE"/>
    <w:rsid w:val="2FACAFDD"/>
    <w:rsid w:val="2FAE5751"/>
    <w:rsid w:val="2FB1A395"/>
    <w:rsid w:val="2FC00586"/>
    <w:rsid w:val="2FC71C76"/>
    <w:rsid w:val="2FCF0B76"/>
    <w:rsid w:val="2FD25A98"/>
    <w:rsid w:val="2FD9A7D8"/>
    <w:rsid w:val="305331A8"/>
    <w:rsid w:val="306727B0"/>
    <w:rsid w:val="311961A0"/>
    <w:rsid w:val="31276D09"/>
    <w:rsid w:val="312B1250"/>
    <w:rsid w:val="31360F61"/>
    <w:rsid w:val="313A1C72"/>
    <w:rsid w:val="314A25B5"/>
    <w:rsid w:val="314F3DCD"/>
    <w:rsid w:val="31523460"/>
    <w:rsid w:val="3163566D"/>
    <w:rsid w:val="316E67C5"/>
    <w:rsid w:val="31865A40"/>
    <w:rsid w:val="318718D0"/>
    <w:rsid w:val="319F7F4E"/>
    <w:rsid w:val="31E63BA8"/>
    <w:rsid w:val="320329AC"/>
    <w:rsid w:val="320504D2"/>
    <w:rsid w:val="3234700A"/>
    <w:rsid w:val="32715B68"/>
    <w:rsid w:val="32843AED"/>
    <w:rsid w:val="329C1565"/>
    <w:rsid w:val="32B71D17"/>
    <w:rsid w:val="3304078A"/>
    <w:rsid w:val="3304709D"/>
    <w:rsid w:val="33DE0FDB"/>
    <w:rsid w:val="33DE1C53"/>
    <w:rsid w:val="33E522B6"/>
    <w:rsid w:val="33EF0EE7"/>
    <w:rsid w:val="340D366E"/>
    <w:rsid w:val="34362BC5"/>
    <w:rsid w:val="345319C9"/>
    <w:rsid w:val="348D06FD"/>
    <w:rsid w:val="34991F21"/>
    <w:rsid w:val="34B4262E"/>
    <w:rsid w:val="35487054"/>
    <w:rsid w:val="3555351F"/>
    <w:rsid w:val="35656669"/>
    <w:rsid w:val="35AF0E81"/>
    <w:rsid w:val="35B91D00"/>
    <w:rsid w:val="35BE10C4"/>
    <w:rsid w:val="35E57F39"/>
    <w:rsid w:val="35F44AE6"/>
    <w:rsid w:val="35F5409A"/>
    <w:rsid w:val="361909F0"/>
    <w:rsid w:val="36483138"/>
    <w:rsid w:val="365657A0"/>
    <w:rsid w:val="36914A2B"/>
    <w:rsid w:val="36AA5135"/>
    <w:rsid w:val="36BE0DA7"/>
    <w:rsid w:val="37133692"/>
    <w:rsid w:val="37353608"/>
    <w:rsid w:val="37391F42"/>
    <w:rsid w:val="376B6AA6"/>
    <w:rsid w:val="376D39B2"/>
    <w:rsid w:val="377F1104"/>
    <w:rsid w:val="37955E55"/>
    <w:rsid w:val="37E1109A"/>
    <w:rsid w:val="37E16F03"/>
    <w:rsid w:val="37F53A3B"/>
    <w:rsid w:val="381256F7"/>
    <w:rsid w:val="38206066"/>
    <w:rsid w:val="382C3196"/>
    <w:rsid w:val="383F191B"/>
    <w:rsid w:val="38D469F0"/>
    <w:rsid w:val="38E5105E"/>
    <w:rsid w:val="38F78389"/>
    <w:rsid w:val="38FE0304"/>
    <w:rsid w:val="390D133D"/>
    <w:rsid w:val="397BAF1F"/>
    <w:rsid w:val="39E7B272"/>
    <w:rsid w:val="39F310A6"/>
    <w:rsid w:val="39F50E2C"/>
    <w:rsid w:val="39F620C1"/>
    <w:rsid w:val="39F7642F"/>
    <w:rsid w:val="39FF7B37"/>
    <w:rsid w:val="3A00614F"/>
    <w:rsid w:val="3A0379ED"/>
    <w:rsid w:val="3A3739CF"/>
    <w:rsid w:val="3AAB46ED"/>
    <w:rsid w:val="3AB79AF3"/>
    <w:rsid w:val="3AFDCB77"/>
    <w:rsid w:val="3AFF07E3"/>
    <w:rsid w:val="3B095AAC"/>
    <w:rsid w:val="3B7EF35A"/>
    <w:rsid w:val="3B911029"/>
    <w:rsid w:val="3B9FDB6C"/>
    <w:rsid w:val="3BB30F9F"/>
    <w:rsid w:val="3BF5BC2F"/>
    <w:rsid w:val="3BF7C23A"/>
    <w:rsid w:val="3BFF223E"/>
    <w:rsid w:val="3C1729E6"/>
    <w:rsid w:val="3C1852A6"/>
    <w:rsid w:val="3C241E9D"/>
    <w:rsid w:val="3C6EC0A1"/>
    <w:rsid w:val="3CDB0824"/>
    <w:rsid w:val="3CEA09F1"/>
    <w:rsid w:val="3CEBA265"/>
    <w:rsid w:val="3CFE449C"/>
    <w:rsid w:val="3D05712F"/>
    <w:rsid w:val="3D4C3A06"/>
    <w:rsid w:val="3D6407A3"/>
    <w:rsid w:val="3D6A7F9F"/>
    <w:rsid w:val="3D7E7F4D"/>
    <w:rsid w:val="3D98207C"/>
    <w:rsid w:val="3D9CF30A"/>
    <w:rsid w:val="3DFF5A3E"/>
    <w:rsid w:val="3E1F6A20"/>
    <w:rsid w:val="3E3C1F3A"/>
    <w:rsid w:val="3E78745D"/>
    <w:rsid w:val="3E866D53"/>
    <w:rsid w:val="3E9B4698"/>
    <w:rsid w:val="3EA10078"/>
    <w:rsid w:val="3EAA0C92"/>
    <w:rsid w:val="3EAE30F0"/>
    <w:rsid w:val="3EEE77E9"/>
    <w:rsid w:val="3F0407D9"/>
    <w:rsid w:val="3F1C50AD"/>
    <w:rsid w:val="3F394AF5"/>
    <w:rsid w:val="3F6251B6"/>
    <w:rsid w:val="3F6F51DD"/>
    <w:rsid w:val="3FA550A3"/>
    <w:rsid w:val="3FAA4467"/>
    <w:rsid w:val="3FBE5714"/>
    <w:rsid w:val="3FD81BE8"/>
    <w:rsid w:val="3FDD8615"/>
    <w:rsid w:val="3FDFB2FF"/>
    <w:rsid w:val="3FF4CAE0"/>
    <w:rsid w:val="3FF75FAF"/>
    <w:rsid w:val="3FF7B227"/>
    <w:rsid w:val="40096C2B"/>
    <w:rsid w:val="40267F92"/>
    <w:rsid w:val="40C61775"/>
    <w:rsid w:val="40E77468"/>
    <w:rsid w:val="40FC06ED"/>
    <w:rsid w:val="41076015"/>
    <w:rsid w:val="411419E3"/>
    <w:rsid w:val="411A3B22"/>
    <w:rsid w:val="416845DA"/>
    <w:rsid w:val="41782A6F"/>
    <w:rsid w:val="41847666"/>
    <w:rsid w:val="418A1141"/>
    <w:rsid w:val="41F00D72"/>
    <w:rsid w:val="42186000"/>
    <w:rsid w:val="42301F23"/>
    <w:rsid w:val="42780E8A"/>
    <w:rsid w:val="428F49D7"/>
    <w:rsid w:val="42D53EF1"/>
    <w:rsid w:val="42D96239"/>
    <w:rsid w:val="42EE49BD"/>
    <w:rsid w:val="431E7646"/>
    <w:rsid w:val="433429C6"/>
    <w:rsid w:val="43670FED"/>
    <w:rsid w:val="438A3E6A"/>
    <w:rsid w:val="43DA71C2"/>
    <w:rsid w:val="43DF5027"/>
    <w:rsid w:val="43FB7987"/>
    <w:rsid w:val="4435440B"/>
    <w:rsid w:val="44473A29"/>
    <w:rsid w:val="448E07FB"/>
    <w:rsid w:val="44B4057D"/>
    <w:rsid w:val="44E268DA"/>
    <w:rsid w:val="45085EB8"/>
    <w:rsid w:val="455301B6"/>
    <w:rsid w:val="4572614E"/>
    <w:rsid w:val="457D642B"/>
    <w:rsid w:val="457F4F6B"/>
    <w:rsid w:val="4593336B"/>
    <w:rsid w:val="459C04E5"/>
    <w:rsid w:val="45A73923"/>
    <w:rsid w:val="45BE6EBE"/>
    <w:rsid w:val="45C83899"/>
    <w:rsid w:val="462975F3"/>
    <w:rsid w:val="46B4467B"/>
    <w:rsid w:val="46C655B1"/>
    <w:rsid w:val="46F42025"/>
    <w:rsid w:val="47290367"/>
    <w:rsid w:val="4737FB58"/>
    <w:rsid w:val="476E629E"/>
    <w:rsid w:val="477D5002"/>
    <w:rsid w:val="47932530"/>
    <w:rsid w:val="47ECCB02"/>
    <w:rsid w:val="47FA6A3F"/>
    <w:rsid w:val="482020BC"/>
    <w:rsid w:val="486C0E54"/>
    <w:rsid w:val="487E46E3"/>
    <w:rsid w:val="490948F4"/>
    <w:rsid w:val="490E1C25"/>
    <w:rsid w:val="49311039"/>
    <w:rsid w:val="49351245"/>
    <w:rsid w:val="494676AE"/>
    <w:rsid w:val="49721356"/>
    <w:rsid w:val="498867F3"/>
    <w:rsid w:val="49920446"/>
    <w:rsid w:val="49D7AE48"/>
    <w:rsid w:val="4A0A26D2"/>
    <w:rsid w:val="4A1470AD"/>
    <w:rsid w:val="4A3D04B7"/>
    <w:rsid w:val="4A3F6C7E"/>
    <w:rsid w:val="4A5061C2"/>
    <w:rsid w:val="4A510301"/>
    <w:rsid w:val="4A5635EC"/>
    <w:rsid w:val="4A627F82"/>
    <w:rsid w:val="4A880D35"/>
    <w:rsid w:val="4B013B12"/>
    <w:rsid w:val="4B0E749A"/>
    <w:rsid w:val="4B1D475A"/>
    <w:rsid w:val="4B4F25DA"/>
    <w:rsid w:val="4B8B339F"/>
    <w:rsid w:val="4B944949"/>
    <w:rsid w:val="4BA206E8"/>
    <w:rsid w:val="4BBB4781"/>
    <w:rsid w:val="4BBF74EC"/>
    <w:rsid w:val="4BD709A5"/>
    <w:rsid w:val="4BDD9BFF"/>
    <w:rsid w:val="4BE068DB"/>
    <w:rsid w:val="4C06511B"/>
    <w:rsid w:val="4C0A4C0B"/>
    <w:rsid w:val="4C0D2006"/>
    <w:rsid w:val="4C0E2EA2"/>
    <w:rsid w:val="4C147838"/>
    <w:rsid w:val="4C19613B"/>
    <w:rsid w:val="4C6E13DF"/>
    <w:rsid w:val="4C7B08B6"/>
    <w:rsid w:val="4CC748AA"/>
    <w:rsid w:val="4D006DCC"/>
    <w:rsid w:val="4D1F6494"/>
    <w:rsid w:val="4D2C73DC"/>
    <w:rsid w:val="4D4D1254"/>
    <w:rsid w:val="4D545C65"/>
    <w:rsid w:val="4D577224"/>
    <w:rsid w:val="4D7E0DAB"/>
    <w:rsid w:val="4DBF1CEB"/>
    <w:rsid w:val="4DBF6A6B"/>
    <w:rsid w:val="4DF6A672"/>
    <w:rsid w:val="4E2B70BB"/>
    <w:rsid w:val="4E335704"/>
    <w:rsid w:val="4E4D7031"/>
    <w:rsid w:val="4E577EB0"/>
    <w:rsid w:val="4E5E2FEC"/>
    <w:rsid w:val="4E686874"/>
    <w:rsid w:val="4E86609F"/>
    <w:rsid w:val="4EAB630A"/>
    <w:rsid w:val="4ECA0682"/>
    <w:rsid w:val="4ECC7F56"/>
    <w:rsid w:val="4ECE2238"/>
    <w:rsid w:val="4ED212E5"/>
    <w:rsid w:val="4F06173F"/>
    <w:rsid w:val="4F4619EF"/>
    <w:rsid w:val="4F4A3571"/>
    <w:rsid w:val="4F622668"/>
    <w:rsid w:val="4F7EA413"/>
    <w:rsid w:val="4F9111A0"/>
    <w:rsid w:val="4FAB812F"/>
    <w:rsid w:val="4FD61243"/>
    <w:rsid w:val="4FE9BD67"/>
    <w:rsid w:val="4FEB6B02"/>
    <w:rsid w:val="4FEE4C07"/>
    <w:rsid w:val="4FFB052F"/>
    <w:rsid w:val="50175B49"/>
    <w:rsid w:val="50813118"/>
    <w:rsid w:val="50B43398"/>
    <w:rsid w:val="50BE4216"/>
    <w:rsid w:val="51086A32"/>
    <w:rsid w:val="513E2C61"/>
    <w:rsid w:val="515F729D"/>
    <w:rsid w:val="51B7313F"/>
    <w:rsid w:val="51C63383"/>
    <w:rsid w:val="51C94C21"/>
    <w:rsid w:val="51E732F9"/>
    <w:rsid w:val="51E7619B"/>
    <w:rsid w:val="5221002A"/>
    <w:rsid w:val="52350508"/>
    <w:rsid w:val="527602F2"/>
    <w:rsid w:val="52884ADC"/>
    <w:rsid w:val="528A0854"/>
    <w:rsid w:val="52C12376"/>
    <w:rsid w:val="52CD0741"/>
    <w:rsid w:val="52F43F1F"/>
    <w:rsid w:val="532F6FE7"/>
    <w:rsid w:val="53672943"/>
    <w:rsid w:val="537E6D0A"/>
    <w:rsid w:val="53AB6B88"/>
    <w:rsid w:val="53F74C96"/>
    <w:rsid w:val="53FF6F2D"/>
    <w:rsid w:val="545D78A2"/>
    <w:rsid w:val="549E05E7"/>
    <w:rsid w:val="54A53154"/>
    <w:rsid w:val="54B24092"/>
    <w:rsid w:val="54CB1720"/>
    <w:rsid w:val="54D67D81"/>
    <w:rsid w:val="55214D74"/>
    <w:rsid w:val="552E0A2A"/>
    <w:rsid w:val="55404C55"/>
    <w:rsid w:val="5583522D"/>
    <w:rsid w:val="55AE2AAB"/>
    <w:rsid w:val="55CA71B9"/>
    <w:rsid w:val="55D122F6"/>
    <w:rsid w:val="55E57E8B"/>
    <w:rsid w:val="56024BA5"/>
    <w:rsid w:val="56051FA0"/>
    <w:rsid w:val="561548D9"/>
    <w:rsid w:val="562B51ED"/>
    <w:rsid w:val="56814DC6"/>
    <w:rsid w:val="568874DC"/>
    <w:rsid w:val="56B75990"/>
    <w:rsid w:val="573C5E95"/>
    <w:rsid w:val="57AC6B77"/>
    <w:rsid w:val="57BD3DD4"/>
    <w:rsid w:val="57EA769F"/>
    <w:rsid w:val="57F9CD1E"/>
    <w:rsid w:val="58535244"/>
    <w:rsid w:val="58896E8A"/>
    <w:rsid w:val="58960D51"/>
    <w:rsid w:val="58A61A68"/>
    <w:rsid w:val="58DA3BB7"/>
    <w:rsid w:val="58EA204C"/>
    <w:rsid w:val="591D01AE"/>
    <w:rsid w:val="59751723"/>
    <w:rsid w:val="59771406"/>
    <w:rsid w:val="59CF036B"/>
    <w:rsid w:val="59F64A21"/>
    <w:rsid w:val="5A4F5EDF"/>
    <w:rsid w:val="5A673229"/>
    <w:rsid w:val="5A81078E"/>
    <w:rsid w:val="5AB126F6"/>
    <w:rsid w:val="5AF84792"/>
    <w:rsid w:val="5AF92295"/>
    <w:rsid w:val="5AF9D8E9"/>
    <w:rsid w:val="5AFC7FBA"/>
    <w:rsid w:val="5B215ACE"/>
    <w:rsid w:val="5B33135D"/>
    <w:rsid w:val="5B737EC3"/>
    <w:rsid w:val="5B841BB9"/>
    <w:rsid w:val="5B8502CC"/>
    <w:rsid w:val="5BA312A3"/>
    <w:rsid w:val="5BA83AF9"/>
    <w:rsid w:val="5BA904C1"/>
    <w:rsid w:val="5BBF6411"/>
    <w:rsid w:val="5BD90156"/>
    <w:rsid w:val="5BDD38BD"/>
    <w:rsid w:val="5BDD79E6"/>
    <w:rsid w:val="5BEFC772"/>
    <w:rsid w:val="5BFF5DFC"/>
    <w:rsid w:val="5C3563A6"/>
    <w:rsid w:val="5C4A37B9"/>
    <w:rsid w:val="5C4C0928"/>
    <w:rsid w:val="5C857FD9"/>
    <w:rsid w:val="5CD71FC4"/>
    <w:rsid w:val="5D1F11B5"/>
    <w:rsid w:val="5D3647F9"/>
    <w:rsid w:val="5D3B3AB4"/>
    <w:rsid w:val="5DA644D4"/>
    <w:rsid w:val="5DAE1B18"/>
    <w:rsid w:val="5DCA20DB"/>
    <w:rsid w:val="5DE7D9E5"/>
    <w:rsid w:val="5E007C1C"/>
    <w:rsid w:val="5E0A45F7"/>
    <w:rsid w:val="5E48511F"/>
    <w:rsid w:val="5E55122B"/>
    <w:rsid w:val="5E6463FD"/>
    <w:rsid w:val="5E785D0C"/>
    <w:rsid w:val="5E79352B"/>
    <w:rsid w:val="5EC724E8"/>
    <w:rsid w:val="5ECEC941"/>
    <w:rsid w:val="5EFF8FC6"/>
    <w:rsid w:val="5F0934E8"/>
    <w:rsid w:val="5F294F51"/>
    <w:rsid w:val="5F5BA39A"/>
    <w:rsid w:val="5F6917F1"/>
    <w:rsid w:val="5F7D3B79"/>
    <w:rsid w:val="5F7F4610"/>
    <w:rsid w:val="5F830B05"/>
    <w:rsid w:val="5F8A40E9"/>
    <w:rsid w:val="5FBF9FF3"/>
    <w:rsid w:val="5FC4123E"/>
    <w:rsid w:val="5FCD4E2C"/>
    <w:rsid w:val="5FE70BD8"/>
    <w:rsid w:val="5FEF394A"/>
    <w:rsid w:val="5FEF5B1A"/>
    <w:rsid w:val="5FF67715"/>
    <w:rsid w:val="600056E2"/>
    <w:rsid w:val="6008100A"/>
    <w:rsid w:val="60714E01"/>
    <w:rsid w:val="60B151FE"/>
    <w:rsid w:val="60C70EC5"/>
    <w:rsid w:val="60DD5056"/>
    <w:rsid w:val="616E35A5"/>
    <w:rsid w:val="61B4729D"/>
    <w:rsid w:val="61B76844"/>
    <w:rsid w:val="61CA71D5"/>
    <w:rsid w:val="61CD390C"/>
    <w:rsid w:val="61E909C7"/>
    <w:rsid w:val="62084BB7"/>
    <w:rsid w:val="62212762"/>
    <w:rsid w:val="6263077A"/>
    <w:rsid w:val="626D784A"/>
    <w:rsid w:val="627EE9EA"/>
    <w:rsid w:val="62874F78"/>
    <w:rsid w:val="62A31220"/>
    <w:rsid w:val="62EC4C13"/>
    <w:rsid w:val="62F37D50"/>
    <w:rsid w:val="630E2DDB"/>
    <w:rsid w:val="63163A3E"/>
    <w:rsid w:val="634520A2"/>
    <w:rsid w:val="63654862"/>
    <w:rsid w:val="639E415F"/>
    <w:rsid w:val="63B23AA5"/>
    <w:rsid w:val="63C67212"/>
    <w:rsid w:val="63EE7149"/>
    <w:rsid w:val="6421269A"/>
    <w:rsid w:val="647F5392"/>
    <w:rsid w:val="64A137DB"/>
    <w:rsid w:val="64E322C4"/>
    <w:rsid w:val="64F93617"/>
    <w:rsid w:val="65556AA0"/>
    <w:rsid w:val="65586590"/>
    <w:rsid w:val="655D7702"/>
    <w:rsid w:val="65644F35"/>
    <w:rsid w:val="65A63EDC"/>
    <w:rsid w:val="65C74E59"/>
    <w:rsid w:val="65FB93B9"/>
    <w:rsid w:val="66081D64"/>
    <w:rsid w:val="66153EF0"/>
    <w:rsid w:val="66154481"/>
    <w:rsid w:val="6633C463"/>
    <w:rsid w:val="663C7C5F"/>
    <w:rsid w:val="66411321"/>
    <w:rsid w:val="66507267"/>
    <w:rsid w:val="66763171"/>
    <w:rsid w:val="667C3B6B"/>
    <w:rsid w:val="669E3068"/>
    <w:rsid w:val="66A9586C"/>
    <w:rsid w:val="66CB4B3F"/>
    <w:rsid w:val="66D87988"/>
    <w:rsid w:val="67047645"/>
    <w:rsid w:val="671B1623"/>
    <w:rsid w:val="67256946"/>
    <w:rsid w:val="672F3320"/>
    <w:rsid w:val="673B1CC5"/>
    <w:rsid w:val="67D55B77"/>
    <w:rsid w:val="67EE7F84"/>
    <w:rsid w:val="683C7AA3"/>
    <w:rsid w:val="685E3EBD"/>
    <w:rsid w:val="686F5F53"/>
    <w:rsid w:val="68AF64C7"/>
    <w:rsid w:val="68B27D65"/>
    <w:rsid w:val="68C14ED1"/>
    <w:rsid w:val="68D65B8C"/>
    <w:rsid w:val="690D7A3A"/>
    <w:rsid w:val="6914022D"/>
    <w:rsid w:val="69584DB0"/>
    <w:rsid w:val="696E0130"/>
    <w:rsid w:val="696F3CB8"/>
    <w:rsid w:val="69A30B33"/>
    <w:rsid w:val="6A8219B9"/>
    <w:rsid w:val="6AA14535"/>
    <w:rsid w:val="6AAD4680"/>
    <w:rsid w:val="6ADB7A47"/>
    <w:rsid w:val="6AEA1A38"/>
    <w:rsid w:val="6AFC22A7"/>
    <w:rsid w:val="6AFFCEAF"/>
    <w:rsid w:val="6B361121"/>
    <w:rsid w:val="6B44313C"/>
    <w:rsid w:val="6B6317EA"/>
    <w:rsid w:val="6B96E9E6"/>
    <w:rsid w:val="6BCE57B5"/>
    <w:rsid w:val="6BFEA4DB"/>
    <w:rsid w:val="6BFFB662"/>
    <w:rsid w:val="6C066D46"/>
    <w:rsid w:val="6C446D5C"/>
    <w:rsid w:val="6C4A05C8"/>
    <w:rsid w:val="6C5F01A4"/>
    <w:rsid w:val="6C831302"/>
    <w:rsid w:val="6C895281"/>
    <w:rsid w:val="6CAD5413"/>
    <w:rsid w:val="6CD01102"/>
    <w:rsid w:val="6CEE3336"/>
    <w:rsid w:val="6CFF4FB8"/>
    <w:rsid w:val="6D365409"/>
    <w:rsid w:val="6D6BD6E0"/>
    <w:rsid w:val="6D77E73C"/>
    <w:rsid w:val="6D7D4DE5"/>
    <w:rsid w:val="6D9209E8"/>
    <w:rsid w:val="6DBF5E93"/>
    <w:rsid w:val="6DC42A14"/>
    <w:rsid w:val="6DCA0B2C"/>
    <w:rsid w:val="6DD469CF"/>
    <w:rsid w:val="6DE76703"/>
    <w:rsid w:val="6DFF077E"/>
    <w:rsid w:val="6E217E67"/>
    <w:rsid w:val="6E22598D"/>
    <w:rsid w:val="6E352BE2"/>
    <w:rsid w:val="6E4A6CB3"/>
    <w:rsid w:val="6E7206C2"/>
    <w:rsid w:val="6E770E8B"/>
    <w:rsid w:val="6E7E3605"/>
    <w:rsid w:val="6E7FDCC7"/>
    <w:rsid w:val="6E971ED7"/>
    <w:rsid w:val="6E9A5523"/>
    <w:rsid w:val="6EA349D4"/>
    <w:rsid w:val="6EBC7B8F"/>
    <w:rsid w:val="6EBC7BBF"/>
    <w:rsid w:val="6ED6A62E"/>
    <w:rsid w:val="6ED749C9"/>
    <w:rsid w:val="6EDA396D"/>
    <w:rsid w:val="6EE00B15"/>
    <w:rsid w:val="6EE737B2"/>
    <w:rsid w:val="6EEB2329"/>
    <w:rsid w:val="6EECE67A"/>
    <w:rsid w:val="6F04481E"/>
    <w:rsid w:val="6F082DD5"/>
    <w:rsid w:val="6F0C5929"/>
    <w:rsid w:val="6F1632A2"/>
    <w:rsid w:val="6F6F90A8"/>
    <w:rsid w:val="6F6FB3EB"/>
    <w:rsid w:val="6F7C48D1"/>
    <w:rsid w:val="6F7F51B2"/>
    <w:rsid w:val="6F8731EA"/>
    <w:rsid w:val="6F915A10"/>
    <w:rsid w:val="6FBC2ADD"/>
    <w:rsid w:val="6FD57C00"/>
    <w:rsid w:val="6FEFFFD8"/>
    <w:rsid w:val="6FF5CC65"/>
    <w:rsid w:val="6FFB47EC"/>
    <w:rsid w:val="6FFF034A"/>
    <w:rsid w:val="70026B43"/>
    <w:rsid w:val="702A76CD"/>
    <w:rsid w:val="70497201"/>
    <w:rsid w:val="7053007F"/>
    <w:rsid w:val="707714A5"/>
    <w:rsid w:val="707F2EB1"/>
    <w:rsid w:val="70820965"/>
    <w:rsid w:val="70832927"/>
    <w:rsid w:val="70AB7EBB"/>
    <w:rsid w:val="70B14DA6"/>
    <w:rsid w:val="70B948B3"/>
    <w:rsid w:val="70BB4A7D"/>
    <w:rsid w:val="70C955ED"/>
    <w:rsid w:val="70DD7023"/>
    <w:rsid w:val="70E935AF"/>
    <w:rsid w:val="712A28F1"/>
    <w:rsid w:val="712B7944"/>
    <w:rsid w:val="714472B1"/>
    <w:rsid w:val="714D0F73"/>
    <w:rsid w:val="715B620A"/>
    <w:rsid w:val="715C0E4B"/>
    <w:rsid w:val="715F7D32"/>
    <w:rsid w:val="71774818"/>
    <w:rsid w:val="71855BD8"/>
    <w:rsid w:val="718C1A9B"/>
    <w:rsid w:val="71924BD7"/>
    <w:rsid w:val="71AD7C63"/>
    <w:rsid w:val="71FFD401"/>
    <w:rsid w:val="72233669"/>
    <w:rsid w:val="722717C4"/>
    <w:rsid w:val="72411EE6"/>
    <w:rsid w:val="72592872"/>
    <w:rsid w:val="72734D90"/>
    <w:rsid w:val="72744794"/>
    <w:rsid w:val="72B37FC3"/>
    <w:rsid w:val="72BF6C9F"/>
    <w:rsid w:val="72DD00D4"/>
    <w:rsid w:val="72DE7E33"/>
    <w:rsid w:val="72E64027"/>
    <w:rsid w:val="73062A5F"/>
    <w:rsid w:val="731F693F"/>
    <w:rsid w:val="732D7940"/>
    <w:rsid w:val="7332FE48"/>
    <w:rsid w:val="73530396"/>
    <w:rsid w:val="739F538A"/>
    <w:rsid w:val="73A842AC"/>
    <w:rsid w:val="73AD73D5"/>
    <w:rsid w:val="73AF421E"/>
    <w:rsid w:val="73B6EB34"/>
    <w:rsid w:val="73E7745D"/>
    <w:rsid w:val="73F05FFB"/>
    <w:rsid w:val="73FA497D"/>
    <w:rsid w:val="744731E5"/>
    <w:rsid w:val="74493C73"/>
    <w:rsid w:val="745B743F"/>
    <w:rsid w:val="74730CF0"/>
    <w:rsid w:val="748610A2"/>
    <w:rsid w:val="74BBD01D"/>
    <w:rsid w:val="74ED5379"/>
    <w:rsid w:val="750C4DA2"/>
    <w:rsid w:val="75232716"/>
    <w:rsid w:val="7553467E"/>
    <w:rsid w:val="755D53DF"/>
    <w:rsid w:val="75693EA1"/>
    <w:rsid w:val="75842A89"/>
    <w:rsid w:val="75C842CE"/>
    <w:rsid w:val="75DEEEC2"/>
    <w:rsid w:val="767619AA"/>
    <w:rsid w:val="767F479D"/>
    <w:rsid w:val="76B91DFD"/>
    <w:rsid w:val="76C3673C"/>
    <w:rsid w:val="76C43A85"/>
    <w:rsid w:val="76D96E05"/>
    <w:rsid w:val="76E3355F"/>
    <w:rsid w:val="76F742AF"/>
    <w:rsid w:val="76F7BE7D"/>
    <w:rsid w:val="76FD1A79"/>
    <w:rsid w:val="76FF5125"/>
    <w:rsid w:val="771A1486"/>
    <w:rsid w:val="771C566F"/>
    <w:rsid w:val="773570D3"/>
    <w:rsid w:val="77597F31"/>
    <w:rsid w:val="776F6FFA"/>
    <w:rsid w:val="7777A522"/>
    <w:rsid w:val="77858688"/>
    <w:rsid w:val="778769C8"/>
    <w:rsid w:val="779733A7"/>
    <w:rsid w:val="77CB741A"/>
    <w:rsid w:val="77D7BE3A"/>
    <w:rsid w:val="77DC22F5"/>
    <w:rsid w:val="77FD07A3"/>
    <w:rsid w:val="78136137"/>
    <w:rsid w:val="78212811"/>
    <w:rsid w:val="783C4B22"/>
    <w:rsid w:val="78591FAB"/>
    <w:rsid w:val="78697F67"/>
    <w:rsid w:val="78870226"/>
    <w:rsid w:val="78BA7843"/>
    <w:rsid w:val="78D37D30"/>
    <w:rsid w:val="78EE6B97"/>
    <w:rsid w:val="79153478"/>
    <w:rsid w:val="792268B6"/>
    <w:rsid w:val="792720A9"/>
    <w:rsid w:val="79780B57"/>
    <w:rsid w:val="797E3A6C"/>
    <w:rsid w:val="79B345B2"/>
    <w:rsid w:val="79C1161A"/>
    <w:rsid w:val="79C32A3F"/>
    <w:rsid w:val="79C76953"/>
    <w:rsid w:val="79CF70E2"/>
    <w:rsid w:val="79D7FD79"/>
    <w:rsid w:val="79E75806"/>
    <w:rsid w:val="79EE5BA4"/>
    <w:rsid w:val="79FF3026"/>
    <w:rsid w:val="7A4B6AC4"/>
    <w:rsid w:val="7A53759E"/>
    <w:rsid w:val="7A641148"/>
    <w:rsid w:val="7A6F8BF5"/>
    <w:rsid w:val="7A717320"/>
    <w:rsid w:val="7A8550AF"/>
    <w:rsid w:val="7A894339"/>
    <w:rsid w:val="7ACF82B5"/>
    <w:rsid w:val="7AED225C"/>
    <w:rsid w:val="7AFF28C9"/>
    <w:rsid w:val="7AFF72A0"/>
    <w:rsid w:val="7AFF7572"/>
    <w:rsid w:val="7B30793B"/>
    <w:rsid w:val="7B3A2568"/>
    <w:rsid w:val="7B6C7DFB"/>
    <w:rsid w:val="7B7517F2"/>
    <w:rsid w:val="7B7D76A7"/>
    <w:rsid w:val="7B971768"/>
    <w:rsid w:val="7BAE2FE2"/>
    <w:rsid w:val="7BAF61E8"/>
    <w:rsid w:val="7BAF6951"/>
    <w:rsid w:val="7BBFBED0"/>
    <w:rsid w:val="7BC3E394"/>
    <w:rsid w:val="7BC736D0"/>
    <w:rsid w:val="7BC938EC"/>
    <w:rsid w:val="7BF3FE4C"/>
    <w:rsid w:val="7BFB5035"/>
    <w:rsid w:val="7BFDE17E"/>
    <w:rsid w:val="7C084414"/>
    <w:rsid w:val="7C265313"/>
    <w:rsid w:val="7C30396B"/>
    <w:rsid w:val="7CBFC87B"/>
    <w:rsid w:val="7CD070DF"/>
    <w:rsid w:val="7CD95DB0"/>
    <w:rsid w:val="7CFE0F48"/>
    <w:rsid w:val="7D1F7C67"/>
    <w:rsid w:val="7D242473"/>
    <w:rsid w:val="7D3DE31C"/>
    <w:rsid w:val="7D6C3B3C"/>
    <w:rsid w:val="7D6E28DE"/>
    <w:rsid w:val="7D7EC23E"/>
    <w:rsid w:val="7D7F8A13"/>
    <w:rsid w:val="7D9F2B56"/>
    <w:rsid w:val="7DBBCB01"/>
    <w:rsid w:val="7DC765D0"/>
    <w:rsid w:val="7DCB394B"/>
    <w:rsid w:val="7DDB0EE0"/>
    <w:rsid w:val="7DFF51D8"/>
    <w:rsid w:val="7E634199"/>
    <w:rsid w:val="7E7A711F"/>
    <w:rsid w:val="7E8835EA"/>
    <w:rsid w:val="7E8ADEBF"/>
    <w:rsid w:val="7EDB5E10"/>
    <w:rsid w:val="7EEF11D3"/>
    <w:rsid w:val="7EF78C20"/>
    <w:rsid w:val="7F0C5FC9"/>
    <w:rsid w:val="7F3F679B"/>
    <w:rsid w:val="7F4FC4EF"/>
    <w:rsid w:val="7F5E4D54"/>
    <w:rsid w:val="7F6B75FA"/>
    <w:rsid w:val="7F914720"/>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28"/>
    <w:qFormat/>
    <w:uiPriority w:val="99"/>
    <w:pPr>
      <w:spacing w:beforeLines="30"/>
    </w:pPr>
    <w:rPr>
      <w:rFonts w:ascii="仿宋_GB2312" w:eastAsia="仿宋_GB2312"/>
      <w:kern w:val="0"/>
      <w:sz w:val="30"/>
    </w:rPr>
  </w:style>
  <w:style w:type="paragraph" w:styleId="6">
    <w:name w:val="Normal Indent"/>
    <w:basedOn w:val="1"/>
    <w:qFormat/>
    <w:uiPriority w:val="0"/>
    <w:pPr>
      <w:ind w:firstLine="680"/>
    </w:pPr>
    <w:rPr>
      <w:rFonts w:eastAsia="宋体"/>
      <w:szCs w:val="24"/>
    </w:rPr>
  </w:style>
  <w:style w:type="paragraph" w:styleId="7">
    <w:name w:val="index 6"/>
    <w:basedOn w:val="1"/>
    <w:next w:val="1"/>
    <w:qFormat/>
    <w:uiPriority w:val="99"/>
    <w:pPr>
      <w:ind w:left="2100"/>
    </w:pPr>
    <w:rPr>
      <w:rFonts w:eastAsia="黑体"/>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99"/>
    <w:rPr>
      <w:rFonts w:ascii="宋体" w:hAnsi="Courier New"/>
      <w:szCs w:val="21"/>
    </w:r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8"/>
    <w:unhideWhenUsed/>
    <w:qFormat/>
    <w:uiPriority w:val="99"/>
    <w:pPr>
      <w:ind w:firstLine="420" w:firstLine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3"/>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2"/>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link w:val="3"/>
    <w:qFormat/>
    <w:uiPriority w:val="9"/>
    <w:rPr>
      <w:rFonts w:ascii="Times New Roman" w:hAnsi="Times New Roman"/>
      <w:b/>
      <w:bCs/>
      <w:kern w:val="44"/>
      <w:sz w:val="44"/>
      <w:szCs w:val="44"/>
    </w:rPr>
  </w:style>
  <w:style w:type="character" w:customStyle="1" w:styleId="32">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9"/>
    <w:link w:val="11"/>
    <w:semiHidden/>
    <w:qFormat/>
    <w:uiPriority w:val="99"/>
    <w:rPr>
      <w:rFonts w:ascii="Times New Roman" w:hAnsi="Times New Roman"/>
      <w:kern w:val="2"/>
      <w:sz w:val="18"/>
      <w:szCs w:val="18"/>
    </w:rPr>
  </w:style>
  <w:style w:type="character" w:customStyle="1" w:styleId="35">
    <w:name w:val="标题 3 Char"/>
    <w:basedOn w:val="19"/>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正文2"/>
    <w:basedOn w:val="1"/>
    <w:next w:val="1"/>
    <w:qFormat/>
    <w:uiPriority w:val="0"/>
    <w:rPr>
      <w:rFonts w:ascii="仿宋_GB2312" w:eastAsia="仿宋_GB2312"/>
      <w:sz w:val="32"/>
      <w:szCs w:val="20"/>
    </w:rPr>
  </w:style>
  <w:style w:type="character" w:customStyle="1" w:styleId="39">
    <w:name w:val="Subtle Emphasis"/>
    <w:qFormat/>
    <w:uiPriority w:val="19"/>
    <w:rPr>
      <w:i/>
      <w:iCs/>
      <w:color w:val="808080"/>
    </w:rPr>
  </w:style>
  <w:style w:type="paragraph" w:customStyle="1" w:styleId="40">
    <w:name w:val="常用样式（方正仿宋简）"/>
    <w:basedOn w:val="1"/>
    <w:next w:val="7"/>
    <w:qFormat/>
    <w:uiPriority w:val="99"/>
    <w:pPr>
      <w:spacing w:line="560" w:lineRule="exact"/>
      <w:ind w:firstLine="200" w:firstLineChars="200"/>
    </w:pPr>
    <w:rPr>
      <w:rFonts w:eastAsia="方正仿宋简体"/>
      <w:sz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4920;%20&#22312;%20&#21046;&#20316;&#20915;&#31639;&#22270;%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图1：收、支决算总计变动情况</a:t>
            </a:r>
          </a:p>
        </c:rich>
      </c:tx>
      <c:layout/>
      <c:overlay val="0"/>
      <c:spPr>
        <a:noFill/>
        <a:ln>
          <a:noFill/>
        </a:ln>
        <a:effectLst/>
      </c:spPr>
    </c:title>
    <c:autoTitleDeleted val="0"/>
    <c:plotArea>
      <c:layout>
        <c:manualLayout>
          <c:layoutTarget val="inner"/>
          <c:xMode val="edge"/>
          <c:yMode val="edge"/>
          <c:x val="0.0692"/>
          <c:y val="0.1225"/>
          <c:w val="0.905175"/>
          <c:h val="0.7164"/>
        </c:manualLayout>
      </c:layout>
      <c:barChart>
        <c:barDir val="col"/>
        <c:grouping val="clustered"/>
        <c:varyColors val="0"/>
        <c:ser>
          <c:idx val="0"/>
          <c:order val="0"/>
          <c:tx>
            <c:strRef>
              <c:f>Sheet1!$B$1</c:f>
              <c:strCache>
                <c:ptCount val="1"/>
                <c:pt idx="0">
                  <c:v>2023年</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874.05</c:v>
                </c:pt>
              </c:numCache>
            </c:numRef>
          </c:val>
        </c:ser>
        <c:ser>
          <c:idx val="1"/>
          <c:order val="1"/>
          <c:tx>
            <c:strRef>
              <c:f>Sheet1!$C$1</c:f>
              <c:strCache>
                <c:ptCount val="1"/>
                <c:pt idx="0">
                  <c:v>2024年</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934.86</c:v>
                </c:pt>
              </c:numCache>
            </c:numRef>
          </c:val>
        </c:ser>
        <c:dLbls>
          <c:showLegendKey val="0"/>
          <c:showVal val="0"/>
          <c:showCatName val="0"/>
          <c:showSerName val="0"/>
          <c:showPercent val="0"/>
          <c:showBubbleSize val="0"/>
        </c:dLbls>
        <c:gapWidth val="246"/>
        <c:overlap val="-28"/>
        <c:axId val="809874696"/>
        <c:axId val="87235809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invertIfNegative val="0"/>
                <c:dLbls>
                  <c:delete val="1"/>
                </c:dLbls>
                <c:cat>
                  <c:numRef>
                    <c:extLst>
                      <c:ext uri="{02D57815-91ED-43cb-92C2-25804820EDAC}">
                        <c15:fullRef>
                          <c15:sqref/>
                        </c15:fullRef>
                        <c15:formulaRef>
                          <c15:sqref>Sheet1!$A$2</c15:sqref>
                        </c15:formulaRef>
                      </c:ext>
                    </c:extLst>
                    <c:numCache>
                      <c:formatCode>General</c:formatCode>
                      <c:ptCount val="1"/>
                    </c:numCache>
                  </c:numRef>
                </c:cat>
              </c15:ser>
            </c15:filteredBarSeries>
          </c:ext>
        </c:extLst>
      </c:barChart>
      <c:catAx>
        <c:axId val="8098746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58098"/>
        <c:crosses val="autoZero"/>
        <c:auto val="1"/>
        <c:lblAlgn val="ctr"/>
        <c:lblOffset val="100"/>
        <c:noMultiLvlLbl val="0"/>
      </c:catAx>
      <c:valAx>
        <c:axId val="87235809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98746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447f78d-1fe3-4c96-98ea-7f6c4e2228f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图表2：收入决算结构图</a:t>
            </a:r>
          </a:p>
        </c:rich>
      </c:tx>
      <c:layout>
        <c:manualLayout>
          <c:xMode val="edge"/>
          <c:yMode val="edge"/>
          <c:x val="0.314279955228014"/>
          <c:y val="0.035637166224311"/>
        </c:manualLayout>
      </c:layout>
      <c:overlay val="0"/>
      <c:spPr>
        <a:noFill/>
        <a:ln>
          <a:noFill/>
        </a:ln>
        <a:effectLst/>
      </c:spPr>
    </c:title>
    <c:autoTitleDeleted val="0"/>
    <c:plotArea>
      <c:layout/>
      <c:pieChart>
        <c:varyColors val="1"/>
        <c:ser>
          <c:idx val="0"/>
          <c:order val="0"/>
          <c:tx>
            <c:strRef>
              <c:f>'[工作表 在 制作决算图 工作表.xlsx]Sheet1'!$B$1</c:f>
              <c:strCache>
                <c:ptCount val="1"/>
                <c:pt idx="0">
                  <c:v>列1</c:v>
                </c:pt>
              </c:strCache>
            </c:strRef>
          </c:tx>
          <c:spPr/>
          <c:explosion val="0"/>
          <c:dPt>
            <c:idx val="0"/>
            <c:bubble3D val="0"/>
            <c:explosion val="0"/>
            <c:spPr>
              <a:solidFill>
                <a:schemeClr val="accent1">
                  <a:shade val="76667"/>
                </a:schemeClr>
              </a:solidFill>
              <a:ln w="19050">
                <a:solidFill>
                  <a:schemeClr val="lt1"/>
                </a:solidFill>
              </a:ln>
              <a:effectLst/>
            </c:spPr>
          </c:dPt>
          <c:dPt>
            <c:idx val="1"/>
            <c:bubble3D val="0"/>
            <c:explosion val="0"/>
            <c:spPr>
              <a:solidFill>
                <a:schemeClr val="accent2">
                  <a:shade val="76667"/>
                </a:schemeClr>
              </a:solidFill>
              <a:ln w="19050">
                <a:solidFill>
                  <a:schemeClr val="lt1"/>
                </a:solidFill>
              </a:ln>
              <a:effectLst/>
            </c:spPr>
          </c:dPt>
          <c:dPt>
            <c:idx val="2"/>
            <c:bubble3D val="0"/>
            <c:explosion val="0"/>
            <c:spPr>
              <a:solidFill>
                <a:schemeClr val="accent3">
                  <a:shade val="76667"/>
                </a:schemeClr>
              </a:solidFill>
              <a:ln w="19050">
                <a:solidFill>
                  <a:schemeClr val="lt1"/>
                </a:solidFill>
              </a:ln>
              <a:effectLst/>
            </c:spPr>
          </c:dPt>
          <c:dPt>
            <c:idx val="3"/>
            <c:bubble3D val="0"/>
            <c:explosion val="0"/>
            <c:spPr>
              <a:solidFill>
                <a:schemeClr val="accent4">
                  <a:shade val="76667"/>
                </a:schemeClr>
              </a:solidFill>
              <a:ln w="19050">
                <a:solidFill>
                  <a:schemeClr val="lt1"/>
                </a:solidFill>
              </a:ln>
              <a:effectLst/>
            </c:spPr>
          </c:dPt>
          <c:dPt>
            <c:idx val="4"/>
            <c:bubble3D val="0"/>
            <c:explosion val="0"/>
            <c:spPr>
              <a:solidFill>
                <a:schemeClr val="accent5">
                  <a:shade val="76667"/>
                </a:schemeClr>
              </a:solidFill>
              <a:ln w="19050">
                <a:solidFill>
                  <a:schemeClr val="lt1"/>
                </a:solidFill>
              </a:ln>
              <a:effectLst/>
            </c:spPr>
          </c:dPt>
          <c:dPt>
            <c:idx val="5"/>
            <c:bubble3D val="0"/>
            <c:explosion val="0"/>
            <c:spPr>
              <a:solidFill>
                <a:schemeClr val="accent6">
                  <a:shade val="76667"/>
                </a:schemeClr>
              </a:solidFill>
              <a:ln w="19050">
                <a:solidFill>
                  <a:schemeClr val="lt1"/>
                </a:solidFill>
              </a:ln>
              <a:effectLst/>
            </c:spPr>
          </c:dPt>
          <c:dPt>
            <c:idx val="6"/>
            <c:bubble3D val="0"/>
            <c:explosion val="0"/>
            <c:spPr>
              <a:solidFill>
                <a:schemeClr val="accent1">
                  <a:tint val="76667"/>
                </a:schemeClr>
              </a:solidFill>
              <a:ln w="19050">
                <a:solidFill>
                  <a:schemeClr val="lt1"/>
                </a:solidFill>
              </a:ln>
              <a:effectLst/>
            </c:spPr>
          </c:dPt>
          <c:dPt>
            <c:idx val="7"/>
            <c:bubble3D val="0"/>
            <c:explosion val="0"/>
            <c:spPr>
              <a:solidFill>
                <a:schemeClr val="accent2">
                  <a:tint val="76667"/>
                </a:schemeClr>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934.86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[01956a3f1]Sheet1!$A$2:$A$9</c:f>
              <c:strCache>
                <c:ptCount val="8"/>
                <c:pt idx="0">
                  <c:v>一般公共预算财政收入</c:v>
                </c:pt>
                <c:pt idx="1">
                  <c:v>政府性基金预算财政拨款收入</c:v>
                </c:pt>
                <c:pt idx="2">
                  <c:v>国有资本经营预算财政收入</c:v>
                </c:pt>
                <c:pt idx="3">
                  <c:v>上级补助收入</c:v>
                </c:pt>
                <c:pt idx="4">
                  <c:v>事业收入</c:v>
                </c:pt>
                <c:pt idx="5">
                  <c:v>经营收入</c:v>
                </c:pt>
                <c:pt idx="6">
                  <c:v>附属单位上缴收入</c:v>
                </c:pt>
                <c:pt idx="7">
                  <c:v>其他收入</c:v>
                </c:pt>
              </c:strCache>
            </c:strRef>
          </c:cat>
          <c:val>
            <c:numRef>
              <c:f>[01956a3f1]Sheet1!$B$2:$B$9</c:f>
              <c:numCache>
                <c:formatCode>General</c:formatCode>
                <c:ptCount val="8"/>
                <c:pt idx="0">
                  <c:v>616.54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478624535315985"/>
          <c:y val="0.767694697137786"/>
          <c:w val="0.904275092936803"/>
          <c:h val="0.14688262702462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98aa467-a278-4bc5-b99d-197361759527}"/>
      </c:ext>
    </c:extLst>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t>：支出决算结构图</a:t>
            </a:r>
          </a:p>
        </c:rich>
      </c:tx>
      <c:layout>
        <c:manualLayout>
          <c:xMode val="edge"/>
          <c:yMode val="edge"/>
          <c:x val="0.36175"/>
          <c:y val="0.0325"/>
        </c:manualLayout>
      </c:layout>
      <c:overlay val="0"/>
      <c:spPr>
        <a:noFill/>
        <a:ln>
          <a:noFill/>
        </a:ln>
        <a:effectLst/>
      </c:spPr>
    </c:title>
    <c:autoTitleDeleted val="0"/>
    <c:plotArea>
      <c:layout/>
      <c:pieChart>
        <c:varyColors val="1"/>
        <c:ser>
          <c:idx val="0"/>
          <c:order val="0"/>
          <c:tx>
            <c:strRef>
              <c:f>Sheet1!$B$1</c:f>
              <c:strCache>
                <c:ptCount val="1"/>
                <c:pt idx="0">
                  <c:v>列2</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485.04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938404057861275"/>
                  <c:y val="0.0064886864668847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449.82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485.04</c:v>
                </c:pt>
                <c:pt idx="1">
                  <c:v>449.82</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f9f3c7f-6af5-44c2-a44a-1e6e9fda4f0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t>：财政拨款收、支决算总计变动情况</a:t>
            </a:r>
          </a:p>
        </c:rich>
      </c:tx>
      <c:layout>
        <c:manualLayout>
          <c:xMode val="edge"/>
          <c:yMode val="edge"/>
          <c:x val="0.164250037255284"/>
          <c:y val="0.00740269410410885"/>
        </c:manualLayout>
      </c:layout>
      <c:overlay val="0"/>
      <c:spPr>
        <a:noFill/>
        <a:ln>
          <a:noFill/>
        </a:ln>
        <a:effectLst/>
      </c:spPr>
    </c:title>
    <c:autoTitleDeleted val="0"/>
    <c:plotArea>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2023年</c:v>
                </c:pt>
                <c:pt idx="1">
                  <c:v>2024年</c:v>
                </c:pt>
              </c:strCache>
            </c:strRef>
          </c:cat>
          <c:val>
            <c:numRef>
              <c:f>Sheet1!$B$1:$B$2</c:f>
              <c:numCache>
                <c:formatCode>General</c:formatCode>
                <c:ptCount val="2"/>
                <c:pt idx="0">
                  <c:v>874.05</c:v>
                </c:pt>
                <c:pt idx="1">
                  <c:v>934.86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Sheet1!$A$1:$A$2</c:f>
              <c:strCache>
                <c:ptCount val="2"/>
                <c:pt idx="0">
                  <c:v>2023年</c:v>
                </c:pt>
                <c:pt idx="1">
                  <c:v>2024年</c:v>
                </c:pt>
              </c:strCache>
            </c:strRef>
          </c:cat>
          <c:val>
            <c:numRef>
              <c:f>Sheet1!$C$1:$C$2</c:f>
              <c:numCache>
                <c:formatCode>General</c:formatCode>
                <c:ptCount val="2"/>
              </c:numCache>
            </c:numRef>
          </c:val>
        </c:ser>
        <c:dLbls>
          <c:showLegendKey val="0"/>
          <c:showVal val="0"/>
          <c:showCatName val="0"/>
          <c:showSerName val="0"/>
          <c:showPercent val="0"/>
          <c:showBubbleSize val="0"/>
        </c:dLbls>
        <c:gapWidth val="219"/>
        <c:overlap val="-27"/>
        <c:axId val="36403487"/>
        <c:axId val="17459576"/>
      </c:barChart>
      <c:catAx>
        <c:axId val="364034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59576"/>
        <c:crosses val="autoZero"/>
        <c:auto val="1"/>
        <c:lblAlgn val="ctr"/>
        <c:lblOffset val="100"/>
        <c:noMultiLvlLbl val="0"/>
      </c:catAx>
      <c:valAx>
        <c:axId val="17459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40348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47fb261-14c5-4aee-a118-c97594a4d6d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t>：一般公共预算财政拨款支出决算变动情况</a:t>
            </a:r>
          </a:p>
        </c:rich>
      </c:tx>
      <c:layout>
        <c:manualLayout>
          <c:xMode val="edge"/>
          <c:yMode val="edge"/>
          <c:x val="0.164250037255284"/>
          <c:y val="0.00740269410410885"/>
        </c:manualLayout>
      </c:layout>
      <c:overlay val="0"/>
      <c:spPr>
        <a:noFill/>
        <a:ln>
          <a:noFill/>
        </a:ln>
        <a:effectLst/>
      </c:spPr>
    </c:title>
    <c:autoTitleDeleted val="0"/>
    <c:plotArea>
      <c:layout>
        <c:manualLayout>
          <c:layoutTarget val="inner"/>
          <c:xMode val="edge"/>
          <c:yMode val="edge"/>
          <c:x val="0.0572650617133081"/>
          <c:y val="0.0307930881701374"/>
          <c:w val="0.907295612855921"/>
          <c:h val="0.644971200708906"/>
        </c:manualLayout>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2023年一般公共预算财政拨款支出</c:v>
                </c:pt>
                <c:pt idx="1">
                  <c:v>2024年一般公共预算财政拨款支出</c:v>
                </c:pt>
              </c:strCache>
            </c:strRef>
          </c:cat>
          <c:val>
            <c:numRef>
              <c:f>Sheet1!$B$1:$B$2</c:f>
              <c:numCache>
                <c:formatCode>General</c:formatCode>
                <c:ptCount val="2"/>
                <c:pt idx="0">
                  <c:v>874.05</c:v>
                </c:pt>
                <c:pt idx="1">
                  <c:v>934.86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Sheet1!$A$1:$A$2</c:f>
              <c:strCache>
                <c:ptCount val="2"/>
                <c:pt idx="0">
                  <c:v>2023年一般公共预算财政拨款支出</c:v>
                </c:pt>
                <c:pt idx="1">
                  <c:v>2024年一般公共预算财政拨款支出</c:v>
                </c:pt>
              </c:strCache>
            </c:strRef>
          </c:cat>
          <c:val>
            <c:numRef>
              <c:f>Sheet1!$C$1:$C$2</c:f>
              <c:numCache>
                <c:formatCode>General</c:formatCode>
                <c:ptCount val="2"/>
              </c:numCache>
            </c:numRef>
          </c:val>
        </c:ser>
        <c:dLbls>
          <c:showLegendKey val="0"/>
          <c:showVal val="0"/>
          <c:showCatName val="0"/>
          <c:showSerName val="0"/>
          <c:showPercent val="0"/>
          <c:showBubbleSize val="0"/>
        </c:dLbls>
        <c:gapWidth val="219"/>
        <c:overlap val="-27"/>
        <c:axId val="36403487"/>
        <c:axId val="17459576"/>
      </c:barChart>
      <c:catAx>
        <c:axId val="364034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59576"/>
        <c:crosses val="autoZero"/>
        <c:auto val="1"/>
        <c:lblAlgn val="ctr"/>
        <c:lblOffset val="100"/>
        <c:noMultiLvlLbl val="0"/>
      </c:catAx>
      <c:valAx>
        <c:axId val="17459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40348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87e5119-7b0e-4fa2-9da2-69c423b1089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r>
              <a:t>：一般公共预算财政拨款支出决算结构</a:t>
            </a:r>
          </a:p>
        </c:rich>
      </c:tx>
      <c:layout>
        <c:manualLayout>
          <c:xMode val="edge"/>
          <c:yMode val="edge"/>
          <c:x val="0.122127052105639"/>
          <c:y val="0.00695249130938586"/>
        </c:manualLayout>
      </c:layout>
      <c:overlay val="0"/>
      <c:spPr>
        <a:noFill/>
        <a:ln>
          <a:noFill/>
        </a:ln>
        <a:effectLst/>
      </c:spPr>
    </c:title>
    <c:autoTitleDeleted val="0"/>
    <c:plotArea>
      <c:layout>
        <c:manualLayout>
          <c:layoutTarget val="inner"/>
          <c:xMode val="edge"/>
          <c:yMode val="edge"/>
          <c:x val="0.28059"/>
          <c:y val="0.169453333333333"/>
          <c:w val="0.44132"/>
          <c:h val="0.588426666666667"/>
        </c:manualLayout>
      </c:layout>
      <c:pieChart>
        <c:varyColors val="1"/>
        <c:ser>
          <c:idx val="0"/>
          <c:order val="0"/>
          <c:tx>
            <c:strRef>
              <c:f>Sheet1!$B$1</c:f>
              <c:strCache>
                <c:ptCount val="1"/>
                <c:pt idx="0">
                  <c:v>列1</c:v>
                </c:pt>
              </c:strCache>
            </c:strRef>
          </c:tx>
          <c:spPr/>
          <c:explosion val="0"/>
          <c:dPt>
            <c:idx val="0"/>
            <c:bubble3D val="0"/>
            <c:spPr>
              <a:solidFill>
                <a:schemeClr val="accent6"/>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1">
                  <a:lumMod val="75000"/>
                </a:schemeClr>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1375"/>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761.14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128.02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0491723675441716"/>
                  <c:y val="-0.010903621652104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21.43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0906375356788899"/>
                  <c:y val="-0.02165623463647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89397129281689"/>
                  <c:y val="-0.012610736827029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24.27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一般公共服务类支出</c:v>
                </c:pt>
                <c:pt idx="1">
                  <c:v>教育支出</c:v>
                </c:pt>
                <c:pt idx="2">
                  <c:v>科学技术类支出</c:v>
                </c:pt>
                <c:pt idx="3">
                  <c:v>社会保障和就业支出</c:v>
                </c:pt>
                <c:pt idx="4">
                  <c:v>卫生与健康支出</c:v>
                </c:pt>
                <c:pt idx="5">
                  <c:v>国土海洋气象等支出</c:v>
                </c:pt>
                <c:pt idx="6">
                  <c:v>住房保障支出</c:v>
                </c:pt>
              </c:strCache>
            </c:strRef>
          </c:cat>
          <c:val>
            <c:numRef>
              <c:f>Sheet1!$B$2:$B$8</c:f>
              <c:numCache>
                <c:formatCode>General</c:formatCode>
                <c:ptCount val="7"/>
                <c:pt idx="2">
                  <c:v>761.14</c:v>
                </c:pt>
                <c:pt idx="3">
                  <c:v>128.02</c:v>
                </c:pt>
                <c:pt idx="4">
                  <c:v>21.43</c:v>
                </c:pt>
                <c:pt idx="6">
                  <c:v>24.27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4ccdce8-c600-4404-9fd9-aa75f8fe166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7</a:t>
            </a:r>
            <a:r>
              <a:t>：“三公”经费财政拨款支出结构</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00199162480777447"/>
                  <c:y val="-0.0089381878043524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0.19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因公出国（镜）</c:v>
                </c:pt>
                <c:pt idx="1">
                  <c:v>公务用车购置费</c:v>
                </c:pt>
                <c:pt idx="2">
                  <c:v>公务用车运行维护费</c:v>
                </c:pt>
                <c:pt idx="3">
                  <c:v>公务接待费</c:v>
                </c:pt>
              </c:strCache>
            </c:strRef>
          </c:cat>
          <c:val>
            <c:numRef>
              <c:f>Sheet1!$B$2:$B$5</c:f>
              <c:numCache>
                <c:formatCode>General</c:formatCode>
                <c:ptCount val="4"/>
                <c:pt idx="1">
                  <c:v>0</c:v>
                </c:pt>
                <c:pt idx="2">
                  <c:v>7.16</c:v>
                </c:pt>
                <c:pt idx="3">
                  <c:v>0.19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dce4b97-1e40-4671-8468-34fe42bd160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textRotate="1"/>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103</Pages>
  <Words>295</Words>
  <Characters>326</Characters>
  <Lines>100</Lines>
  <Paragraphs>28</Paragraphs>
  <TotalTime>14</TotalTime>
  <ScaleCrop>false</ScaleCrop>
  <LinksUpToDate>false</LinksUpToDate>
  <CharactersWithSpaces>356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凉山州科协</cp:lastModifiedBy>
  <cp:lastPrinted>2025-09-19T08:58:48Z</cp:lastPrinted>
  <dcterms:modified xsi:type="dcterms:W3CDTF">2025-09-19T08:59:10Z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712410361A684511A2E6DBF56EA70593_12</vt:lpwstr>
  </property>
  <property fmtid="{D5CDD505-2E9C-101B-9397-08002B2CF9AE}" pid="4" name="KSOTemplateDocerSaveRecord">
    <vt:lpwstr>eyJoZGlkIjoiOWQ4MTZmMTI4YzkyYTNiMDkzOWFhYjVmNmMyMGZiN2MiLCJ1c2VySWQiOiI0NjY0NTE0NjYifQ==</vt:lpwstr>
  </property>
</Properties>
</file>