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5861C">
      <w:pPr>
        <w:spacing w:line="600" w:lineRule="exact"/>
        <w:jc w:val="center"/>
        <w:outlineLvl w:val="9"/>
        <w:rPr>
          <w:rFonts w:hint="default" w:ascii="Times New Roman" w:hAnsi="Times New Roman" w:eastAsia="方正小标宋简体" w:cs="Times New Roman"/>
          <w:sz w:val="72"/>
          <w:szCs w:val="72"/>
        </w:rPr>
      </w:pPr>
      <w:bookmarkStart w:id="0" w:name="_Toc15377193"/>
      <w:bookmarkStart w:id="1" w:name="_Toc15378441"/>
      <w:bookmarkStart w:id="2" w:name="_Toc15396475"/>
      <w:bookmarkStart w:id="3" w:name="_Toc15396597"/>
      <w:bookmarkStart w:id="4" w:name="_Toc15377425"/>
      <w:bookmarkStart w:id="5" w:name="_Toc15306267"/>
    </w:p>
    <w:p w14:paraId="4062CE69">
      <w:pPr>
        <w:pStyle w:val="10"/>
        <w:spacing w:before="93"/>
        <w:rPr>
          <w:rFonts w:hint="default" w:ascii="Times New Roman" w:hAnsi="Times New Roman" w:cs="Times New Roman"/>
        </w:rPr>
      </w:pPr>
    </w:p>
    <w:p w14:paraId="3060B3C6">
      <w:pPr>
        <w:spacing w:line="600" w:lineRule="exact"/>
        <w:jc w:val="center"/>
        <w:outlineLvl w:val="9"/>
        <w:rPr>
          <w:rFonts w:hint="default" w:ascii="Times New Roman" w:hAnsi="Times New Roman" w:eastAsia="方正小标宋简体" w:cs="Times New Roman"/>
          <w:sz w:val="72"/>
          <w:szCs w:val="72"/>
        </w:rPr>
      </w:pPr>
    </w:p>
    <w:p w14:paraId="00097ACB">
      <w:pPr>
        <w:adjustRightInd w:val="0"/>
        <w:snapToGrid w:val="0"/>
        <w:spacing w:line="360" w:lineRule="auto"/>
        <w:jc w:val="both"/>
        <w:outlineLvl w:val="9"/>
        <w:rPr>
          <w:rFonts w:hint="default" w:ascii="Times New Roman" w:hAnsi="Times New Roman" w:eastAsia="方正小标宋简体" w:cs="Times New Roman"/>
          <w:sz w:val="72"/>
          <w:szCs w:val="72"/>
          <w:lang w:val="en-US" w:eastAsia="zh-CN"/>
        </w:rPr>
      </w:pPr>
    </w:p>
    <w:p w14:paraId="64E5DFF5">
      <w:pPr>
        <w:adjustRightInd w:val="0"/>
        <w:snapToGrid w:val="0"/>
        <w:spacing w:line="360" w:lineRule="auto"/>
        <w:jc w:val="center"/>
        <w:outlineLvl w:val="9"/>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lang w:val="en-US" w:eastAsia="zh-CN"/>
        </w:rPr>
        <w:t>2025</w:t>
      </w:r>
      <w:r>
        <w:rPr>
          <w:rFonts w:hint="default" w:ascii="Times New Roman" w:hAnsi="Times New Roman" w:eastAsia="方正小标宋简体" w:cs="Times New Roman"/>
          <w:sz w:val="72"/>
          <w:szCs w:val="72"/>
        </w:rPr>
        <w:t>年度</w:t>
      </w:r>
      <w:bookmarkEnd w:id="0"/>
      <w:bookmarkEnd w:id="1"/>
      <w:bookmarkEnd w:id="2"/>
      <w:bookmarkEnd w:id="3"/>
      <w:bookmarkEnd w:id="4"/>
    </w:p>
    <w:bookmarkEnd w:id="5"/>
    <w:p w14:paraId="5E373651">
      <w:pPr>
        <w:adjustRightInd w:val="0"/>
        <w:snapToGrid w:val="0"/>
        <w:spacing w:line="360" w:lineRule="auto"/>
        <w:jc w:val="center"/>
        <w:outlineLvl w:val="9"/>
        <w:rPr>
          <w:rFonts w:hint="default" w:ascii="Times New Roman" w:hAnsi="Times New Roman" w:eastAsia="方正小标宋简体" w:cs="Times New Roman"/>
          <w:sz w:val="72"/>
          <w:szCs w:val="72"/>
        </w:rPr>
      </w:pPr>
      <w:bookmarkStart w:id="6" w:name="_Toc15306268"/>
      <w:bookmarkStart w:id="7" w:name="_Toc15396476"/>
      <w:bookmarkStart w:id="8" w:name="_Toc15396598"/>
      <w:bookmarkStart w:id="9" w:name="_Toc15377426"/>
      <w:bookmarkStart w:id="10" w:name="_Toc15378442"/>
      <w:bookmarkStart w:id="11" w:name="_Toc15377194"/>
      <w:r>
        <w:rPr>
          <w:rFonts w:hint="default" w:ascii="Times New Roman" w:hAnsi="Times New Roman" w:eastAsia="方正小标宋简体" w:cs="Times New Roman"/>
          <w:sz w:val="72"/>
          <w:szCs w:val="72"/>
          <w:lang w:eastAsia="zh-CN"/>
        </w:rPr>
        <w:t>凉山州科学技术协会</w:t>
      </w:r>
      <w:r>
        <w:rPr>
          <w:rFonts w:hint="default" w:ascii="Times New Roman" w:hAnsi="Times New Roman" w:eastAsia="方正小标宋简体" w:cs="Times New Roman"/>
          <w:sz w:val="72"/>
          <w:szCs w:val="72"/>
        </w:rPr>
        <w:t>部门</w:t>
      </w:r>
    </w:p>
    <w:p w14:paraId="23056509">
      <w:pPr>
        <w:adjustRightInd w:val="0"/>
        <w:snapToGrid w:val="0"/>
        <w:spacing w:line="360" w:lineRule="auto"/>
        <w:jc w:val="center"/>
        <w:outlineLvl w:val="9"/>
        <w:rPr>
          <w:rFonts w:hint="default" w:ascii="Times New Roman" w:hAnsi="Times New Roman" w:eastAsia="方正小标宋简体" w:cs="Times New Roman"/>
          <w:sz w:val="36"/>
          <w:szCs w:val="36"/>
          <w:lang w:eastAsia="zh-CN"/>
        </w:rPr>
        <w:sectPr>
          <w:headerReference r:id="rId3" w:type="default"/>
          <w:footerReference r:id="rId4" w:type="default"/>
          <w:pgSz w:w="11906" w:h="16838"/>
          <w:pgMar w:top="1213" w:right="1179" w:bottom="1213" w:left="1349" w:header="851" w:footer="992" w:gutter="0"/>
          <w:pgNumType w:fmt="decimal" w:start="1"/>
          <w:cols w:space="0" w:num="1"/>
          <w:titlePg/>
          <w:rtlGutter w:val="0"/>
          <w:docGrid w:type="lines" w:linePitch="312" w:charSpace="0"/>
        </w:sectPr>
      </w:pPr>
      <w:r>
        <w:rPr>
          <w:rFonts w:hint="default" w:ascii="Times New Roman" w:hAnsi="Times New Roman" w:eastAsia="方正小标宋简体" w:cs="Times New Roman"/>
          <w:sz w:val="72"/>
          <w:szCs w:val="72"/>
        </w:rPr>
        <w:t>决</w:t>
      </w:r>
      <w:bookmarkEnd w:id="6"/>
      <w:bookmarkEnd w:id="7"/>
      <w:bookmarkEnd w:id="8"/>
      <w:bookmarkEnd w:id="9"/>
      <w:bookmarkEnd w:id="10"/>
      <w:bookmarkEnd w:id="11"/>
      <w:r>
        <w:rPr>
          <w:rFonts w:hint="default" w:ascii="Times New Roman" w:hAnsi="Times New Roman" w:eastAsia="方正小标宋简体" w:cs="Times New Roman"/>
          <w:sz w:val="72"/>
          <w:szCs w:val="72"/>
          <w:lang w:eastAsia="zh-CN"/>
        </w:rPr>
        <w:t>算</w:t>
      </w:r>
    </w:p>
    <w:p w14:paraId="26C47CDF">
      <w:pPr>
        <w:widowControl/>
        <w:jc w:val="left"/>
        <w:rPr>
          <w:rFonts w:hint="default" w:ascii="Times New Roman" w:hAnsi="Times New Roman" w:eastAsia="方正小标宋简体" w:cs="Times New Roman"/>
          <w:sz w:val="36"/>
          <w:szCs w:val="36"/>
        </w:rPr>
      </w:pPr>
    </w:p>
    <w:sdt>
      <w:sdtPr>
        <w:rPr>
          <w:rFonts w:hint="default" w:ascii="Times New Roman" w:hAnsi="Times New Roman" w:eastAsia="宋体" w:cs="Times New Roman"/>
          <w:b/>
          <w:bCs/>
          <w:kern w:val="2"/>
          <w:sz w:val="44"/>
          <w:szCs w:val="52"/>
          <w:lang w:val="en-US" w:eastAsia="zh-CN" w:bidi="ar-SA"/>
        </w:rPr>
        <w:id w:val="147453496"/>
        <w15:color w:val="DBDBDB"/>
        <w:docPartObj>
          <w:docPartGallery w:val="Table of Contents"/>
          <w:docPartUnique/>
        </w:docPartObj>
      </w:sdtPr>
      <w:sdtEndPr>
        <w:rPr>
          <w:rFonts w:hint="default" w:ascii="Times New Roman" w:hAnsi="Times New Roman" w:eastAsia="仿宋_GB2312" w:cs="Times New Roman"/>
          <w:b/>
          <w:bCs/>
          <w:kern w:val="0"/>
          <w:sz w:val="30"/>
          <w:szCs w:val="24"/>
          <w:lang w:val="en-US" w:eastAsia="zh-CN" w:bidi="ar-SA"/>
        </w:rPr>
      </w:sdtEndPr>
      <w:sdtContent>
        <w:p w14:paraId="0DAEDCB9">
          <w:pP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sz w:val="44"/>
              <w:szCs w:val="52"/>
            </w:rPr>
          </w:pPr>
          <w:r>
            <w:rPr>
              <w:rFonts w:hint="default" w:ascii="Times New Roman" w:hAnsi="Times New Roman" w:eastAsia="宋体" w:cs="Times New Roman"/>
              <w:b/>
              <w:bCs/>
              <w:sz w:val="44"/>
              <w:szCs w:val="52"/>
            </w:rPr>
            <w:t>目录</w:t>
          </w:r>
        </w:p>
        <w:p w14:paraId="2D46A6C4">
          <w:pPr>
            <w:pStyle w:val="16"/>
            <w:rPr>
              <w:rFonts w:hint="default" w:ascii="Times New Roman" w:hAnsi="Times New Roman" w:cs="Times New Roman"/>
            </w:rPr>
          </w:pPr>
          <w:r>
            <w:rPr>
              <w:rFonts w:hint="default" w:ascii="Times New Roman" w:hAnsi="Times New Roman" w:cs="Times New Roman"/>
            </w:rPr>
            <w:t>公开时间：202</w:t>
          </w:r>
          <w:r>
            <w:rPr>
              <w:rFonts w:hint="default" w:ascii="Times New Roman" w:hAnsi="Times New Roman" w:cs="Times New Roman"/>
              <w:lang w:val="en-US" w:eastAsia="zh-CN"/>
            </w:rPr>
            <w:t>6</w:t>
          </w:r>
          <w:r>
            <w:rPr>
              <w:rFonts w:hint="default" w:ascii="Times New Roman" w:hAnsi="Times New Roman" w:cs="Times New Roman"/>
            </w:rPr>
            <w:t>年</w:t>
          </w:r>
          <w:r>
            <w:rPr>
              <w:rFonts w:hint="default" w:ascii="Times New Roman" w:hAnsi="Times New Roman" w:cs="Times New Roman"/>
              <w:lang w:val="en-US" w:eastAsia="zh-CN"/>
            </w:rPr>
            <w:t>9</w:t>
          </w:r>
          <w:r>
            <w:rPr>
              <w:rFonts w:hint="default" w:ascii="Times New Roman" w:hAnsi="Times New Roman" w:cs="Times New Roman"/>
            </w:rPr>
            <w:t>月</w:t>
          </w:r>
          <w:r>
            <w:rPr>
              <w:rFonts w:hint="default" w:ascii="Times New Roman" w:hAnsi="Times New Roman" w:cs="Times New Roman"/>
              <w:lang w:val="en-US" w:eastAsia="zh-CN"/>
            </w:rPr>
            <w:t>18</w:t>
          </w:r>
          <w:r>
            <w:rPr>
              <w:rFonts w:hint="default" w:ascii="Times New Roman" w:hAnsi="Times New Roman" w:cs="Times New Roman"/>
            </w:rPr>
            <w:t>日</w:t>
          </w:r>
        </w:p>
        <w:p w14:paraId="1D553192">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"1-1"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_Toc16894 </w:instrText>
          </w:r>
          <w:r>
            <w:rPr>
              <w:rFonts w:hint="default" w:ascii="Times New Roman" w:hAnsi="Times New Roman" w:cs="Times New Roman"/>
            </w:rPr>
            <w:fldChar w:fldCharType="separate"/>
          </w:r>
          <w:r>
            <w:rPr>
              <w:rFonts w:hint="default" w:ascii="Times New Roman" w:hAnsi="Times New Roman" w:eastAsia="黑体" w:cs="Times New Roman"/>
            </w:rPr>
            <w:t xml:space="preserve">第一部分 </w:t>
          </w:r>
          <w:r>
            <w:rPr>
              <w:rFonts w:hint="default" w:ascii="Times New Roman" w:hAnsi="Times New Roman" w:eastAsia="黑体" w:cs="Times New Roman"/>
              <w:bCs w:val="0"/>
            </w:rPr>
            <w:t>部门概况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_Toc16894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1E87D0CF">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_Toc9509 </w:instrText>
          </w:r>
          <w:r>
            <w:rPr>
              <w:rFonts w:hint="default" w:ascii="Times New Roman" w:hAnsi="Times New Roman" w:cs="Times New Roman"/>
            </w:rPr>
            <w:fldChar w:fldCharType="separate"/>
          </w:r>
          <w:r>
            <w:rPr>
              <w:rFonts w:hint="default" w:ascii="Times New Roman" w:hAnsi="Times New Roman" w:eastAsia="黑体" w:cs="Times New Roman"/>
            </w:rPr>
            <w:t>一、 部门职责</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_Toc9509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1D068646">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_Toc29437 </w:instrText>
          </w:r>
          <w:r>
            <w:rPr>
              <w:rFonts w:hint="default" w:ascii="Times New Roman" w:hAnsi="Times New Roman" w:cs="Times New Roman"/>
            </w:rPr>
            <w:fldChar w:fldCharType="separate"/>
          </w:r>
          <w:r>
            <w:rPr>
              <w:rFonts w:hint="default" w:ascii="Times New Roman" w:hAnsi="Times New Roman" w:eastAsia="黑体" w:cs="Times New Roman"/>
            </w:rPr>
            <w:t>二、机</w:t>
          </w:r>
          <w:r>
            <w:rPr>
              <w:rFonts w:hint="default" w:ascii="Times New Roman" w:hAnsi="Times New Roman" w:eastAsia="黑体" w:cs="Times New Roman"/>
              <w:bCs w:val="0"/>
            </w:rPr>
            <w:t>构设置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_Toc29437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760AA029">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_Toc31423 </w:instrText>
          </w:r>
          <w:r>
            <w:rPr>
              <w:rFonts w:hint="default" w:ascii="Times New Roman" w:hAnsi="Times New Roman" w:cs="Times New Roman"/>
            </w:rPr>
            <w:fldChar w:fldCharType="separate"/>
          </w:r>
          <w:r>
            <w:rPr>
              <w:rFonts w:hint="default" w:ascii="Times New Roman" w:hAnsi="Times New Roman" w:eastAsia="黑体" w:cs="Times New Roman"/>
              <w:bCs/>
            </w:rPr>
            <w:t xml:space="preserve">第二部分 </w:t>
          </w:r>
          <w:r>
            <w:rPr>
              <w:rFonts w:hint="default" w:ascii="Times New Roman" w:hAnsi="Times New Roman" w:eastAsia="黑体" w:cs="Times New Roman"/>
              <w:bCs/>
              <w:lang w:val="en-US" w:eastAsia="zh-CN"/>
            </w:rPr>
            <w:t>2025</w:t>
          </w:r>
          <w:r>
            <w:rPr>
              <w:rFonts w:hint="default" w:ascii="Times New Roman" w:hAnsi="Times New Roman" w:eastAsia="黑体" w:cs="Times New Roman"/>
              <w:bCs/>
            </w:rPr>
            <w:t>年度部门决算情况说明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_Toc31423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7C08F664">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_Toc18951 </w:instrText>
          </w:r>
          <w:r>
            <w:rPr>
              <w:rFonts w:hint="default" w:ascii="Times New Roman" w:hAnsi="Times New Roman" w:cs="Times New Roman"/>
            </w:rPr>
            <w:fldChar w:fldCharType="separate"/>
          </w:r>
          <w:r>
            <w:rPr>
              <w:rFonts w:hint="default" w:ascii="Times New Roman" w:hAnsi="Times New Roman" w:eastAsia="黑体" w:cs="Times New Roman"/>
            </w:rPr>
            <w:t xml:space="preserve">一、 </w:t>
          </w:r>
          <w:r>
            <w:rPr>
              <w:rFonts w:hint="default" w:ascii="Times New Roman" w:hAnsi="Times New Roman" w:eastAsia="黑体" w:cs="Times New Roman"/>
              <w:szCs w:val="32"/>
            </w:rPr>
            <w:t>收</w:t>
          </w:r>
          <w:r>
            <w:rPr>
              <w:rFonts w:hint="default" w:ascii="Times New Roman" w:hAnsi="Times New Roman" w:eastAsia="黑体" w:cs="Times New Roman"/>
            </w:rPr>
            <w:t>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_Toc18951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3C2D4288">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_Toc14650 </w:instrText>
          </w:r>
          <w:r>
            <w:rPr>
              <w:rFonts w:hint="default" w:ascii="Times New Roman" w:hAnsi="Times New Roman" w:cs="Times New Roman"/>
            </w:rPr>
            <w:fldChar w:fldCharType="separate"/>
          </w:r>
          <w:r>
            <w:rPr>
              <w:rFonts w:hint="default" w:ascii="Times New Roman" w:hAnsi="Times New Roman" w:eastAsia="黑体" w:cs="Times New Roman"/>
              <w:szCs w:val="32"/>
              <w:lang w:eastAsia="zh-CN"/>
            </w:rPr>
            <w:t>二、</w:t>
          </w:r>
          <w:r>
            <w:rPr>
              <w:rFonts w:hint="default" w:ascii="Times New Roman" w:hAnsi="Times New Roman" w:eastAsia="黑体" w:cs="Times New Roman"/>
              <w:szCs w:val="32"/>
            </w:rPr>
            <w:t>收</w:t>
          </w:r>
          <w:r>
            <w:rPr>
              <w:rFonts w:hint="default" w:ascii="Times New Roman" w:hAnsi="Times New Roman" w:eastAsia="黑体" w:cs="Times New Roman"/>
            </w:rPr>
            <w:t>入决算情况说明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_Toc14650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rPr>
            <w:fldChar w:fldCharType="end"/>
          </w:r>
        </w:p>
        <w:p w14:paraId="187AD8F9">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_Toc25201 </w:instrText>
          </w:r>
          <w:r>
            <w:rPr>
              <w:rFonts w:hint="default" w:ascii="Times New Roman" w:hAnsi="Times New Roman" w:cs="Times New Roman"/>
            </w:rPr>
            <w:fldChar w:fldCharType="separate"/>
          </w:r>
          <w:r>
            <w:rPr>
              <w:rFonts w:hint="default" w:ascii="Times New Roman" w:hAnsi="Times New Roman" w:eastAsia="黑体" w:cs="Times New Roman"/>
              <w:szCs w:val="32"/>
              <w:lang w:eastAsia="zh-CN"/>
            </w:rPr>
            <w:t>三、</w:t>
          </w:r>
          <w:r>
            <w:rPr>
              <w:rFonts w:hint="default" w:ascii="Times New Roman" w:hAnsi="Times New Roman" w:eastAsia="黑体" w:cs="Times New Roman"/>
              <w:szCs w:val="32"/>
            </w:rPr>
            <w:t>支</w:t>
          </w:r>
          <w:r>
            <w:rPr>
              <w:rFonts w:hint="default" w:ascii="Times New Roman" w:hAnsi="Times New Roman" w:eastAsia="黑体" w:cs="Times New Roman"/>
            </w:rPr>
            <w:t>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_Toc25201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59B8D72E">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_Toc6285 </w:instrText>
          </w:r>
          <w:r>
            <w:rPr>
              <w:rFonts w:hint="default" w:ascii="Times New Roman" w:hAnsi="Times New Roman" w:cs="Times New Roman"/>
            </w:rPr>
            <w:fldChar w:fldCharType="separate"/>
          </w:r>
          <w:r>
            <w:rPr>
              <w:rFonts w:hint="default" w:ascii="Times New Roman" w:hAnsi="Times New Roman" w:eastAsia="黑体" w:cs="Times New Roman"/>
              <w:szCs w:val="32"/>
            </w:rPr>
            <w:t>四、财</w:t>
          </w:r>
          <w:r>
            <w:rPr>
              <w:rFonts w:hint="default" w:ascii="Times New Roman" w:hAnsi="Times New Roman" w:eastAsia="黑体" w:cs="Times New Roman"/>
            </w:rPr>
            <w:t>政拨款收入支出决算总体情况说明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_Toc6285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15A5B505">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_Toc24167 </w:instrText>
          </w:r>
          <w:r>
            <w:rPr>
              <w:rFonts w:hint="default" w:ascii="Times New Roman" w:hAnsi="Times New Roman" w:cs="Times New Roman"/>
            </w:rPr>
            <w:fldChar w:fldCharType="separate"/>
          </w:r>
          <w:r>
            <w:rPr>
              <w:rFonts w:hint="default" w:ascii="Times New Roman" w:hAnsi="Times New Roman" w:eastAsia="黑体" w:cs="Times New Roman"/>
              <w:szCs w:val="32"/>
            </w:rPr>
            <w:t>五、一</w:t>
          </w:r>
          <w:r>
            <w:rPr>
              <w:rFonts w:hint="default" w:ascii="Times New Roman" w:hAnsi="Times New Roman" w:eastAsia="黑体" w:cs="Times New Roman"/>
            </w:rPr>
            <w:t>般公共预算财政拨款支出决算情况说明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_Toc24167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14:paraId="35345DBF">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_Toc7166 </w:instrText>
          </w:r>
          <w:r>
            <w:rPr>
              <w:rFonts w:hint="default" w:ascii="Times New Roman" w:hAnsi="Times New Roman" w:cs="Times New Roman"/>
            </w:rPr>
            <w:fldChar w:fldCharType="separate"/>
          </w:r>
          <w:r>
            <w:rPr>
              <w:rFonts w:hint="default" w:ascii="Times New Roman" w:hAnsi="Times New Roman" w:eastAsia="黑体" w:cs="Times New Roman"/>
              <w:szCs w:val="32"/>
            </w:rPr>
            <w:t>六、一</w:t>
          </w:r>
          <w:r>
            <w:rPr>
              <w:rFonts w:hint="default" w:ascii="Times New Roman" w:hAnsi="Times New Roman" w:eastAsia="黑体" w:cs="Times New Roman"/>
            </w:rPr>
            <w:t>般公共预算财政拨款基本支出决算情况说明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_Toc7166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fldChar w:fldCharType="end"/>
          </w:r>
        </w:p>
        <w:p w14:paraId="6992391C">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_Toc7865 </w:instrText>
          </w:r>
          <w:r>
            <w:rPr>
              <w:rFonts w:hint="default" w:ascii="Times New Roman" w:hAnsi="Times New Roman" w:cs="Times New Roman"/>
            </w:rPr>
            <w:fldChar w:fldCharType="separate"/>
          </w:r>
          <w:r>
            <w:rPr>
              <w:rFonts w:hint="default" w:ascii="Times New Roman" w:hAnsi="Times New Roman" w:eastAsia="黑体" w:cs="Times New Roman"/>
              <w:szCs w:val="32"/>
            </w:rPr>
            <w:t>七、</w:t>
          </w:r>
          <w:r>
            <w:rPr>
              <w:rFonts w:hint="default" w:ascii="Times New Roman" w:hAnsi="Times New Roman" w:eastAsia="黑体" w:cs="Times New Roman"/>
            </w:rPr>
            <w:t>财政拨款“三公”经费支出决算情况说明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_Toc7865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4862BDAB">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_Toc26937 </w:instrText>
          </w:r>
          <w:r>
            <w:rPr>
              <w:rFonts w:hint="default" w:ascii="Times New Roman" w:hAnsi="Times New Roman" w:cs="Times New Roman"/>
            </w:rPr>
            <w:fldChar w:fldCharType="separate"/>
          </w:r>
          <w:r>
            <w:rPr>
              <w:rFonts w:hint="default" w:ascii="Times New Roman" w:hAnsi="Times New Roman" w:eastAsia="黑体" w:cs="Times New Roman"/>
              <w:szCs w:val="32"/>
            </w:rPr>
            <w:t>八、</w:t>
          </w:r>
          <w:r>
            <w:rPr>
              <w:rFonts w:hint="default" w:ascii="Times New Roman" w:hAnsi="Times New Roman" w:eastAsia="黑体" w:cs="Times New Roman"/>
            </w:rPr>
            <w:t>政府性基金预算支出决算情况说明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_Toc26937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3913C671">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_Toc16915 </w:instrText>
          </w:r>
          <w:r>
            <w:rPr>
              <w:rFonts w:hint="default" w:ascii="Times New Roman" w:hAnsi="Times New Roman" w:cs="Times New Roman"/>
            </w:rPr>
            <w:fldChar w:fldCharType="separate"/>
          </w:r>
          <w:r>
            <w:rPr>
              <w:rFonts w:hint="default" w:ascii="Times New Roman" w:hAnsi="Times New Roman" w:eastAsia="黑体" w:cs="Times New Roman"/>
              <w:lang w:eastAsia="zh-CN"/>
            </w:rPr>
            <w:t>九、</w:t>
          </w:r>
          <w:r>
            <w:rPr>
              <w:rFonts w:hint="default" w:ascii="Times New Roman" w:hAnsi="Times New Roman" w:eastAsia="黑体" w:cs="Times New Roman"/>
            </w:rPr>
            <w:t>国有资本经营预算支出决算情况说明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_Toc16915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732E16AC">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_Toc15650 </w:instrText>
          </w:r>
          <w:r>
            <w:rPr>
              <w:rFonts w:hint="default" w:ascii="Times New Roman" w:hAnsi="Times New Roman" w:cs="Times New Roman"/>
            </w:rPr>
            <w:fldChar w:fldCharType="separate"/>
          </w:r>
          <w:r>
            <w:rPr>
              <w:rFonts w:hint="default" w:ascii="Times New Roman" w:hAnsi="Times New Roman" w:eastAsia="黑体" w:cs="Times New Roman"/>
              <w:lang w:eastAsia="zh-CN"/>
            </w:rPr>
            <w:t>十、</w:t>
          </w:r>
          <w:r>
            <w:rPr>
              <w:rFonts w:hint="default" w:ascii="Times New Roman" w:hAnsi="Times New Roman" w:eastAsia="黑体" w:cs="Times New Roman"/>
            </w:rPr>
            <w:t>其他重要事项的情况说明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_Toc15650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6DA166B0">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_Toc28433 </w:instrText>
          </w:r>
          <w:r>
            <w:rPr>
              <w:rFonts w:hint="default" w:ascii="Times New Roman" w:hAnsi="Times New Roman" w:cs="Times New Roman"/>
            </w:rPr>
            <w:fldChar w:fldCharType="separate"/>
          </w:r>
          <w:r>
            <w:rPr>
              <w:rFonts w:hint="default" w:ascii="Times New Roman" w:hAnsi="Times New Roman" w:eastAsia="黑体" w:cs="Times New Roman"/>
              <w:bCs/>
            </w:rPr>
            <w:t>第三部分 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_Toc28433 \h </w:instrText>
          </w:r>
          <w:r>
            <w:rPr>
              <w:rFonts w:hint="default" w:ascii="Times New Roman" w:hAnsi="Times New Roman" w:cs="Times New Roman"/>
            </w:rPr>
            <w:fldChar w:fldCharType="separate"/>
          </w:r>
          <w:r>
            <w:rPr>
              <w:rFonts w:hint="default" w:ascii="Times New Roman" w:hAnsi="Times New Roman" w:cs="Times New Roman"/>
            </w:rPr>
            <w:t>22</w:t>
          </w:r>
          <w:r>
            <w:rPr>
              <w:rFonts w:hint="default" w:ascii="Times New Roman" w:hAnsi="Times New Roman" w:cs="Times New Roman"/>
            </w:rPr>
            <w:fldChar w:fldCharType="end"/>
          </w:r>
          <w:r>
            <w:rPr>
              <w:rFonts w:hint="default" w:ascii="Times New Roman" w:hAnsi="Times New Roman" w:cs="Times New Roman"/>
            </w:rPr>
            <w:fldChar w:fldCharType="end"/>
          </w:r>
        </w:p>
        <w:p w14:paraId="291415B7">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_Toc5153 </w:instrText>
          </w:r>
          <w:r>
            <w:rPr>
              <w:rFonts w:hint="default" w:ascii="Times New Roman" w:hAnsi="Times New Roman" w:cs="Times New Roman"/>
            </w:rPr>
            <w:fldChar w:fldCharType="separate"/>
          </w:r>
          <w:r>
            <w:rPr>
              <w:rFonts w:hint="default" w:ascii="Times New Roman" w:hAnsi="Times New Roman" w:eastAsia="黑体" w:cs="Times New Roman"/>
              <w:szCs w:val="52"/>
            </w:rPr>
            <w:t>第四部分 附件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_Toc5153 \h </w:instrText>
          </w:r>
          <w:r>
            <w:rPr>
              <w:rFonts w:hint="default" w:ascii="Times New Roman" w:hAnsi="Times New Roman" w:cs="Times New Roman"/>
            </w:rPr>
            <w:fldChar w:fldCharType="separate"/>
          </w:r>
          <w:r>
            <w:rPr>
              <w:rFonts w:hint="default" w:ascii="Times New Roman" w:hAnsi="Times New Roman" w:cs="Times New Roman"/>
            </w:rPr>
            <w:t>26</w:t>
          </w:r>
          <w:r>
            <w:rPr>
              <w:rFonts w:hint="default" w:ascii="Times New Roman" w:hAnsi="Times New Roman" w:cs="Times New Roman"/>
            </w:rPr>
            <w:fldChar w:fldCharType="end"/>
          </w:r>
          <w:r>
            <w:rPr>
              <w:rFonts w:hint="default" w:ascii="Times New Roman" w:hAnsi="Times New Roman" w:cs="Times New Roman"/>
            </w:rPr>
            <w:fldChar w:fldCharType="end"/>
          </w:r>
        </w:p>
        <w:p w14:paraId="2905A9B5">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_Toc18376 </w:instrText>
          </w:r>
          <w:r>
            <w:rPr>
              <w:rFonts w:hint="default" w:ascii="Times New Roman" w:hAnsi="Times New Roman" w:cs="Times New Roman"/>
            </w:rPr>
            <w:fldChar w:fldCharType="separate"/>
          </w:r>
          <w:r>
            <w:rPr>
              <w:rFonts w:hint="default" w:ascii="Times New Roman" w:hAnsi="Times New Roman" w:eastAsia="黑体" w:cs="Times New Roman"/>
              <w:szCs w:val="32"/>
            </w:rPr>
            <w:t>附件1</w:t>
          </w:r>
          <w:r>
            <w:rPr>
              <w:rFonts w:hint="default" w:ascii="Times New Roman" w:hAnsi="Times New Roman" w:eastAsia="黑体" w:cs="Times New Roman"/>
              <w:szCs w:val="32"/>
              <w:lang w:val="en-US" w:eastAsia="zh-CN"/>
            </w:rPr>
            <w:t>-1</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_Toc18376 \h </w:instrText>
          </w:r>
          <w:r>
            <w:rPr>
              <w:rFonts w:hint="default" w:ascii="Times New Roman" w:hAnsi="Times New Roman" w:cs="Times New Roman"/>
            </w:rPr>
            <w:fldChar w:fldCharType="separate"/>
          </w:r>
          <w:r>
            <w:rPr>
              <w:rFonts w:hint="default" w:ascii="Times New Roman" w:hAnsi="Times New Roman" w:cs="Times New Roman"/>
            </w:rPr>
            <w:t>26</w:t>
          </w:r>
          <w:r>
            <w:rPr>
              <w:rFonts w:hint="default" w:ascii="Times New Roman" w:hAnsi="Times New Roman" w:cs="Times New Roman"/>
            </w:rPr>
            <w:fldChar w:fldCharType="end"/>
          </w:r>
          <w:r>
            <w:rPr>
              <w:rFonts w:hint="default" w:ascii="Times New Roman" w:hAnsi="Times New Roman" w:cs="Times New Roman"/>
            </w:rPr>
            <w:fldChar w:fldCharType="end"/>
          </w:r>
        </w:p>
        <w:p w14:paraId="0CD87F8F">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_Toc2561 </w:instrText>
          </w:r>
          <w:r>
            <w:rPr>
              <w:rFonts w:hint="default" w:ascii="Times New Roman" w:hAnsi="Times New Roman" w:cs="Times New Roman"/>
            </w:rPr>
            <w:fldChar w:fldCharType="separate"/>
          </w:r>
          <w:r>
            <w:rPr>
              <w:rFonts w:hint="default" w:ascii="Times New Roman" w:hAnsi="Times New Roman" w:eastAsia="黑体" w:cs="Times New Roman"/>
              <w:szCs w:val="32"/>
              <w:lang w:val="en-US" w:eastAsia="zh-CN"/>
            </w:rPr>
            <w:t>附件2-1</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_Toc2561 \h </w:instrText>
          </w:r>
          <w:r>
            <w:rPr>
              <w:rFonts w:hint="default" w:ascii="Times New Roman" w:hAnsi="Times New Roman" w:cs="Times New Roman"/>
            </w:rPr>
            <w:fldChar w:fldCharType="separate"/>
          </w:r>
          <w:r>
            <w:rPr>
              <w:rFonts w:hint="default" w:ascii="Times New Roman" w:hAnsi="Times New Roman" w:cs="Times New Roman"/>
            </w:rPr>
            <w:t>46</w:t>
          </w:r>
          <w:r>
            <w:rPr>
              <w:rFonts w:hint="default" w:ascii="Times New Roman" w:hAnsi="Times New Roman" w:cs="Times New Roman"/>
            </w:rPr>
            <w:fldChar w:fldCharType="end"/>
          </w:r>
          <w:r>
            <w:rPr>
              <w:rFonts w:hint="default" w:ascii="Times New Roman" w:hAnsi="Times New Roman" w:cs="Times New Roman"/>
            </w:rPr>
            <w:fldChar w:fldCharType="end"/>
          </w:r>
        </w:p>
        <w:p w14:paraId="659D52F1">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_Toc6840 </w:instrText>
          </w:r>
          <w:r>
            <w:rPr>
              <w:rFonts w:hint="default" w:ascii="Times New Roman" w:hAnsi="Times New Roman" w:cs="Times New Roman"/>
            </w:rPr>
            <w:fldChar w:fldCharType="separate"/>
          </w:r>
          <w:r>
            <w:rPr>
              <w:rFonts w:hint="default" w:ascii="Times New Roman" w:hAnsi="Times New Roman" w:eastAsia="黑体" w:cs="Times New Roman"/>
              <w:szCs w:val="32"/>
              <w:lang w:val="zh-CN" w:eastAsia="zh-CN"/>
            </w:rPr>
            <w:t>附件</w:t>
          </w:r>
          <w:r>
            <w:rPr>
              <w:rFonts w:hint="default" w:ascii="Times New Roman" w:hAnsi="Times New Roman" w:eastAsia="黑体" w:cs="Times New Roman"/>
              <w:szCs w:val="32"/>
              <w:lang w:val="en-US" w:eastAsia="zh-CN"/>
            </w:rPr>
            <w:t>2-2</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_Toc6840 \h </w:instrText>
          </w:r>
          <w:r>
            <w:rPr>
              <w:rFonts w:hint="default" w:ascii="Times New Roman" w:hAnsi="Times New Roman" w:cs="Times New Roman"/>
            </w:rPr>
            <w:fldChar w:fldCharType="separate"/>
          </w:r>
          <w:r>
            <w:rPr>
              <w:rFonts w:hint="default" w:ascii="Times New Roman" w:hAnsi="Times New Roman" w:cs="Times New Roman"/>
            </w:rPr>
            <w:t>55</w:t>
          </w:r>
          <w:r>
            <w:rPr>
              <w:rFonts w:hint="default" w:ascii="Times New Roman" w:hAnsi="Times New Roman" w:cs="Times New Roman"/>
            </w:rPr>
            <w:fldChar w:fldCharType="end"/>
          </w:r>
          <w:r>
            <w:rPr>
              <w:rFonts w:hint="default" w:ascii="Times New Roman" w:hAnsi="Times New Roman" w:cs="Times New Roman"/>
            </w:rPr>
            <w:fldChar w:fldCharType="end"/>
          </w:r>
        </w:p>
        <w:p w14:paraId="0FE91CC8">
          <w:pPr>
            <w:pStyle w:val="16"/>
            <w:tabs>
              <w:tab w:val="right" w:leader="dot" w:pos="9378"/>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_Toc21915 </w:instrText>
          </w:r>
          <w:r>
            <w:rPr>
              <w:rFonts w:hint="default" w:ascii="Times New Roman" w:hAnsi="Times New Roman" w:cs="Times New Roman"/>
            </w:rPr>
            <w:fldChar w:fldCharType="separate"/>
          </w:r>
          <w:r>
            <w:rPr>
              <w:rFonts w:hint="default" w:ascii="Times New Roman" w:hAnsi="Times New Roman" w:eastAsia="黑体" w:cs="Times New Roman"/>
              <w:szCs w:val="32"/>
              <w:lang w:val="zh-CN" w:eastAsia="zh-CN"/>
            </w:rPr>
            <w:t>附件</w:t>
          </w:r>
          <w:r>
            <w:rPr>
              <w:rFonts w:hint="default" w:ascii="Times New Roman" w:hAnsi="Times New Roman" w:eastAsia="黑体" w:cs="Times New Roman"/>
              <w:szCs w:val="32"/>
              <w:lang w:val="en-US" w:eastAsia="zh-CN"/>
            </w:rPr>
            <w:t>2-3</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_Toc21915 \h </w:instrText>
          </w:r>
          <w:r>
            <w:rPr>
              <w:rFonts w:hint="default" w:ascii="Times New Roman" w:hAnsi="Times New Roman" w:cs="Times New Roman"/>
            </w:rPr>
            <w:fldChar w:fldCharType="separate"/>
          </w:r>
          <w:r>
            <w:rPr>
              <w:rFonts w:hint="default" w:ascii="Times New Roman" w:hAnsi="Times New Roman" w:cs="Times New Roman"/>
            </w:rPr>
            <w:t>61</w:t>
          </w:r>
          <w:r>
            <w:rPr>
              <w:rFonts w:hint="default" w:ascii="Times New Roman" w:hAnsi="Times New Roman" w:cs="Times New Roman"/>
            </w:rPr>
            <w:fldChar w:fldCharType="end"/>
          </w:r>
          <w:r>
            <w:rPr>
              <w:rFonts w:hint="default" w:ascii="Times New Roman" w:hAnsi="Times New Roman" w:cs="Times New Roman"/>
            </w:rPr>
            <w:fldChar w:fldCharType="end"/>
          </w:r>
        </w:p>
        <w:p w14:paraId="11C696EA">
          <w:pPr>
            <w:pStyle w:val="16"/>
            <w:tabs>
              <w:tab w:val="right" w:leader="dot" w:pos="9378"/>
              <w:tab w:val="clear" w:pos="8296"/>
            </w:tabs>
            <w:rPr>
              <w:rFonts w:hint="default" w:ascii="Times New Roman" w:hAnsi="Times New Roman" w:eastAsia="仿宋"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_Toc17484 </w:instrText>
          </w:r>
          <w:r>
            <w:rPr>
              <w:rFonts w:hint="default" w:ascii="Times New Roman" w:hAnsi="Times New Roman" w:cs="Times New Roman"/>
            </w:rPr>
            <w:fldChar w:fldCharType="separate"/>
          </w:r>
          <w:r>
            <w:rPr>
              <w:rFonts w:hint="default" w:ascii="Times New Roman" w:hAnsi="Times New Roman" w:eastAsia="黑体" w:cs="Times New Roman"/>
              <w:szCs w:val="32"/>
              <w:lang w:val="en-US" w:eastAsia="zh-CN"/>
            </w:rPr>
            <w:t>附件2-4</w:t>
          </w:r>
          <w:r>
            <w:rPr>
              <w:rFonts w:hint="default" w:ascii="Times New Roman" w:hAnsi="Times New Roman" w:cs="Times New Roman"/>
            </w:rPr>
            <w:tab/>
          </w:r>
          <w:r>
            <w:rPr>
              <w:rFonts w:hint="default" w:ascii="Times New Roman" w:hAnsi="Times New Roman" w:cs="Times New Roman"/>
            </w:rPr>
            <w:fldChar w:fldCharType="end"/>
          </w:r>
          <w:r>
            <w:rPr>
              <w:rFonts w:hint="default" w:ascii="Times New Roman" w:hAnsi="Times New Roman" w:cs="Times New Roman"/>
              <w:lang w:val="en-US" w:eastAsia="zh-CN"/>
            </w:rPr>
            <w:t>77</w:t>
          </w:r>
        </w:p>
        <w:p w14:paraId="1CAD872B">
          <w:pPr>
            <w:pStyle w:val="16"/>
            <w:tabs>
              <w:tab w:val="right" w:leader="dot" w:pos="9378"/>
              <w:tab w:val="clear" w:pos="8296"/>
            </w:tabs>
            <w:rPr>
              <w:rFonts w:hint="default" w:ascii="Times New Roman" w:hAnsi="Times New Roman" w:eastAsia="仿宋" w:cs="Times New Roman"/>
              <w:lang w:val="en-US" w:eastAsia="zh-C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_Toc9943 </w:instrText>
          </w:r>
          <w:r>
            <w:rPr>
              <w:rFonts w:hint="default" w:ascii="Times New Roman" w:hAnsi="Times New Roman" w:cs="Times New Roman"/>
            </w:rPr>
            <w:fldChar w:fldCharType="separate"/>
          </w:r>
          <w:r>
            <w:rPr>
              <w:rFonts w:hint="default" w:ascii="Times New Roman" w:hAnsi="Times New Roman" w:eastAsia="黑体" w:cs="Times New Roman"/>
            </w:rPr>
            <w:t>第五部分 附表</w:t>
          </w:r>
          <w:r>
            <w:rPr>
              <w:rFonts w:hint="default" w:ascii="Times New Roman" w:hAnsi="Times New Roman" w:cs="Times New Roman"/>
            </w:rPr>
            <w:tab/>
          </w:r>
          <w:r>
            <w:rPr>
              <w:rFonts w:hint="default" w:ascii="Times New Roman" w:hAnsi="Times New Roman" w:cs="Times New Roman"/>
              <w:lang w:val="en-US" w:eastAsia="zh-CN"/>
            </w:rPr>
            <w:t>1</w:t>
          </w:r>
          <w:r>
            <w:rPr>
              <w:rFonts w:hint="default" w:ascii="Times New Roman" w:hAnsi="Times New Roman" w:cs="Times New Roman"/>
            </w:rPr>
            <w:fldChar w:fldCharType="end"/>
          </w:r>
          <w:r>
            <w:rPr>
              <w:rFonts w:hint="default" w:ascii="Times New Roman" w:hAnsi="Times New Roman" w:cs="Times New Roman"/>
              <w:lang w:val="en-US" w:eastAsia="zh-CN"/>
            </w:rPr>
            <w:t>2</w:t>
          </w:r>
          <w:r>
            <w:rPr>
              <w:rFonts w:hint="eastAsia" w:ascii="Times New Roman" w:hAnsi="Times New Roman" w:cs="Times New Roman"/>
              <w:lang w:val="en-US" w:eastAsia="zh-CN"/>
            </w:rPr>
            <w:t>2</w:t>
          </w:r>
        </w:p>
        <w:p w14:paraId="542F82F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42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cs="Times New Roman"/>
            </w:rPr>
            <w:fldChar w:fldCharType="end"/>
          </w:r>
          <w:r>
            <w:rPr>
              <w:rFonts w:hint="default" w:ascii="Times New Roman" w:hAnsi="Times New Roman" w:cs="Times New Roman"/>
              <w:lang w:val="en-US" w:eastAsia="zh-CN"/>
            </w:rPr>
            <w:t xml:space="preserve">  </w:t>
          </w:r>
          <w:r>
            <w:rPr>
              <w:rFonts w:hint="default" w:ascii="Times New Roman" w:hAnsi="Times New Roman" w:eastAsia="仿宋_GB2312" w:cs="Times New Roman"/>
              <w:color w:val="auto"/>
              <w:sz w:val="32"/>
              <w:szCs w:val="32"/>
              <w:highlight w:val="none"/>
            </w:rPr>
            <w:t>一、收入支出决算总表</w:t>
          </w:r>
        </w:p>
        <w:p w14:paraId="47B2A8F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二、收入决算表</w:t>
          </w:r>
        </w:p>
        <w:p w14:paraId="2FE24AB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三、支出决算表</w:t>
          </w:r>
        </w:p>
        <w:p w14:paraId="68F3F6C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四、财政拨款收入支出决算总表</w:t>
          </w:r>
        </w:p>
        <w:p w14:paraId="73CF0FD2">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五、财政拨款支出决算明细表</w:t>
          </w:r>
        </w:p>
        <w:p w14:paraId="35069891">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p>
        <w:p w14:paraId="4B4076C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七、一般公共预算财政拨款支出决算明细表</w:t>
          </w:r>
        </w:p>
        <w:p w14:paraId="26227937">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p>
        <w:p w14:paraId="04CCCA33">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九、一般公共预算财政拨款项目支出决算表</w:t>
          </w:r>
        </w:p>
        <w:p w14:paraId="14740C2A">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十、政府性基金预算财政拨款收入支出决算表</w:t>
          </w:r>
        </w:p>
        <w:p w14:paraId="4448CC1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十一、国有资本经营预算财政拨款收入支出决算表</w:t>
          </w:r>
        </w:p>
        <w:p w14:paraId="2165B13E">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p>
        <w:p w14:paraId="06C87C95">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十三、财政拨款“三公”经费支出决算表</w:t>
          </w:r>
        </w:p>
        <w:p w14:paraId="6A4777DC">
          <w:pPr>
            <w:pStyle w:val="10"/>
            <w:rPr>
              <w:rFonts w:hint="default" w:ascii="Times New Roman" w:hAnsi="Times New Roman" w:cs="Times New Roman"/>
            </w:rPr>
          </w:pPr>
        </w:p>
        <w:p w14:paraId="5E1D9960">
          <w:pPr>
            <w:pStyle w:val="10"/>
            <w:rPr>
              <w:rFonts w:hint="default" w:ascii="Times New Roman" w:hAnsi="Times New Roman" w:eastAsia="仿宋_GB2312" w:cs="Times New Roman"/>
              <w:kern w:val="0"/>
              <w:sz w:val="30"/>
              <w:szCs w:val="24"/>
              <w:lang w:val="en-US" w:eastAsia="zh-CN" w:bidi="ar-SA"/>
            </w:rPr>
          </w:pPr>
        </w:p>
      </w:sdtContent>
    </w:sdt>
    <w:p w14:paraId="6A0F8936">
      <w:pPr>
        <w:rPr>
          <w:rFonts w:hint="default" w:ascii="Times New Roman" w:hAnsi="Times New Roman" w:cs="Times New Roman"/>
        </w:rPr>
      </w:pPr>
    </w:p>
    <w:p w14:paraId="043E350F">
      <w:pPr>
        <w:widowControl/>
        <w:jc w:val="center"/>
        <w:rPr>
          <w:rFonts w:hint="default" w:ascii="Times New Roman" w:hAnsi="Times New Roman" w:eastAsia="黑体" w:cs="Times New Roman"/>
          <w:sz w:val="48"/>
          <w:szCs w:val="48"/>
        </w:rPr>
      </w:pPr>
    </w:p>
    <w:p w14:paraId="19365445">
      <w:pPr>
        <w:widowControl/>
        <w:jc w:val="left"/>
        <w:rPr>
          <w:rFonts w:hint="default" w:ascii="Times New Roman" w:hAnsi="Times New Roman" w:eastAsia="黑体" w:cs="Times New Roman"/>
          <w:sz w:val="48"/>
          <w:szCs w:val="48"/>
        </w:rPr>
      </w:pPr>
    </w:p>
    <w:p w14:paraId="1AD63EF5">
      <w:pPr>
        <w:pStyle w:val="5"/>
        <w:jc w:val="both"/>
        <w:rPr>
          <w:rFonts w:hint="default" w:ascii="Times New Roman" w:hAnsi="Times New Roman" w:eastAsia="黑体" w:cs="Times New Roman"/>
          <w:b w:val="0"/>
        </w:rPr>
        <w:sectPr>
          <w:pgSz w:w="11906" w:h="16838"/>
          <w:pgMar w:top="1213" w:right="1179" w:bottom="1213" w:left="1349" w:header="851" w:footer="992" w:gutter="0"/>
          <w:pgNumType w:fmt="decimal" w:start="1"/>
          <w:cols w:space="0" w:num="1"/>
          <w:titlePg/>
          <w:rtlGutter w:val="0"/>
          <w:docGrid w:type="lines" w:linePitch="312" w:charSpace="0"/>
        </w:sectPr>
      </w:pPr>
      <w:bookmarkStart w:id="12" w:name="_Toc16894"/>
      <w:bookmarkStart w:id="13" w:name="_Toc15377196"/>
      <w:bookmarkStart w:id="14" w:name="_Toc15396599"/>
    </w:p>
    <w:p w14:paraId="0B83C680">
      <w:pPr>
        <w:pStyle w:val="5"/>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 w:val="0"/>
          <w:sz w:val="44"/>
          <w:szCs w:val="44"/>
        </w:rPr>
        <w:t xml:space="preserve">第一部分 </w:t>
      </w:r>
      <w:r>
        <w:rPr>
          <w:rStyle w:val="32"/>
          <w:rFonts w:hint="default" w:ascii="Times New Roman" w:hAnsi="Times New Roman" w:eastAsia="方正小标宋简体" w:cs="Times New Roman"/>
          <w:b w:val="0"/>
          <w:bCs w:val="0"/>
          <w:sz w:val="44"/>
          <w:szCs w:val="44"/>
        </w:rPr>
        <w:t>部门概况</w:t>
      </w:r>
      <w:bookmarkEnd w:id="12"/>
      <w:bookmarkEnd w:id="13"/>
      <w:bookmarkEnd w:id="14"/>
    </w:p>
    <w:p w14:paraId="5F193673">
      <w:pPr>
        <w:pStyle w:val="6"/>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firstLine="640" w:firstLineChars="200"/>
        <w:textAlignment w:val="auto"/>
        <w:outlineLvl w:val="0"/>
        <w:rPr>
          <w:rFonts w:hint="default" w:ascii="Times New Roman" w:hAnsi="Times New Roman" w:eastAsia="黑体" w:cs="Times New Roman"/>
          <w:b w:val="0"/>
        </w:rPr>
      </w:pPr>
      <w:bookmarkStart w:id="15" w:name="_Toc9509"/>
      <w:r>
        <w:rPr>
          <w:rFonts w:hint="default" w:ascii="Times New Roman" w:hAnsi="Times New Roman" w:eastAsia="黑体" w:cs="Times New Roman"/>
          <w:b w:val="0"/>
        </w:rPr>
        <w:t>部门职责</w:t>
      </w:r>
      <w:bookmarkEnd w:id="15"/>
    </w:p>
    <w:p w14:paraId="30AB9D66">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一是开展学</w:t>
      </w:r>
      <w:bookmarkStart w:id="16" w:name="OLE_LINK62"/>
      <w:r>
        <w:rPr>
          <w:rFonts w:hint="default" w:ascii="Times New Roman" w:hAnsi="Times New Roman" w:eastAsia="仿宋_GB2312" w:cs="Times New Roman"/>
          <w:b w:val="0"/>
          <w:bCs w:val="0"/>
          <w:kern w:val="2"/>
          <w:sz w:val="32"/>
          <w:szCs w:val="32"/>
          <w:lang w:val="en-US" w:eastAsia="zh-CN" w:bidi="ar-SA"/>
        </w:rPr>
        <w:t>术交流，活跃学术思想</w:t>
      </w:r>
      <w:bookmarkEnd w:id="16"/>
      <w:r>
        <w:rPr>
          <w:rFonts w:hint="default" w:ascii="Times New Roman" w:hAnsi="Times New Roman" w:eastAsia="仿宋_GB2312" w:cs="Times New Roman"/>
          <w:b w:val="0"/>
          <w:bCs w:val="0"/>
          <w:kern w:val="2"/>
          <w:sz w:val="32"/>
          <w:szCs w:val="32"/>
          <w:lang w:val="en-US" w:eastAsia="zh-CN" w:bidi="ar-SA"/>
        </w:rPr>
        <w:t>，促进学科发展，推动决策的科学化和民主化；二是弘扬科学精神，普及科学技术知识，推广先进技术，开展青少年科技教育活动，提高全民族科学文化素质；三是维护科技工作者的合法权益，为科技团体和科技工作者服务，表彰和奖励优秀科技工作者，举荐人才。组织科技工作者参与科技政策、法规制定和政治协商、科学决策、民主监督工作。四是开展技术培训、技术咨询服务，进行咨询服务行业管理。推动科技成果向现实生产力的转化，接受委托承担项目评估，成果鉴定，专业技术职务评审等任务。五是开展国际民间科技交流活动，发展同国外的科学技术团体和科技工作者的友好交往。六是开展培训工作。七是对直属州级学会、协会、研究会进行管理，对县、市科协和基层组织进行业务指导。八是承担州委、州政府和省科协交办的其他事项。</w:t>
      </w:r>
    </w:p>
    <w:p w14:paraId="715E1FF4">
      <w:pPr>
        <w:pStyle w:val="6"/>
        <w:keepNext/>
        <w:keepLines/>
        <w:pageBreakBefore w:val="0"/>
        <w:widowControl w:val="0"/>
        <w:numPr>
          <w:ilvl w:val="0"/>
          <w:numId w:val="1"/>
        </w:numPr>
        <w:kinsoku/>
        <w:wordWrap/>
        <w:overflowPunct/>
        <w:topLinePunct w:val="0"/>
        <w:autoSpaceDE/>
        <w:autoSpaceDN/>
        <w:bidi w:val="0"/>
        <w:adjustRightInd/>
        <w:snapToGrid/>
        <w:spacing w:before="0" w:after="0" w:line="560" w:lineRule="exact"/>
        <w:ind w:firstLine="640" w:firstLineChars="200"/>
        <w:textAlignment w:val="auto"/>
        <w:outlineLvl w:val="0"/>
        <w:rPr>
          <w:rFonts w:hint="default" w:ascii="Times New Roman" w:hAnsi="Times New Roman" w:eastAsia="黑体" w:cs="Times New Roman"/>
          <w:b w:val="0"/>
        </w:rPr>
      </w:pPr>
      <w:bookmarkStart w:id="17" w:name="_Toc15396601"/>
      <w:bookmarkStart w:id="18" w:name="_Toc15377200"/>
      <w:bookmarkStart w:id="19" w:name="_Toc29437"/>
      <w:r>
        <w:rPr>
          <w:rFonts w:hint="default" w:ascii="Times New Roman" w:hAnsi="Times New Roman" w:eastAsia="黑体" w:cs="Times New Roman"/>
          <w:b w:val="0"/>
        </w:rPr>
        <w:t>机构设置</w:t>
      </w:r>
      <w:bookmarkEnd w:id="17"/>
      <w:bookmarkEnd w:id="18"/>
      <w:bookmarkEnd w:id="19"/>
    </w:p>
    <w:p w14:paraId="0288FE0C">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凉山州科学技术协会下属二级预算单位1个，其中行政单位0个，参照公务员法管理的事业单位0个，其他事业单位1个。</w:t>
      </w:r>
    </w:p>
    <w:p w14:paraId="245D027E">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纳入凉山州科学技术协会2025年度部门决算编制范围的二级预算单位包括：</w:t>
      </w:r>
    </w:p>
    <w:p w14:paraId="3DE21E22">
      <w:pPr>
        <w:pStyle w:val="6"/>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outlineLvl w:val="9"/>
        <w:rPr>
          <w:rFonts w:hint="default" w:ascii="Times New Roman" w:hAnsi="Times New Roman" w:eastAsia="仿宋_GB2312" w:cs="Times New Roman"/>
          <w:b w:val="0"/>
          <w:bCs w:val="0"/>
          <w:kern w:val="2"/>
          <w:sz w:val="32"/>
          <w:szCs w:val="32"/>
          <w:lang w:val="en-US" w:eastAsia="zh-CN" w:bidi="ar-SA"/>
        </w:rPr>
      </w:pPr>
      <w:bookmarkStart w:id="20" w:name="_Toc15377433"/>
      <w:bookmarkStart w:id="21" w:name="_Toc15377202"/>
      <w:bookmarkStart w:id="22" w:name="_Toc15306276"/>
      <w:bookmarkStart w:id="23" w:name="_Toc15378449"/>
      <w:r>
        <w:rPr>
          <w:rFonts w:hint="default" w:ascii="Times New Roman" w:hAnsi="Times New Roman" w:eastAsia="仿宋_GB2312" w:cs="Times New Roman"/>
          <w:b w:val="0"/>
          <w:bCs w:val="0"/>
          <w:kern w:val="2"/>
          <w:sz w:val="32"/>
          <w:szCs w:val="32"/>
          <w:lang w:val="en-US" w:eastAsia="zh-CN" w:bidi="ar-SA"/>
        </w:rPr>
        <w:t>1.凉山州青少年科技活动中心。</w:t>
      </w:r>
    </w:p>
    <w:bookmarkEnd w:id="20"/>
    <w:bookmarkEnd w:id="21"/>
    <w:bookmarkEnd w:id="22"/>
    <w:bookmarkEnd w:id="23"/>
    <w:p w14:paraId="5A7FA587">
      <w:pPr>
        <w:pStyle w:val="10"/>
        <w:adjustRightInd w:val="0"/>
        <w:snapToGrid w:val="0"/>
        <w:spacing w:before="93" w:line="600" w:lineRule="exact"/>
        <w:ind w:left="672"/>
        <w:outlineLvl w:val="9"/>
        <w:rPr>
          <w:rFonts w:hint="default" w:ascii="Times New Roman" w:hAnsi="Times New Roman" w:eastAsia="仿宋" w:cs="Times New Roman"/>
          <w:sz w:val="32"/>
          <w:szCs w:val="32"/>
        </w:rPr>
      </w:pPr>
    </w:p>
    <w:p w14:paraId="22EEE10F">
      <w:pPr>
        <w:widowControl/>
        <w:ind w:firstLine="1320" w:firstLineChars="300"/>
        <w:jc w:val="left"/>
        <w:outlineLvl w:val="0"/>
        <w:rPr>
          <w:rStyle w:val="32"/>
          <w:rFonts w:hint="default" w:ascii="Times New Roman" w:hAnsi="Times New Roman" w:eastAsia="黑体" w:cs="Times New Roman"/>
          <w:b w:val="0"/>
          <w:bCs/>
        </w:rPr>
      </w:pPr>
      <w:bookmarkStart w:id="24" w:name="_Toc15396602"/>
      <w:bookmarkStart w:id="25" w:name="_Toc15377204"/>
      <w:bookmarkStart w:id="26" w:name="_Toc31423"/>
    </w:p>
    <w:p w14:paraId="33C223A8">
      <w:pPr>
        <w:widowControl/>
        <w:ind w:firstLine="880" w:firstLineChars="200"/>
        <w:jc w:val="left"/>
        <w:outlineLvl w:val="0"/>
        <w:rPr>
          <w:rStyle w:val="32"/>
          <w:rFonts w:hint="default" w:ascii="Times New Roman" w:hAnsi="Times New Roman" w:eastAsia="方正小标宋简体" w:cs="Times New Roman"/>
          <w:b w:val="0"/>
          <w:bCs/>
        </w:rPr>
      </w:pPr>
      <w:r>
        <w:rPr>
          <w:rStyle w:val="32"/>
          <w:rFonts w:hint="default" w:ascii="Times New Roman" w:hAnsi="Times New Roman" w:eastAsia="方正小标宋简体" w:cs="Times New Roman"/>
          <w:b w:val="0"/>
          <w:bCs/>
        </w:rPr>
        <w:t xml:space="preserve">第二部分 </w:t>
      </w:r>
      <w:r>
        <w:rPr>
          <w:rStyle w:val="32"/>
          <w:rFonts w:hint="default" w:ascii="Times New Roman" w:hAnsi="Times New Roman" w:eastAsia="方正小标宋简体" w:cs="Times New Roman"/>
          <w:b w:val="0"/>
          <w:bCs/>
          <w:lang w:val="en-US" w:eastAsia="zh-CN"/>
        </w:rPr>
        <w:t>2025</w:t>
      </w:r>
      <w:r>
        <w:rPr>
          <w:rStyle w:val="32"/>
          <w:rFonts w:hint="default" w:ascii="Times New Roman" w:hAnsi="Times New Roman" w:eastAsia="方正小标宋简体" w:cs="Times New Roman"/>
          <w:b w:val="0"/>
          <w:bCs/>
        </w:rPr>
        <w:t>年度部门决算情况说明</w:t>
      </w:r>
      <w:bookmarkEnd w:id="24"/>
      <w:bookmarkEnd w:id="25"/>
      <w:bookmarkEnd w:id="26"/>
    </w:p>
    <w:p w14:paraId="5FC9E478">
      <w:pPr>
        <w:rPr>
          <w:rFonts w:hint="default" w:ascii="Times New Roman" w:hAnsi="Times New Roman" w:cs="Times New Roman"/>
        </w:rPr>
      </w:pPr>
    </w:p>
    <w:p w14:paraId="2C9B7A98">
      <w:pPr>
        <w:pStyle w:val="3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0"/>
        <w:rPr>
          <w:rStyle w:val="33"/>
          <w:rFonts w:hint="default" w:ascii="Times New Roman" w:hAnsi="Times New Roman" w:eastAsia="黑体" w:cs="Times New Roman"/>
          <w:b w:val="0"/>
        </w:rPr>
      </w:pPr>
      <w:bookmarkStart w:id="27" w:name="_Toc15396603"/>
      <w:bookmarkStart w:id="28" w:name="_Toc15377205"/>
      <w:bookmarkStart w:id="29" w:name="_Toc18951"/>
      <w:r>
        <w:rPr>
          <w:rFonts w:hint="default"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收</w:t>
      </w:r>
      <w:r>
        <w:rPr>
          <w:rStyle w:val="33"/>
          <w:rFonts w:hint="default" w:ascii="Times New Roman" w:hAnsi="Times New Roman" w:eastAsia="黑体" w:cs="Times New Roman"/>
          <w:b w:val="0"/>
        </w:rPr>
        <w:t>入支出决算总体情况说明</w:t>
      </w:r>
      <w:bookmarkEnd w:id="27"/>
      <w:bookmarkEnd w:id="28"/>
      <w:bookmarkEnd w:id="29"/>
    </w:p>
    <w:p w14:paraId="4104C2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2025年度收入总计1388.66万元、支总计</w:t>
      </w:r>
      <w:bookmarkStart w:id="30" w:name="OLE_LINK43"/>
      <w:r>
        <w:rPr>
          <w:rFonts w:hint="default" w:ascii="Times New Roman" w:hAnsi="Times New Roman" w:eastAsia="仿宋_GB2312" w:cs="Times New Roman"/>
          <w:b w:val="0"/>
          <w:bCs w:val="0"/>
          <w:kern w:val="2"/>
          <w:sz w:val="32"/>
          <w:szCs w:val="32"/>
          <w:lang w:val="en-US" w:eastAsia="zh-CN" w:bidi="ar-SA"/>
        </w:rPr>
        <w:t>为1368.66</w:t>
      </w:r>
      <w:bookmarkEnd w:id="30"/>
      <w:r>
        <w:rPr>
          <w:rFonts w:hint="default" w:ascii="Times New Roman" w:hAnsi="Times New Roman" w:eastAsia="仿宋_GB2312" w:cs="Times New Roman"/>
          <w:b w:val="0"/>
          <w:bCs w:val="0"/>
          <w:kern w:val="2"/>
          <w:sz w:val="32"/>
          <w:szCs w:val="32"/>
          <w:lang w:val="en-US" w:eastAsia="zh-CN" w:bidi="ar-SA"/>
        </w:rPr>
        <w:t>万元。与2024年度相比，收入总计增加453.8万元、增加48.5%。支总计增加433.8万元、增加46.4%。主要变动原因是总体增加科普科服项目资金拨入。</w:t>
      </w:r>
    </w:p>
    <w:p w14:paraId="2A3F4163">
      <w:pPr>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cs="Times New Roman"/>
          <w:lang w:val="en-US" w:eastAsia="zh-CN"/>
        </w:rPr>
        <w:t xml:space="preserve">    </w:t>
      </w:r>
      <w:r>
        <w:rPr>
          <w:rFonts w:hint="default" w:ascii="Times New Roman" w:hAnsi="Times New Roman" w:cs="Times New Roman"/>
          <w:lang w:val="en-US" w:eastAsia="zh-CN"/>
        </w:rPr>
        <w:drawing>
          <wp:inline distT="0" distB="0" distL="114300" distR="114300">
            <wp:extent cx="5020310" cy="3387725"/>
            <wp:effectExtent l="4445" t="4445" r="19685" b="635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hint="default" w:ascii="Times New Roman" w:hAnsi="Times New Roman" w:eastAsia="仿宋_GB2312" w:cs="Times New Roman"/>
          <w:b w:val="0"/>
          <w:bCs w:val="0"/>
          <w:kern w:val="2"/>
          <w:sz w:val="32"/>
          <w:szCs w:val="32"/>
          <w:lang w:val="en-US" w:eastAsia="zh-CN" w:bidi="ar-SA"/>
        </w:rPr>
        <w:tab/>
      </w:r>
      <w:bookmarkStart w:id="31" w:name="_Toc14650"/>
      <w:bookmarkStart w:id="32" w:name="_Toc15396604"/>
      <w:bookmarkStart w:id="33" w:name="_Toc15377206"/>
    </w:p>
    <w:p w14:paraId="7F5C2B0A">
      <w:pPr>
        <w:ind w:firstLine="640" w:firstLineChars="200"/>
        <w:rPr>
          <w:rStyle w:val="33"/>
          <w:rFonts w:hint="default" w:ascii="Times New Roman" w:hAnsi="Times New Roman" w:eastAsia="黑体" w:cs="Times New Roman"/>
          <w:b w:val="0"/>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收</w:t>
      </w:r>
      <w:r>
        <w:rPr>
          <w:rStyle w:val="33"/>
          <w:rFonts w:hint="default" w:ascii="Times New Roman" w:hAnsi="Times New Roman" w:eastAsia="黑体" w:cs="Times New Roman"/>
          <w:b w:val="0"/>
        </w:rPr>
        <w:t>入决算情况说明</w:t>
      </w:r>
      <w:bookmarkEnd w:id="31"/>
      <w:bookmarkEnd w:id="32"/>
      <w:bookmarkEnd w:id="33"/>
    </w:p>
    <w:p w14:paraId="753CF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本年收入合计1388.66万元，其中：一般公共预算财政拨款收入1368.66万元，占98.6%；政府性基金预算财政拨款收入0万元，占0%；国有资本经营预算财政拨款收入0万元，占0%；上级补助收入0万元，占0%；事业收入0万元，占0%；经营收入0万元，占0%；附属单位上缴收入0万元，占0%；其他收入20万元，占1.4%。</w:t>
      </w:r>
    </w:p>
    <w:p w14:paraId="5D6E295A">
      <w:pPr>
        <w:pStyle w:val="10"/>
        <w:rPr>
          <w:rFonts w:hint="default" w:ascii="Times New Roman" w:hAnsi="Times New Roman" w:eastAsia="仿宋" w:cs="Times New Roman"/>
          <w:sz w:val="32"/>
          <w:szCs w:val="32"/>
        </w:rPr>
      </w:pPr>
      <w:r>
        <w:rPr>
          <w:rFonts w:hint="default" w:ascii="Times New Roman" w:hAnsi="Times New Roman" w:cs="Times New Roman"/>
          <w:lang w:val="en-US" w:eastAsia="zh-CN"/>
        </w:rPr>
        <w:drawing>
          <wp:anchor distT="0" distB="0" distL="114300" distR="114300" simplePos="0" relativeHeight="251666432" behindDoc="1" locked="0" layoutInCell="1" allowOverlap="1">
            <wp:simplePos x="0" y="0"/>
            <wp:positionH relativeFrom="column">
              <wp:posOffset>619760</wp:posOffset>
            </wp:positionH>
            <wp:positionV relativeFrom="paragraph">
              <wp:posOffset>62865</wp:posOffset>
            </wp:positionV>
            <wp:extent cx="4669790" cy="2823845"/>
            <wp:effectExtent l="4445" t="4445" r="19685" b="6350"/>
            <wp:wrapNone/>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F81691F">
      <w:pPr>
        <w:rPr>
          <w:rFonts w:hint="default" w:ascii="Times New Roman" w:hAnsi="Times New Roman" w:cs="Times New Roman"/>
        </w:rPr>
      </w:pPr>
    </w:p>
    <w:p w14:paraId="5205FD7E">
      <w:pPr>
        <w:spacing w:line="600" w:lineRule="exact"/>
        <w:ind w:firstLine="640" w:firstLineChars="200"/>
        <w:rPr>
          <w:rFonts w:hint="default" w:ascii="Times New Roman" w:hAnsi="Times New Roman" w:eastAsia="仿宋_GB2312" w:cs="Times New Roman"/>
          <w:sz w:val="32"/>
          <w:szCs w:val="32"/>
          <w:lang w:val="en-US" w:eastAsia="zh-CN"/>
        </w:rPr>
      </w:pPr>
    </w:p>
    <w:p w14:paraId="225DD6FB">
      <w:pPr>
        <w:pStyle w:val="10"/>
        <w:rPr>
          <w:rFonts w:hint="default" w:ascii="Times New Roman" w:hAnsi="Times New Roman" w:eastAsia="仿宋_GB2312" w:cs="Times New Roman"/>
          <w:sz w:val="32"/>
          <w:szCs w:val="32"/>
          <w:lang w:val="en-US" w:eastAsia="zh-CN"/>
        </w:rPr>
      </w:pPr>
    </w:p>
    <w:p w14:paraId="1A1955D8">
      <w:pPr>
        <w:rPr>
          <w:rFonts w:hint="default" w:ascii="Times New Roman" w:hAnsi="Times New Roman" w:eastAsia="仿宋_GB2312" w:cs="Times New Roman"/>
          <w:sz w:val="32"/>
          <w:szCs w:val="32"/>
          <w:lang w:val="en-US" w:eastAsia="zh-CN"/>
        </w:rPr>
      </w:pPr>
    </w:p>
    <w:p w14:paraId="56CCAE18">
      <w:pPr>
        <w:pStyle w:val="10"/>
        <w:rPr>
          <w:rFonts w:hint="default" w:ascii="Times New Roman" w:hAnsi="Times New Roman" w:cs="Times New Roman"/>
          <w:lang w:val="en-US" w:eastAsia="zh-CN"/>
        </w:rPr>
      </w:pPr>
    </w:p>
    <w:p w14:paraId="72EE455E">
      <w:pPr>
        <w:pStyle w:val="10"/>
        <w:rPr>
          <w:rFonts w:hint="default" w:ascii="Times New Roman" w:hAnsi="Times New Roman" w:cs="Times New Roman"/>
          <w:lang w:val="en-US" w:eastAsia="zh-CN"/>
        </w:rPr>
      </w:pPr>
    </w:p>
    <w:p w14:paraId="1B957389">
      <w:pPr>
        <w:pStyle w:val="31"/>
        <w:numPr>
          <w:ilvl w:val="0"/>
          <w:numId w:val="0"/>
        </w:numPr>
        <w:spacing w:line="600" w:lineRule="exact"/>
        <w:outlineLvl w:val="0"/>
        <w:rPr>
          <w:rFonts w:hint="default" w:ascii="Times New Roman" w:hAnsi="Times New Roman" w:eastAsia="黑体" w:cs="Times New Roman"/>
          <w:sz w:val="32"/>
          <w:szCs w:val="32"/>
          <w:lang w:eastAsia="zh-CN"/>
        </w:rPr>
      </w:pPr>
      <w:bookmarkStart w:id="34" w:name="_Toc25201"/>
      <w:bookmarkStart w:id="35" w:name="_Toc15396605"/>
      <w:bookmarkStart w:id="36" w:name="_Toc15377207"/>
    </w:p>
    <w:p w14:paraId="1DEAE061">
      <w:pPr>
        <w:ind w:firstLine="640" w:firstLineChars="200"/>
        <w:rPr>
          <w:rStyle w:val="33"/>
          <w:rFonts w:hint="default" w:ascii="Times New Roman" w:hAnsi="Times New Roman" w:eastAsia="黑体" w:cs="Times New Roman"/>
          <w:b w:val="0"/>
        </w:rPr>
      </w:pPr>
      <w:r>
        <w:rPr>
          <w:rStyle w:val="33"/>
          <w:rFonts w:hint="default" w:ascii="Times New Roman" w:hAnsi="Times New Roman" w:eastAsia="黑体" w:cs="Times New Roman"/>
          <w:b w:val="0"/>
          <w:lang w:eastAsia="zh-CN"/>
        </w:rPr>
        <w:t>三、</w:t>
      </w:r>
      <w:r>
        <w:rPr>
          <w:rStyle w:val="33"/>
          <w:rFonts w:hint="default" w:ascii="Times New Roman" w:hAnsi="Times New Roman" w:eastAsia="黑体" w:cs="Times New Roman"/>
          <w:b w:val="0"/>
        </w:rPr>
        <w:t>支出决算情况说明</w:t>
      </w:r>
      <w:bookmarkEnd w:id="34"/>
      <w:bookmarkEnd w:id="35"/>
      <w:bookmarkEnd w:id="36"/>
    </w:p>
    <w:p w14:paraId="257EE1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2025年度本年支出合计1368.66万元，其中：基本支出452.87万元，占33%；项目支出915.79万元，占67%；上缴上级支出0万元，占0%；经营支出0万元，占0%；对附属单位补助支出0万元，占0%。</w:t>
      </w:r>
    </w:p>
    <w:p w14:paraId="2FBF19CD">
      <w:pPr>
        <w:spacing w:line="600" w:lineRule="exact"/>
        <w:outlineLvl w:val="0"/>
        <w:rPr>
          <w:rFonts w:hint="default" w:ascii="Times New Roman" w:hAnsi="Times New Roman" w:eastAsia="黑体" w:cs="Times New Roman"/>
          <w:sz w:val="32"/>
          <w:szCs w:val="32"/>
          <w:lang w:val="en-US"/>
        </w:rPr>
      </w:pPr>
      <w:bookmarkStart w:id="37" w:name="_Toc15377208"/>
      <w:bookmarkStart w:id="38" w:name="_Toc15396606"/>
      <w:bookmarkStart w:id="39" w:name="_Toc6285"/>
      <w:r>
        <w:rPr>
          <w:rFonts w:hint="default" w:ascii="Times New Roman" w:hAnsi="Times New Roman" w:cs="Times New Roman"/>
          <w:lang w:val="en-US" w:eastAsia="zh-CN"/>
        </w:rPr>
        <w:drawing>
          <wp:anchor distT="0" distB="0" distL="114300" distR="114300" simplePos="0" relativeHeight="251661312" behindDoc="1" locked="0" layoutInCell="1" allowOverlap="1">
            <wp:simplePos x="0" y="0"/>
            <wp:positionH relativeFrom="column">
              <wp:posOffset>574675</wp:posOffset>
            </wp:positionH>
            <wp:positionV relativeFrom="paragraph">
              <wp:posOffset>203835</wp:posOffset>
            </wp:positionV>
            <wp:extent cx="4508500" cy="2499995"/>
            <wp:effectExtent l="4445" t="4445" r="13335" b="1016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default" w:ascii="Times New Roman" w:hAnsi="Times New Roman" w:eastAsia="黑体" w:cs="Times New Roman"/>
          <w:sz w:val="32"/>
          <w:szCs w:val="32"/>
          <w:lang w:val="en-US" w:eastAsia="zh-CN"/>
        </w:rPr>
        <w:t xml:space="preserve">         </w:t>
      </w:r>
    </w:p>
    <w:p w14:paraId="689E0DCF">
      <w:pPr>
        <w:spacing w:line="600" w:lineRule="exact"/>
        <w:ind w:firstLine="640" w:firstLineChars="200"/>
        <w:outlineLvl w:val="0"/>
        <w:rPr>
          <w:rFonts w:hint="default" w:ascii="Times New Roman" w:hAnsi="Times New Roman" w:eastAsia="黑体" w:cs="Times New Roman"/>
          <w:sz w:val="32"/>
          <w:szCs w:val="32"/>
        </w:rPr>
      </w:pPr>
    </w:p>
    <w:p w14:paraId="05540FEA">
      <w:pPr>
        <w:spacing w:line="600" w:lineRule="exact"/>
        <w:ind w:firstLine="640" w:firstLineChars="200"/>
        <w:outlineLvl w:val="0"/>
        <w:rPr>
          <w:rFonts w:hint="default" w:ascii="Times New Roman" w:hAnsi="Times New Roman" w:eastAsia="黑体" w:cs="Times New Roman"/>
          <w:sz w:val="32"/>
          <w:szCs w:val="32"/>
        </w:rPr>
      </w:pPr>
    </w:p>
    <w:p w14:paraId="7BCB828D">
      <w:pPr>
        <w:spacing w:line="600" w:lineRule="exact"/>
        <w:ind w:firstLine="640" w:firstLineChars="200"/>
        <w:outlineLvl w:val="0"/>
        <w:rPr>
          <w:rFonts w:hint="default" w:ascii="Times New Roman" w:hAnsi="Times New Roman" w:eastAsia="黑体" w:cs="Times New Roman"/>
          <w:sz w:val="32"/>
          <w:szCs w:val="32"/>
        </w:rPr>
      </w:pPr>
    </w:p>
    <w:p w14:paraId="08EBBFFD">
      <w:pPr>
        <w:spacing w:line="600" w:lineRule="exact"/>
        <w:ind w:firstLine="640" w:firstLineChars="200"/>
        <w:outlineLvl w:val="0"/>
        <w:rPr>
          <w:rFonts w:hint="default" w:ascii="Times New Roman" w:hAnsi="Times New Roman" w:eastAsia="黑体" w:cs="Times New Roman"/>
          <w:sz w:val="32"/>
          <w:szCs w:val="32"/>
        </w:rPr>
      </w:pPr>
    </w:p>
    <w:p w14:paraId="0EF6EF2C">
      <w:pPr>
        <w:spacing w:line="600" w:lineRule="exact"/>
        <w:ind w:firstLine="640" w:firstLineChars="200"/>
        <w:outlineLvl w:val="0"/>
        <w:rPr>
          <w:rFonts w:hint="default" w:ascii="Times New Roman" w:hAnsi="Times New Roman" w:eastAsia="黑体" w:cs="Times New Roman"/>
          <w:sz w:val="32"/>
          <w:szCs w:val="32"/>
        </w:rPr>
      </w:pPr>
    </w:p>
    <w:p w14:paraId="370D37BE">
      <w:pPr>
        <w:spacing w:line="600" w:lineRule="exact"/>
        <w:ind w:firstLine="640" w:firstLineChars="200"/>
        <w:outlineLvl w:val="0"/>
        <w:rPr>
          <w:rFonts w:hint="default" w:ascii="Times New Roman" w:hAnsi="Times New Roman" w:eastAsia="黑体" w:cs="Times New Roman"/>
          <w:sz w:val="32"/>
          <w:szCs w:val="32"/>
        </w:rPr>
      </w:pPr>
    </w:p>
    <w:p w14:paraId="1B34B951">
      <w:pPr>
        <w:spacing w:line="600" w:lineRule="exact"/>
        <w:ind w:firstLine="640" w:firstLineChars="200"/>
        <w:outlineLvl w:val="0"/>
        <w:rPr>
          <w:rFonts w:hint="default" w:ascii="Times New Roman" w:hAnsi="Times New Roman" w:eastAsia="黑体" w:cs="Times New Roman"/>
          <w:sz w:val="32"/>
          <w:szCs w:val="32"/>
        </w:rPr>
      </w:pPr>
    </w:p>
    <w:p w14:paraId="23C7A254">
      <w:pPr>
        <w:ind w:firstLine="640" w:firstLineChars="200"/>
        <w:rPr>
          <w:rStyle w:val="33"/>
          <w:rFonts w:hint="default" w:ascii="Times New Roman" w:hAnsi="Times New Roman" w:eastAsia="黑体" w:cs="Times New Roman"/>
          <w:b w:val="0"/>
        </w:rPr>
      </w:pPr>
      <w:r>
        <w:rPr>
          <w:rStyle w:val="33"/>
          <w:rFonts w:hint="default" w:ascii="Times New Roman" w:hAnsi="Times New Roman" w:eastAsia="黑体" w:cs="Times New Roman"/>
          <w:b w:val="0"/>
        </w:rPr>
        <w:t>四、财政拨款收入支出决算总体情况说明</w:t>
      </w:r>
      <w:bookmarkEnd w:id="37"/>
      <w:bookmarkEnd w:id="38"/>
      <w:bookmarkEnd w:id="39"/>
    </w:p>
    <w:p w14:paraId="397A41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2025年度财政拨款收、支总计均为1368.66万元。与2024年度相比，财政拨款收、支总计各</w:t>
      </w:r>
      <w:bookmarkStart w:id="40" w:name="OLE_LINK18"/>
      <w:r>
        <w:rPr>
          <w:rFonts w:hint="default" w:ascii="Times New Roman" w:hAnsi="Times New Roman" w:eastAsia="仿宋_GB2312" w:cs="Times New Roman"/>
          <w:b w:val="0"/>
          <w:bCs w:val="0"/>
          <w:kern w:val="2"/>
          <w:sz w:val="32"/>
          <w:szCs w:val="32"/>
          <w:lang w:val="en-US" w:eastAsia="zh-CN" w:bidi="ar-SA"/>
        </w:rPr>
        <w:t>增加433.8万元，增加46.4%。主要变动原因是总体增加科普科服项目资金拨入。</w:t>
      </w:r>
    </w:p>
    <w:bookmarkEnd w:id="40"/>
    <w:p w14:paraId="4C3B1B8D">
      <w:pPr>
        <w:spacing w:line="600" w:lineRule="exact"/>
        <w:ind w:firstLine="420" w:firstLineChars="200"/>
        <w:outlineLvl w:val="9"/>
        <w:rPr>
          <w:rFonts w:hint="default" w:ascii="Times New Roman" w:hAnsi="Times New Roman" w:eastAsia="黑体" w:cs="Times New Roman"/>
          <w:sz w:val="32"/>
          <w:szCs w:val="32"/>
        </w:rPr>
      </w:pPr>
      <w:bookmarkStart w:id="41" w:name="_Toc15377209"/>
      <w:bookmarkStart w:id="42" w:name="_Toc15396607"/>
      <w:r>
        <w:rPr>
          <w:rFonts w:hint="default" w:ascii="Times New Roman" w:hAnsi="Times New Roman" w:cs="Times New Roman"/>
          <w:lang w:val="en-US" w:eastAsia="zh-CN"/>
        </w:rPr>
        <w:drawing>
          <wp:anchor distT="0" distB="0" distL="114300" distR="114300" simplePos="0" relativeHeight="251662336" behindDoc="0" locked="0" layoutInCell="1" allowOverlap="1">
            <wp:simplePos x="0" y="0"/>
            <wp:positionH relativeFrom="column">
              <wp:posOffset>568960</wp:posOffset>
            </wp:positionH>
            <wp:positionV relativeFrom="paragraph">
              <wp:posOffset>270510</wp:posOffset>
            </wp:positionV>
            <wp:extent cx="4594225" cy="2534285"/>
            <wp:effectExtent l="4445" t="4445" r="11430" b="13970"/>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A6754CD">
      <w:pPr>
        <w:spacing w:line="600" w:lineRule="exact"/>
        <w:ind w:firstLine="640" w:firstLineChars="200"/>
        <w:outlineLvl w:val="9"/>
        <w:rPr>
          <w:rFonts w:hint="default" w:ascii="Times New Roman" w:hAnsi="Times New Roman" w:eastAsia="黑体" w:cs="Times New Roman"/>
          <w:sz w:val="32"/>
          <w:szCs w:val="32"/>
        </w:rPr>
      </w:pPr>
    </w:p>
    <w:p w14:paraId="6AFE425E">
      <w:pPr>
        <w:spacing w:line="600" w:lineRule="exact"/>
        <w:ind w:firstLine="640" w:firstLineChars="200"/>
        <w:outlineLvl w:val="9"/>
        <w:rPr>
          <w:rFonts w:hint="default" w:ascii="Times New Roman" w:hAnsi="Times New Roman" w:eastAsia="黑体" w:cs="Times New Roman"/>
          <w:sz w:val="32"/>
          <w:szCs w:val="32"/>
        </w:rPr>
      </w:pPr>
    </w:p>
    <w:p w14:paraId="7F3B73F1">
      <w:pPr>
        <w:spacing w:line="600" w:lineRule="exact"/>
        <w:ind w:firstLine="640" w:firstLineChars="200"/>
        <w:outlineLvl w:val="9"/>
        <w:rPr>
          <w:rFonts w:hint="default" w:ascii="Times New Roman" w:hAnsi="Times New Roman" w:eastAsia="黑体" w:cs="Times New Roman"/>
          <w:sz w:val="32"/>
          <w:szCs w:val="32"/>
        </w:rPr>
      </w:pPr>
    </w:p>
    <w:p w14:paraId="1341B94A">
      <w:pPr>
        <w:spacing w:line="600" w:lineRule="exact"/>
        <w:ind w:firstLine="640" w:firstLineChars="200"/>
        <w:outlineLvl w:val="9"/>
        <w:rPr>
          <w:rFonts w:hint="default" w:ascii="Times New Roman" w:hAnsi="Times New Roman" w:eastAsia="黑体" w:cs="Times New Roman"/>
          <w:sz w:val="32"/>
          <w:szCs w:val="32"/>
        </w:rPr>
      </w:pPr>
    </w:p>
    <w:p w14:paraId="09FA14B1">
      <w:pPr>
        <w:spacing w:line="600" w:lineRule="exact"/>
        <w:ind w:firstLine="640" w:firstLineChars="200"/>
        <w:outlineLvl w:val="0"/>
        <w:rPr>
          <w:rFonts w:hint="default" w:ascii="Times New Roman" w:hAnsi="Times New Roman" w:eastAsia="黑体" w:cs="Times New Roman"/>
          <w:sz w:val="32"/>
          <w:szCs w:val="32"/>
        </w:rPr>
      </w:pPr>
      <w:bookmarkStart w:id="43" w:name="_Toc24167"/>
    </w:p>
    <w:p w14:paraId="2098D04A">
      <w:pPr>
        <w:spacing w:line="600" w:lineRule="exact"/>
        <w:ind w:firstLine="640" w:firstLineChars="200"/>
        <w:outlineLvl w:val="0"/>
        <w:rPr>
          <w:rFonts w:hint="default" w:ascii="Times New Roman" w:hAnsi="Times New Roman" w:eastAsia="黑体" w:cs="Times New Roman"/>
          <w:sz w:val="32"/>
          <w:szCs w:val="32"/>
        </w:rPr>
      </w:pPr>
    </w:p>
    <w:p w14:paraId="2F091805">
      <w:pPr>
        <w:ind w:firstLine="640" w:firstLineChars="200"/>
        <w:rPr>
          <w:rStyle w:val="33"/>
          <w:rFonts w:hint="default" w:ascii="Times New Roman" w:hAnsi="Times New Roman" w:eastAsia="黑体" w:cs="Times New Roman"/>
          <w:b w:val="0"/>
        </w:rPr>
      </w:pPr>
    </w:p>
    <w:p w14:paraId="34A69890">
      <w:pPr>
        <w:ind w:firstLine="640" w:firstLineChars="200"/>
        <w:rPr>
          <w:rStyle w:val="33"/>
          <w:rFonts w:hint="default" w:ascii="Times New Roman" w:hAnsi="Times New Roman" w:eastAsia="黑体" w:cs="Times New Roman"/>
          <w:b w:val="0"/>
        </w:rPr>
      </w:pPr>
      <w:r>
        <w:rPr>
          <w:rStyle w:val="33"/>
          <w:rFonts w:hint="default" w:ascii="Times New Roman" w:hAnsi="Times New Roman" w:eastAsia="黑体" w:cs="Times New Roman"/>
          <w:b w:val="0"/>
        </w:rPr>
        <w:t>五、一般公共预算财政拨款支出决算情况说明</w:t>
      </w:r>
      <w:bookmarkEnd w:id="41"/>
      <w:bookmarkEnd w:id="42"/>
      <w:bookmarkEnd w:id="43"/>
    </w:p>
    <w:p w14:paraId="51978BB9">
      <w:pPr>
        <w:spacing w:line="600" w:lineRule="exact"/>
        <w:ind w:firstLine="640" w:firstLineChars="200"/>
        <w:outlineLvl w:val="1"/>
        <w:rPr>
          <w:rFonts w:hint="default" w:ascii="Times New Roman" w:hAnsi="Times New Roman" w:eastAsia="楷体_GB2312" w:cs="Times New Roman"/>
          <w:b w:val="0"/>
          <w:bCs/>
          <w:sz w:val="32"/>
          <w:szCs w:val="32"/>
        </w:rPr>
      </w:pPr>
      <w:bookmarkStart w:id="44" w:name="_Toc15377210"/>
      <w:r>
        <w:rPr>
          <w:rFonts w:hint="default" w:ascii="Times New Roman" w:hAnsi="Times New Roman" w:eastAsia="楷体_GB2312" w:cs="Times New Roman"/>
          <w:b w:val="0"/>
          <w:bCs/>
          <w:sz w:val="32"/>
          <w:szCs w:val="32"/>
        </w:rPr>
        <w:t>（一）一般公共预算财政拨款支出决算总体情况</w:t>
      </w:r>
      <w:bookmarkEnd w:id="44"/>
    </w:p>
    <w:p w14:paraId="00E3DA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b w:val="0"/>
          <w:bCs w:val="0"/>
          <w:kern w:val="2"/>
          <w:sz w:val="32"/>
          <w:szCs w:val="32"/>
          <w:lang w:val="en-US" w:eastAsia="zh-CN" w:bidi="ar-SA"/>
        </w:rPr>
        <w:t>2025年度一般公共预算财政拨款支出1368.66万元，占本年支出合计的100%。与2024年度相比，一般公共预算财政拨款支出增加433.8万元，增加46%。主要变动原因是总体增加科普项目资金拨入所致。</w:t>
      </w:r>
    </w:p>
    <w:p w14:paraId="12FE2FB4">
      <w:pPr>
        <w:spacing w:line="600" w:lineRule="exact"/>
        <w:ind w:firstLine="420" w:firstLineChars="200"/>
        <w:rPr>
          <w:rFonts w:hint="default" w:ascii="Times New Roman" w:hAnsi="Times New Roman" w:eastAsia="仿宋" w:cs="Times New Roman"/>
          <w:sz w:val="32"/>
          <w:szCs w:val="32"/>
        </w:rPr>
      </w:pPr>
      <w:r>
        <w:rPr>
          <w:rFonts w:hint="default" w:ascii="Times New Roman" w:hAnsi="Times New Roman" w:cs="Times New Roman"/>
          <w:lang w:val="en-US" w:eastAsia="zh-CN"/>
        </w:rPr>
        <w:drawing>
          <wp:anchor distT="0" distB="0" distL="114300" distR="114300" simplePos="0" relativeHeight="251663360" behindDoc="0" locked="0" layoutInCell="1" allowOverlap="1">
            <wp:simplePos x="0" y="0"/>
            <wp:positionH relativeFrom="column">
              <wp:posOffset>809625</wp:posOffset>
            </wp:positionH>
            <wp:positionV relativeFrom="paragraph">
              <wp:posOffset>53975</wp:posOffset>
            </wp:positionV>
            <wp:extent cx="3914140" cy="3044825"/>
            <wp:effectExtent l="4445" t="4445" r="5715" b="1778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F0209CF">
      <w:pPr>
        <w:spacing w:line="600" w:lineRule="exact"/>
        <w:ind w:firstLine="640" w:firstLineChars="200"/>
        <w:rPr>
          <w:rFonts w:hint="default" w:ascii="Times New Roman" w:hAnsi="Times New Roman" w:eastAsia="仿宋" w:cs="Times New Roman"/>
          <w:sz w:val="32"/>
          <w:szCs w:val="32"/>
        </w:rPr>
      </w:pPr>
    </w:p>
    <w:p w14:paraId="77460350">
      <w:pPr>
        <w:spacing w:line="600" w:lineRule="exact"/>
        <w:ind w:firstLine="643" w:firstLineChars="200"/>
        <w:outlineLvl w:val="9"/>
        <w:rPr>
          <w:rFonts w:hint="default" w:ascii="Times New Roman" w:hAnsi="Times New Roman" w:eastAsia="仿宋" w:cs="Times New Roman"/>
          <w:b/>
          <w:sz w:val="32"/>
          <w:szCs w:val="32"/>
        </w:rPr>
      </w:pPr>
      <w:bookmarkStart w:id="45" w:name="_Toc15377211"/>
    </w:p>
    <w:p w14:paraId="4DEE50F1">
      <w:pPr>
        <w:spacing w:line="600" w:lineRule="exact"/>
        <w:outlineLvl w:val="9"/>
        <w:rPr>
          <w:rFonts w:hint="default" w:ascii="Times New Roman" w:hAnsi="Times New Roman" w:eastAsia="仿宋" w:cs="Times New Roman"/>
          <w:b/>
          <w:sz w:val="32"/>
          <w:szCs w:val="32"/>
        </w:rPr>
      </w:pPr>
    </w:p>
    <w:p w14:paraId="7FEEBB2C">
      <w:pPr>
        <w:spacing w:line="600" w:lineRule="exact"/>
        <w:ind w:firstLine="643" w:firstLineChars="200"/>
        <w:outlineLvl w:val="1"/>
        <w:rPr>
          <w:rFonts w:hint="default" w:ascii="Times New Roman" w:hAnsi="Times New Roman" w:eastAsia="仿宋" w:cs="Times New Roman"/>
          <w:b/>
          <w:sz w:val="32"/>
          <w:szCs w:val="32"/>
        </w:rPr>
      </w:pPr>
    </w:p>
    <w:p w14:paraId="75CC9BDD">
      <w:pPr>
        <w:spacing w:line="600" w:lineRule="exact"/>
        <w:ind w:firstLine="643" w:firstLineChars="200"/>
        <w:outlineLvl w:val="1"/>
        <w:rPr>
          <w:rFonts w:hint="default" w:ascii="Times New Roman" w:hAnsi="Times New Roman" w:eastAsia="仿宋" w:cs="Times New Roman"/>
          <w:b/>
          <w:sz w:val="32"/>
          <w:szCs w:val="32"/>
        </w:rPr>
      </w:pPr>
    </w:p>
    <w:p w14:paraId="307B2093">
      <w:pPr>
        <w:spacing w:line="600" w:lineRule="exact"/>
        <w:ind w:firstLine="643" w:firstLineChars="200"/>
        <w:outlineLvl w:val="1"/>
        <w:rPr>
          <w:rFonts w:hint="default" w:ascii="Times New Roman" w:hAnsi="Times New Roman" w:eastAsia="仿宋" w:cs="Times New Roman"/>
          <w:b/>
          <w:sz w:val="32"/>
          <w:szCs w:val="32"/>
        </w:rPr>
      </w:pPr>
    </w:p>
    <w:p w14:paraId="7D0AD066">
      <w:pPr>
        <w:spacing w:line="600" w:lineRule="exact"/>
        <w:ind w:firstLine="643" w:firstLineChars="200"/>
        <w:outlineLvl w:val="1"/>
        <w:rPr>
          <w:rFonts w:hint="default" w:ascii="Times New Roman" w:hAnsi="Times New Roman" w:eastAsia="仿宋" w:cs="Times New Roman"/>
          <w:b/>
          <w:sz w:val="32"/>
          <w:szCs w:val="32"/>
        </w:rPr>
      </w:pPr>
    </w:p>
    <w:p w14:paraId="02A2A7B1">
      <w:pPr>
        <w:spacing w:line="600" w:lineRule="exact"/>
        <w:ind w:firstLine="643" w:firstLineChars="200"/>
        <w:outlineLvl w:val="1"/>
        <w:rPr>
          <w:rFonts w:hint="default" w:ascii="Times New Roman" w:hAnsi="Times New Roman" w:eastAsia="仿宋" w:cs="Times New Roman"/>
          <w:b/>
          <w:sz w:val="32"/>
          <w:szCs w:val="32"/>
        </w:rPr>
      </w:pPr>
    </w:p>
    <w:p w14:paraId="257DD0E4">
      <w:pPr>
        <w:spacing w:line="600" w:lineRule="exact"/>
        <w:ind w:firstLine="640" w:firstLineChars="200"/>
        <w:outlineLvl w:val="1"/>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rPr>
        <w:t>（二）一般公共预算财政拨款支出决算结构情况</w:t>
      </w:r>
    </w:p>
    <w:p w14:paraId="38C04D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val="0"/>
          <w:bCs w:val="0"/>
          <w:kern w:val="2"/>
          <w:sz w:val="32"/>
          <w:szCs w:val="32"/>
          <w:lang w:val="en-US" w:eastAsia="zh-CN" w:bidi="ar-SA"/>
        </w:rPr>
        <w:t>2025年度一般公共预算财政拨款支出1368.66万元，主要用于以下方面:一般公共服务支出0万元，占0%；教育支出0万元，占0%；科学技术支出1199.47万元，占87.6%；文化旅游体育与传媒支出0万元，占0%；社会保障和就业支出130.16万元，占9.5%；卫生健康支出18.52万元，占1.4%；住房保障支出20.51万元，占1.5%。</w:t>
      </w:r>
      <w:bookmarkEnd w:id="45"/>
      <w:bookmarkStart w:id="46" w:name="_Toc15377212"/>
      <w:r>
        <w:rPr>
          <w:rFonts w:hint="default" w:ascii="Times New Roman" w:hAnsi="Times New Roman" w:cs="Times New Roman"/>
          <w:lang w:val="en-US" w:eastAsia="zh-CN"/>
        </w:rPr>
        <w:drawing>
          <wp:anchor distT="0" distB="0" distL="114300" distR="114300" simplePos="0" relativeHeight="251664384" behindDoc="0" locked="0" layoutInCell="1" allowOverlap="1">
            <wp:simplePos x="0" y="0"/>
            <wp:positionH relativeFrom="column">
              <wp:posOffset>604520</wp:posOffset>
            </wp:positionH>
            <wp:positionV relativeFrom="paragraph">
              <wp:posOffset>234315</wp:posOffset>
            </wp:positionV>
            <wp:extent cx="4388485" cy="3970020"/>
            <wp:effectExtent l="4445" t="5080" r="7620" b="635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323048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lang w:val="en-US" w:eastAsia="zh-CN"/>
        </w:rPr>
        <w:t>(</w:t>
      </w:r>
      <w:r>
        <w:rPr>
          <w:rFonts w:hint="default" w:ascii="Times New Roman" w:hAnsi="Times New Roman" w:eastAsia="楷体_GB2312" w:cs="Times New Roman"/>
          <w:b w:val="0"/>
          <w:bCs/>
          <w:sz w:val="32"/>
          <w:szCs w:val="32"/>
        </w:rPr>
        <w:t>三）一般公共预算财政拨款支出决算具体情况</w:t>
      </w:r>
      <w:bookmarkEnd w:id="46"/>
    </w:p>
    <w:p w14:paraId="5F201D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bookmarkStart w:id="47" w:name="_Toc15378460"/>
      <w:bookmarkStart w:id="48" w:name="_Toc15377213"/>
      <w:bookmarkStart w:id="49" w:name="_Toc15377444"/>
      <w:r>
        <w:rPr>
          <w:rFonts w:hint="default" w:ascii="Times New Roman" w:hAnsi="Times New Roman" w:eastAsia="仿宋_GB2312" w:cs="Times New Roman"/>
          <w:b w:val="0"/>
          <w:bCs w:val="0"/>
          <w:kern w:val="2"/>
          <w:sz w:val="32"/>
          <w:szCs w:val="32"/>
          <w:lang w:val="en-US" w:eastAsia="zh-CN" w:bidi="ar-SA"/>
        </w:rPr>
        <w:t>2025年度一般公共预算支出决算数为1368.66万元，完成预算93%。其中：</w:t>
      </w:r>
      <w:bookmarkEnd w:id="47"/>
      <w:bookmarkEnd w:id="48"/>
      <w:bookmarkEnd w:id="49"/>
    </w:p>
    <w:p w14:paraId="179425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科学技术支出（206类）应用研究（03款）其他应用研究支出（99项）：支出决算为项目支出0.88万元，完成预算9%。完成预算偏低的原因为该项目主要集中在2026年实施，2025年仅发生少许项目选点考察调研差旅费0.88万元。</w:t>
      </w:r>
    </w:p>
    <w:p w14:paraId="7FCEBF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2.科学技术支出（206类）科学技术普及（07款）机构运行（01项）: 支出决算为基本支出283.68万元，完成预算100%，决算与预算数持平。</w:t>
      </w:r>
    </w:p>
    <w:p w14:paraId="78DDFF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3.科学技术支出（206类）科学技术普及（07款）科普活动（02项）：支出决算为项目支出12万元，完成预算100%，决算与预算数持平。</w:t>
      </w:r>
    </w:p>
    <w:p w14:paraId="2806C2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4.科学技术支出（206类）科学技术普及（07款）青少年科技活动（03项）：支出决算为项目支出2.8万元，完成调整预算100%，决算与预算数持平。</w:t>
      </w:r>
    </w:p>
    <w:p w14:paraId="563BBB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5.科学技术支出（206类）科学技术普及（07款）学术交流活动（04项）：支出决算为项目支出12万元，完成预算100%，决算与预算数持平。</w:t>
      </w:r>
    </w:p>
    <w:p w14:paraId="70B2C1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6.科学技术支出（206类）科学技术普及（07款）其他科学技术普及支出（99项）：支出决算为项目支出732.49万元，完成预算100%，决算与预算数持平。</w:t>
      </w:r>
    </w:p>
    <w:p w14:paraId="626DAF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7.科学技术支出（206类）其他科学技术支出（99款）其他科学技术支出（99项）：支出决算为项目支出155.62万元，完成预算100%，决算与预算数持平。</w:t>
      </w:r>
    </w:p>
    <w:p w14:paraId="52F25D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8.社会保障和就业支出（208类）行政单位养老支出（05款）行政单位离退休（01项）: 支出决算为基本支出91.14万元，完成预算100%，决算与预算数持平。</w:t>
      </w:r>
    </w:p>
    <w:p w14:paraId="57DA7B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9.社会保障和就业支出（208类）行政单位养老支出（05款）事业单位离退休（02项）: 支出决算为基本支出2.37万元，完成预算100%，决算与预算数持平。</w:t>
      </w:r>
    </w:p>
    <w:p w14:paraId="02163C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10.社会保障和就业支出（208类）行政事业单位离退休（05款）机关事业单位基本养老保险缴费（05项）: 支出决算为基本支出24.43万元，完成预算100%，决算与预算数持平。</w:t>
      </w:r>
    </w:p>
    <w:p w14:paraId="46815B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11.社会保障和就业支出（208类）行政事业单位离退休（05款）机关事业单位职业年金缴费支出（06项）: 支出决算为基本支出12.21万元，完成预算100%，决算与预算数持平。</w:t>
      </w:r>
    </w:p>
    <w:p w14:paraId="424523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12.卫生健康支出（210类）行政事业单位医疗（11款）行政单位医疗（01项）:支出决算为基本支出5.27万元，完成预算100%，决算与预算数持平。</w:t>
      </w:r>
    </w:p>
    <w:p w14:paraId="6902D9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13.卫生健康支出（210类）行政事业单位医疗（11款）事业单位医疗（02项）:支出决算为基本支出2.89万元，完成预算的100%，完成预算100%，决算与预算数持平。</w:t>
      </w:r>
    </w:p>
    <w:p w14:paraId="259C1F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14.卫生健康支出（210类）行政事业单位医疗（11款）公务员医疗补助（03项）:支出决算为基本支出7.21万元，完成预算的100%，决算数与预算数持平。</w:t>
      </w:r>
    </w:p>
    <w:p w14:paraId="6D5095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15.卫生健康支出（210类）行政事业单位医疗（11款）其他行政事业单位医疗支出（99项）:支出决算为基本支出3.16万元，完成预算的100%，决算与预算数持平。</w:t>
      </w:r>
      <w:bookmarkStart w:id="50" w:name="_Toc15396608"/>
      <w:bookmarkStart w:id="51" w:name="_Toc15377214"/>
    </w:p>
    <w:p w14:paraId="19AB93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16.住房保障支出（221类）住房改革支出（11款）住房公积金（99项）：支出决算为基本支出20.51万元，完成预算的100%，决算与预算数持平。</w:t>
      </w:r>
    </w:p>
    <w:p w14:paraId="66AA2C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33"/>
          <w:rFonts w:hint="default" w:ascii="Times New Roman" w:hAnsi="Times New Roman" w:eastAsia="黑体" w:cs="Times New Roman"/>
          <w:b w:val="0"/>
        </w:rPr>
      </w:pPr>
      <w:bookmarkStart w:id="52" w:name="_Toc7166"/>
      <w:r>
        <w:rPr>
          <w:rStyle w:val="33"/>
          <w:rFonts w:hint="default" w:ascii="Times New Roman" w:hAnsi="Times New Roman" w:eastAsia="黑体" w:cs="Times New Roman"/>
          <w:b w:val="0"/>
        </w:rPr>
        <w:t>六、一般公共预算财政拨款基本支出决算情况说明</w:t>
      </w:r>
      <w:bookmarkEnd w:id="50"/>
      <w:bookmarkEnd w:id="51"/>
      <w:bookmarkEnd w:id="52"/>
      <w:r>
        <w:rPr>
          <w:rStyle w:val="33"/>
          <w:rFonts w:hint="default" w:ascii="Times New Roman" w:hAnsi="Times New Roman" w:eastAsia="黑体" w:cs="Times New Roman"/>
          <w:b w:val="0"/>
        </w:rPr>
        <w:tab/>
      </w:r>
    </w:p>
    <w:p w14:paraId="139385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一般公共预算财政拨款基本支出452.87万元，其中：人员经费409.23万元，主要包括：基本工资、津贴补贴、奖金、绩效工资、机关事业单位基本养老保险缴费、职业年金缴费、其他社会保障缴费、其他工资福利支出、离休费、抚恤金、生活补助、医疗费补助、公务员医疗补助、奖金、住房公积金、其他对个人和家庭的补助支出等。</w:t>
      </w:r>
    </w:p>
    <w:p w14:paraId="19592C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公用经费43.64万元，主要包括：办公费、印刷费、水费、电费、邮电费、差旅费、维修（护）费、公务接待费、劳务费、工会经费、福利费、公务用车运行维护费、其他交通费、其他商品和服务支出等。</w:t>
      </w:r>
    </w:p>
    <w:p w14:paraId="0597E3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33"/>
          <w:rFonts w:hint="default" w:ascii="Times New Roman" w:hAnsi="Times New Roman" w:eastAsia="黑体" w:cs="Times New Roman"/>
          <w:b w:val="0"/>
        </w:rPr>
      </w:pPr>
      <w:bookmarkStart w:id="53" w:name="_Toc7865"/>
      <w:bookmarkStart w:id="54" w:name="_Toc15377215"/>
      <w:bookmarkStart w:id="55" w:name="_Toc15396609"/>
      <w:r>
        <w:rPr>
          <w:rStyle w:val="33"/>
          <w:rFonts w:hint="default" w:ascii="Times New Roman" w:hAnsi="Times New Roman" w:eastAsia="黑体" w:cs="Times New Roman"/>
          <w:b w:val="0"/>
        </w:rPr>
        <w:t>七、财政拨款“三公”经费支出决算情况说明</w:t>
      </w:r>
      <w:bookmarkEnd w:id="53"/>
      <w:bookmarkEnd w:id="54"/>
      <w:bookmarkEnd w:id="55"/>
    </w:p>
    <w:p w14:paraId="11A9FC52">
      <w:pPr>
        <w:keepNext w:val="0"/>
        <w:keepLines w:val="0"/>
        <w:pageBreakBefore w:val="0"/>
        <w:widowControl w:val="0"/>
        <w:kinsoku/>
        <w:wordWrap/>
        <w:overflowPunct/>
        <w:topLinePunct w:val="0"/>
        <w:autoSpaceDE/>
        <w:autoSpaceDN/>
        <w:bidi w:val="0"/>
        <w:adjustRightInd/>
        <w:snapToGrid/>
        <w:spacing w:line="560" w:lineRule="exact"/>
        <w:ind w:firstLine="640" w:firstLineChars="0"/>
        <w:textAlignment w:val="auto"/>
        <w:outlineLvl w:val="1"/>
        <w:rPr>
          <w:rFonts w:hint="default" w:ascii="Times New Roman" w:hAnsi="Times New Roman" w:eastAsia="楷体_GB2312" w:cs="Times New Roman"/>
          <w:b w:val="0"/>
          <w:bCs/>
          <w:sz w:val="32"/>
          <w:szCs w:val="32"/>
        </w:rPr>
      </w:pPr>
      <w:bookmarkStart w:id="56" w:name="_Toc15377216"/>
      <w:r>
        <w:rPr>
          <w:rFonts w:hint="default" w:ascii="Times New Roman" w:hAnsi="Times New Roman" w:eastAsia="楷体_GB2312" w:cs="Times New Roman"/>
          <w:b w:val="0"/>
          <w:bCs/>
          <w:sz w:val="32"/>
          <w:szCs w:val="32"/>
        </w:rPr>
        <w:t>（一）“三公”经费财政拨款支出决算总体情况说明</w:t>
      </w:r>
      <w:bookmarkEnd w:id="56"/>
    </w:p>
    <w:p w14:paraId="3F8F17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2024年度“三公”经费财政拨款支出决算为6.63万元，完成预算99.6%，较上年度减少0.72万元，下降10%。下降的主要原因是减少公务用车运行维护费用。决算数小于预算数的主要原因是减少公务用车运行维护费用。</w:t>
      </w:r>
    </w:p>
    <w:p w14:paraId="02B647C0">
      <w:pPr>
        <w:keepNext w:val="0"/>
        <w:keepLines w:val="0"/>
        <w:pageBreakBefore w:val="0"/>
        <w:widowControl w:val="0"/>
        <w:kinsoku/>
        <w:wordWrap/>
        <w:overflowPunct/>
        <w:topLinePunct w:val="0"/>
        <w:autoSpaceDE/>
        <w:autoSpaceDN/>
        <w:bidi w:val="0"/>
        <w:adjustRightInd/>
        <w:snapToGrid/>
        <w:spacing w:line="560" w:lineRule="exact"/>
        <w:ind w:firstLine="640" w:firstLineChars="0"/>
        <w:textAlignment w:val="auto"/>
        <w:outlineLvl w:val="1"/>
        <w:rPr>
          <w:rFonts w:hint="default" w:ascii="Times New Roman" w:hAnsi="Times New Roman" w:eastAsia="楷体_GB2312" w:cs="Times New Roman"/>
          <w:b w:val="0"/>
          <w:bCs/>
          <w:sz w:val="32"/>
          <w:szCs w:val="32"/>
        </w:rPr>
      </w:pPr>
      <w:bookmarkStart w:id="57" w:name="_Toc15377217"/>
      <w:r>
        <w:rPr>
          <w:rFonts w:hint="default" w:ascii="Times New Roman" w:hAnsi="Times New Roman" w:eastAsia="楷体_GB2312" w:cs="Times New Roman"/>
          <w:b w:val="0"/>
          <w:bCs/>
          <w:sz w:val="32"/>
          <w:szCs w:val="32"/>
        </w:rPr>
        <w:t>（二）“三公”经费财政拨款支出决算具体情况说明</w:t>
      </w:r>
      <w:bookmarkEnd w:id="57"/>
    </w:p>
    <w:p w14:paraId="31C741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2025年度“三公”经费财政拨款支出决算中，因公出国（境）费支出决算0万元，占0%；公务用车购置及运行维护费支出决算6.47万元，占97.6%；公务接待费支出决算0.16万元，占2.4%。具体情况如下：</w:t>
      </w:r>
    </w:p>
    <w:p w14:paraId="453EBB17">
      <w:pPr>
        <w:spacing w:line="600" w:lineRule="exact"/>
        <w:ind w:firstLine="420" w:firstLineChars="200"/>
        <w:rPr>
          <w:rFonts w:hint="default" w:ascii="Times New Roman" w:hAnsi="Times New Roman" w:eastAsia="仿宋_GB2312" w:cs="Times New Roman"/>
          <w:b/>
          <w:sz w:val="32"/>
          <w:szCs w:val="32"/>
        </w:rPr>
      </w:pPr>
      <w:r>
        <w:rPr>
          <w:rFonts w:hint="default" w:ascii="Times New Roman" w:hAnsi="Times New Roman" w:cs="Times New Roman"/>
          <w:lang w:val="en-US" w:eastAsia="zh-CN"/>
        </w:rPr>
        <w:drawing>
          <wp:anchor distT="0" distB="0" distL="114300" distR="114300" simplePos="0" relativeHeight="251665408" behindDoc="0" locked="0" layoutInCell="1" allowOverlap="1">
            <wp:simplePos x="0" y="0"/>
            <wp:positionH relativeFrom="column">
              <wp:posOffset>778510</wp:posOffset>
            </wp:positionH>
            <wp:positionV relativeFrom="paragraph">
              <wp:posOffset>190500</wp:posOffset>
            </wp:positionV>
            <wp:extent cx="4243070" cy="2711450"/>
            <wp:effectExtent l="4445" t="4445" r="19685" b="1206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EFF9EEF">
      <w:pPr>
        <w:spacing w:line="600" w:lineRule="exact"/>
        <w:ind w:firstLine="643" w:firstLineChars="200"/>
        <w:rPr>
          <w:rFonts w:hint="default" w:ascii="Times New Roman" w:hAnsi="Times New Roman" w:eastAsia="仿宋_GB2312" w:cs="Times New Roman"/>
          <w:b/>
          <w:sz w:val="32"/>
          <w:szCs w:val="32"/>
        </w:rPr>
      </w:pPr>
    </w:p>
    <w:p w14:paraId="6ED584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1.因公出国（境）经费支出0万元，完成预算0%。全年安排因公出国（境）团组0次，出国（境）0人。因公出国（境）支出决算比2023年增加/减少0万元，增长/下降0%原因及开支内容等情况。</w:t>
      </w:r>
    </w:p>
    <w:p w14:paraId="245ECC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2.公务用车购置及运行维护费支出6.47万元,完成预算100%。公务用车购置及运行维护费支出决算比2024年度较上年度减少0.69万元，下降10%。下降的主要原因是减少公务用车运行维护费用。</w:t>
      </w:r>
    </w:p>
    <w:p w14:paraId="45CD54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其中：公务用车购置支出0万元。</w:t>
      </w:r>
    </w:p>
    <w:p w14:paraId="71D17F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公务用车运行维护费支出6.47元。主要用于开展天府科技云、科普研学游调研、科普宣传、乡村振兴下乡、森林防灭火、向上级汇报工作、外出参加会议（培训）等所需的公务用车燃料费、维修费、过路过桥费、保险费等支出。</w:t>
      </w:r>
    </w:p>
    <w:p w14:paraId="225D65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3.公务接待费支出0.16万元，完成预算86.1%。2025年公务接待费支出决算与2024年度减少0.03万元。其中：</w:t>
      </w:r>
    </w:p>
    <w:p w14:paraId="397C06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国内公务接待支出0.16万元，主要用于接待省农技协5人调研西昌市科技小院、中科协农村专业技术中心及省科协一行10人昭觉参加科普百人团活动、省科协2人调研凉山科协组织建设安排的接待任务。</w:t>
      </w:r>
    </w:p>
    <w:p w14:paraId="2A894C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bookmarkStart w:id="58" w:name="_Toc15396610"/>
      <w:bookmarkStart w:id="59" w:name="_Toc15377218"/>
      <w:r>
        <w:rPr>
          <w:rFonts w:hint="default" w:ascii="Times New Roman" w:hAnsi="Times New Roman" w:eastAsia="仿宋_GB2312" w:cs="Times New Roman"/>
          <w:b w:val="0"/>
          <w:bCs w:val="0"/>
          <w:kern w:val="2"/>
          <w:sz w:val="32"/>
          <w:szCs w:val="32"/>
          <w:lang w:val="en-US" w:eastAsia="zh-CN" w:bidi="ar-SA"/>
        </w:rPr>
        <w:t>外事接待支出0万元，外事接待0批次，0人，共计支出0万元。</w:t>
      </w:r>
    </w:p>
    <w:p w14:paraId="6747E3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其他国内公务接待支出0万元。</w:t>
      </w:r>
    </w:p>
    <w:p w14:paraId="23D6E3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33"/>
          <w:rFonts w:hint="default" w:ascii="Times New Roman" w:hAnsi="Times New Roman" w:eastAsia="黑体" w:cs="Times New Roman"/>
          <w:b w:val="0"/>
        </w:rPr>
      </w:pPr>
      <w:bookmarkStart w:id="60" w:name="_Toc26937"/>
      <w:r>
        <w:rPr>
          <w:rStyle w:val="33"/>
          <w:rFonts w:hint="default" w:ascii="Times New Roman" w:hAnsi="Times New Roman" w:eastAsia="黑体" w:cs="Times New Roman"/>
          <w:b w:val="0"/>
        </w:rPr>
        <w:t>八、政府性基金预算支出决算情况说明</w:t>
      </w:r>
      <w:bookmarkEnd w:id="58"/>
      <w:bookmarkEnd w:id="59"/>
      <w:bookmarkEnd w:id="60"/>
    </w:p>
    <w:p w14:paraId="7D0BDC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2025年度政府性基金预算财政拨款支出0万元。</w:t>
      </w:r>
    </w:p>
    <w:p w14:paraId="57D884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33"/>
          <w:rFonts w:hint="default" w:ascii="Times New Roman" w:hAnsi="Times New Roman" w:eastAsia="黑体" w:cs="Times New Roman"/>
          <w:b w:val="0"/>
        </w:rPr>
      </w:pPr>
      <w:bookmarkStart w:id="61" w:name="_Toc15396611"/>
      <w:bookmarkStart w:id="62" w:name="_Toc15377219"/>
      <w:bookmarkStart w:id="63" w:name="_Toc16915"/>
      <w:r>
        <w:rPr>
          <w:rStyle w:val="33"/>
          <w:rFonts w:hint="default" w:ascii="Times New Roman" w:hAnsi="Times New Roman" w:eastAsia="黑体" w:cs="Times New Roman"/>
          <w:b w:val="0"/>
          <w:lang w:eastAsia="zh-CN"/>
        </w:rPr>
        <w:t>九、</w:t>
      </w:r>
      <w:r>
        <w:rPr>
          <w:rStyle w:val="33"/>
          <w:rFonts w:hint="default" w:ascii="Times New Roman" w:hAnsi="Times New Roman" w:eastAsia="黑体" w:cs="Times New Roman"/>
          <w:b w:val="0"/>
        </w:rPr>
        <w:t>国有资本经营预算支出决算情况说明</w:t>
      </w:r>
      <w:bookmarkEnd w:id="61"/>
      <w:bookmarkEnd w:id="62"/>
      <w:bookmarkEnd w:id="63"/>
    </w:p>
    <w:p w14:paraId="54BD7C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2025年度国有资本经营预算财政拨款支出0万元。</w:t>
      </w:r>
    </w:p>
    <w:p w14:paraId="032F8A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33"/>
          <w:rFonts w:hint="default" w:ascii="Times New Roman" w:hAnsi="Times New Roman" w:eastAsia="黑体" w:cs="Times New Roman"/>
          <w:b w:val="0"/>
        </w:rPr>
      </w:pPr>
      <w:bookmarkStart w:id="64" w:name="_Toc15396612"/>
      <w:bookmarkStart w:id="65" w:name="_Toc15650"/>
      <w:bookmarkStart w:id="66" w:name="_Toc15377221"/>
      <w:r>
        <w:rPr>
          <w:rStyle w:val="33"/>
          <w:rFonts w:hint="default" w:ascii="Times New Roman" w:hAnsi="Times New Roman" w:eastAsia="黑体" w:cs="Times New Roman"/>
          <w:b w:val="0"/>
          <w:lang w:eastAsia="zh-CN"/>
        </w:rPr>
        <w:t>十、</w:t>
      </w:r>
      <w:r>
        <w:rPr>
          <w:rStyle w:val="33"/>
          <w:rFonts w:hint="default" w:ascii="Times New Roman" w:hAnsi="Times New Roman" w:eastAsia="黑体" w:cs="Times New Roman"/>
          <w:b w:val="0"/>
        </w:rPr>
        <w:t>其他重要事项的情况说明</w:t>
      </w:r>
      <w:bookmarkEnd w:id="64"/>
      <w:bookmarkEnd w:id="65"/>
      <w:bookmarkEnd w:id="66"/>
    </w:p>
    <w:p w14:paraId="12242733">
      <w:pPr>
        <w:spacing w:line="600" w:lineRule="exact"/>
        <w:ind w:firstLine="640" w:firstLineChars="200"/>
        <w:outlineLvl w:val="1"/>
        <w:rPr>
          <w:rFonts w:hint="default" w:ascii="Times New Roman" w:hAnsi="Times New Roman" w:eastAsia="楷体_GB2312" w:cs="Times New Roman"/>
          <w:b w:val="0"/>
          <w:bCs/>
          <w:sz w:val="32"/>
          <w:szCs w:val="32"/>
        </w:rPr>
      </w:pPr>
      <w:bookmarkStart w:id="67" w:name="_Toc15377222"/>
      <w:r>
        <w:rPr>
          <w:rFonts w:hint="default" w:ascii="Times New Roman" w:hAnsi="Times New Roman" w:eastAsia="楷体_GB2312" w:cs="Times New Roman"/>
          <w:b w:val="0"/>
          <w:bCs/>
          <w:sz w:val="32"/>
          <w:szCs w:val="32"/>
        </w:rPr>
        <w:t>（一）机关运行经费支出情况</w:t>
      </w:r>
      <w:bookmarkEnd w:id="67"/>
    </w:p>
    <w:p w14:paraId="290D22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2025年度，凉山州科学技术协会机关运行经费支出43.64万元，比2024年度下降7.48万元，下降15%。主要原因是在职工退休减少相关公用经费、减少公务用车运行维护费用。</w:t>
      </w:r>
    </w:p>
    <w:p w14:paraId="72BEC647">
      <w:pPr>
        <w:spacing w:line="600" w:lineRule="exact"/>
        <w:ind w:firstLine="640" w:firstLineChars="200"/>
        <w:outlineLvl w:val="1"/>
        <w:rPr>
          <w:rFonts w:hint="default" w:ascii="Times New Roman" w:hAnsi="Times New Roman" w:eastAsia="楷体_GB2312" w:cs="Times New Roman"/>
          <w:b w:val="0"/>
          <w:bCs/>
          <w:sz w:val="32"/>
          <w:szCs w:val="32"/>
        </w:rPr>
      </w:pPr>
      <w:bookmarkStart w:id="68" w:name="_Toc15377223"/>
      <w:r>
        <w:rPr>
          <w:rFonts w:hint="default" w:ascii="Times New Roman" w:hAnsi="Times New Roman" w:eastAsia="楷体_GB2312" w:cs="Times New Roman"/>
          <w:b w:val="0"/>
          <w:bCs/>
          <w:sz w:val="32"/>
          <w:szCs w:val="32"/>
        </w:rPr>
        <w:t>（二）政府采购支出情况</w:t>
      </w:r>
      <w:bookmarkEnd w:id="68"/>
    </w:p>
    <w:p w14:paraId="3C8775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2025年度，凉山州科学技术协会政府采购支出总额290.12万元，其中：政府采购货物支出0万元、政府采购工程支出0万元、政府采购服务支出290.12万元。政府采购货物主要用于公务小车下乡业务调研、外出参会等加油费用；政府采购服务支出主要用于“科创会”服务项目、“全国科普月”暨乡土人才大赛、拍摄科普纪录片、科学教育影片、天府科技云服务项目、凉山州科普主题文化公园建设项目、制作特色科普作品（动画、沙画）。授予中小企业合同金额287.45万元，占政府采购支出总额的99.07%，其中：授予小微企业合同金额287.45万元，占政府采购支出总额的99.07%。</w:t>
      </w:r>
    </w:p>
    <w:p w14:paraId="0ED23648">
      <w:pPr>
        <w:spacing w:line="600" w:lineRule="exact"/>
        <w:ind w:firstLine="640" w:firstLineChars="200"/>
        <w:outlineLvl w:val="1"/>
        <w:rPr>
          <w:rFonts w:hint="default" w:ascii="Times New Roman" w:hAnsi="Times New Roman" w:eastAsia="楷体_GB2312" w:cs="Times New Roman"/>
          <w:b w:val="0"/>
          <w:bCs/>
          <w:sz w:val="32"/>
          <w:szCs w:val="32"/>
        </w:rPr>
      </w:pPr>
      <w:bookmarkStart w:id="69" w:name="_Toc15377224"/>
      <w:r>
        <w:rPr>
          <w:rFonts w:hint="default" w:ascii="Times New Roman" w:hAnsi="Times New Roman" w:eastAsia="楷体_GB2312" w:cs="Times New Roman"/>
          <w:b w:val="0"/>
          <w:bCs/>
          <w:sz w:val="32"/>
          <w:szCs w:val="32"/>
        </w:rPr>
        <w:t>（三）国有资产占有使用情况</w:t>
      </w:r>
      <w:bookmarkEnd w:id="69"/>
    </w:p>
    <w:p w14:paraId="3A29AB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截至2025年12月31日，凉山州科学技术协会共有车辆1辆，其中：主要领导干部用车0辆、机要通信用车0辆、应急保障用车1辆、其他用车0辆。车辆主要是用于开展天府科技云、科普研学游业务调研、科普宣传、乡村振兴下乡、森林防灭火、向上级汇报工作等所需的车辆。单价100万元以上设备（不含车辆）0台（套）。</w:t>
      </w:r>
    </w:p>
    <w:p w14:paraId="0A07653E">
      <w:pPr>
        <w:spacing w:line="600" w:lineRule="exact"/>
        <w:ind w:firstLine="640" w:firstLineChars="200"/>
        <w:outlineLvl w:val="1"/>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rPr>
        <w:t>（四）预算绩效管理情况</w:t>
      </w:r>
    </w:p>
    <w:p w14:paraId="09562B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根据预算绩效管理要求，本部门在年中预算编制阶段，2025年对年中新增需要入库项目，按照要求对“科普+文旅”宣传活动、“农业技术培训”、“凉山州科普主题文化公园建设项目”、“安宁河流域‘水风光电+储能’科学高效发展对策研究”4个项目开展了预算事前绩效评估；对新增及延续13个项目编制了绩效目标；预算执行过程中，对13个项目开展绩效监控。</w:t>
      </w:r>
    </w:p>
    <w:p w14:paraId="75588E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组织对2025年度一般公共预算全面开展绩效自评，形成</w:t>
      </w:r>
      <w:bookmarkStart w:id="70" w:name="OLE_LINK35"/>
      <w:r>
        <w:rPr>
          <w:rFonts w:hint="default" w:ascii="Times New Roman" w:hAnsi="Times New Roman" w:eastAsia="仿宋_GB2312" w:cs="Times New Roman"/>
          <w:b w:val="0"/>
          <w:bCs w:val="0"/>
          <w:kern w:val="2"/>
          <w:sz w:val="32"/>
          <w:szCs w:val="32"/>
          <w:lang w:val="en-US" w:eastAsia="zh-CN" w:bidi="ar-SA"/>
        </w:rPr>
        <w:t>凉山州科学技术协会</w:t>
      </w:r>
      <w:bookmarkEnd w:id="70"/>
      <w:r>
        <w:rPr>
          <w:rFonts w:hint="default" w:ascii="Times New Roman" w:hAnsi="Times New Roman" w:eastAsia="仿宋_GB2312" w:cs="Times New Roman"/>
          <w:b w:val="0"/>
          <w:bCs w:val="0"/>
          <w:kern w:val="2"/>
          <w:sz w:val="32"/>
          <w:szCs w:val="32"/>
          <w:lang w:val="en-US" w:eastAsia="zh-CN" w:bidi="ar-SA"/>
        </w:rPr>
        <w:t>部门整体绩效自评报告（详见</w:t>
      </w:r>
      <w:r>
        <w:rPr>
          <w:rFonts w:hint="default" w:ascii="Times New Roman" w:hAnsi="Times New Roman" w:eastAsia="仿宋_GB2312" w:cs="Times New Roman"/>
          <w:b w:val="0"/>
          <w:bCs w:val="0"/>
          <w:kern w:val="2"/>
          <w:sz w:val="32"/>
          <w:szCs w:val="32"/>
          <w:lang w:val="zh-CN" w:eastAsia="zh-CN" w:bidi="ar-SA"/>
        </w:rPr>
        <w:t>第四部分</w:t>
      </w:r>
      <w:r>
        <w:rPr>
          <w:rFonts w:hint="default" w:ascii="Times New Roman" w:hAnsi="Times New Roman" w:eastAsia="仿宋_GB2312" w:cs="Times New Roman"/>
          <w:b w:val="0"/>
          <w:bCs w:val="0"/>
          <w:kern w:val="2"/>
          <w:sz w:val="32"/>
          <w:szCs w:val="32"/>
          <w:lang w:val="en-US" w:eastAsia="zh-CN" w:bidi="ar-SA"/>
        </w:rPr>
        <w:t>附件1-1）、凉山州科学技术协会部门预算项目绩效自评13个。绩效自评综述情况如下：</w:t>
      </w:r>
    </w:p>
    <w:p w14:paraId="6C4BBD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w:t>
      </w:r>
      <w:r>
        <w:rPr>
          <w:rFonts w:hint="default" w:ascii="Times New Roman" w:hAnsi="Times New Roman" w:eastAsia="仿宋_GB2312" w:cs="Times New Roman"/>
          <w:b w:val="0"/>
          <w:bCs w:val="0"/>
          <w:kern w:val="2"/>
          <w:sz w:val="32"/>
          <w:szCs w:val="32"/>
          <w:lang w:val="zh-CN" w:eastAsia="zh-CN" w:bidi="ar-SA"/>
        </w:rPr>
        <w:t>凉山州科学技术协会部门整体</w:t>
      </w:r>
      <w:bookmarkStart w:id="71" w:name="OLE_LINK13"/>
      <w:bookmarkStart w:id="72" w:name="OLE_LINK14"/>
      <w:r>
        <w:rPr>
          <w:rFonts w:hint="default" w:ascii="Times New Roman" w:hAnsi="Times New Roman" w:eastAsia="仿宋_GB2312" w:cs="Times New Roman"/>
          <w:b w:val="0"/>
          <w:bCs w:val="0"/>
          <w:kern w:val="2"/>
          <w:sz w:val="32"/>
          <w:szCs w:val="32"/>
          <w:lang w:val="zh-CN" w:eastAsia="zh-CN" w:bidi="ar-SA"/>
        </w:rPr>
        <w:t>绩效自评综述：</w:t>
      </w:r>
      <w:bookmarkEnd w:id="71"/>
      <w:bookmarkEnd w:id="72"/>
      <w:r>
        <w:rPr>
          <w:rFonts w:hint="default" w:ascii="Times New Roman" w:hAnsi="Times New Roman" w:eastAsia="仿宋_GB2312" w:cs="Times New Roman"/>
          <w:b w:val="0"/>
          <w:bCs w:val="0"/>
          <w:kern w:val="2"/>
          <w:sz w:val="32"/>
          <w:szCs w:val="32"/>
          <w:lang w:val="zh-CN" w:eastAsia="zh-CN" w:bidi="ar-SA"/>
        </w:rPr>
        <w:t>我部门从单位基本情况、资金收支管理、预算绩效分析、评价结论及建议进行了全面的自评。年度充分利用一般公共预算财政拨款</w:t>
      </w:r>
      <w:r>
        <w:rPr>
          <w:rFonts w:hint="default" w:ascii="Times New Roman" w:hAnsi="Times New Roman" w:eastAsia="仿宋_GB2312" w:cs="Times New Roman"/>
          <w:b w:val="0"/>
          <w:bCs w:val="0"/>
          <w:kern w:val="2"/>
          <w:sz w:val="32"/>
          <w:szCs w:val="32"/>
          <w:lang w:val="en-US" w:eastAsia="zh-CN" w:bidi="ar-SA"/>
        </w:rPr>
        <w:t>1368.66</w:t>
      </w:r>
      <w:r>
        <w:rPr>
          <w:rFonts w:hint="default" w:ascii="Times New Roman" w:hAnsi="Times New Roman" w:eastAsia="仿宋_GB2312" w:cs="Times New Roman"/>
          <w:b w:val="0"/>
          <w:bCs w:val="0"/>
          <w:kern w:val="2"/>
          <w:sz w:val="32"/>
          <w:szCs w:val="32"/>
          <w:lang w:val="zh-CN" w:eastAsia="zh-CN" w:bidi="ar-SA"/>
        </w:rPr>
        <w:t>万元,完成了年度基本支出</w:t>
      </w:r>
      <w:r>
        <w:rPr>
          <w:rFonts w:hint="default" w:ascii="Times New Roman" w:hAnsi="Times New Roman" w:eastAsia="仿宋_GB2312" w:cs="Times New Roman"/>
          <w:b w:val="0"/>
          <w:bCs w:val="0"/>
          <w:kern w:val="2"/>
          <w:sz w:val="32"/>
          <w:szCs w:val="32"/>
          <w:lang w:val="en-US" w:eastAsia="zh-CN" w:bidi="ar-SA"/>
        </w:rPr>
        <w:t>452.87</w:t>
      </w:r>
      <w:r>
        <w:rPr>
          <w:rFonts w:hint="default" w:ascii="Times New Roman" w:hAnsi="Times New Roman" w:eastAsia="仿宋_GB2312" w:cs="Times New Roman"/>
          <w:b w:val="0"/>
          <w:bCs w:val="0"/>
          <w:kern w:val="2"/>
          <w:sz w:val="32"/>
          <w:szCs w:val="32"/>
          <w:lang w:val="zh-CN" w:eastAsia="zh-CN" w:bidi="ar-SA"/>
        </w:rPr>
        <w:t>万元的支付，每月按财政要求及时发放职工工资，按时缴纳职工五险一金，确保职工权益。保障日常公务用车运行和办公、水电、差旅、印刷、邮电等的支用，确保部门日常工作正常高效运转；完成了项目支出</w:t>
      </w:r>
      <w:r>
        <w:rPr>
          <w:rFonts w:hint="default" w:ascii="Times New Roman" w:hAnsi="Times New Roman" w:eastAsia="仿宋_GB2312" w:cs="Times New Roman"/>
          <w:b w:val="0"/>
          <w:bCs w:val="0"/>
          <w:kern w:val="2"/>
          <w:sz w:val="32"/>
          <w:szCs w:val="32"/>
          <w:lang w:val="en-US" w:eastAsia="zh-CN" w:bidi="ar-SA"/>
        </w:rPr>
        <w:t>915.79</w:t>
      </w:r>
      <w:r>
        <w:rPr>
          <w:rFonts w:hint="default" w:ascii="Times New Roman" w:hAnsi="Times New Roman" w:eastAsia="仿宋_GB2312" w:cs="Times New Roman"/>
          <w:b w:val="0"/>
          <w:bCs w:val="0"/>
          <w:kern w:val="2"/>
          <w:sz w:val="32"/>
          <w:szCs w:val="32"/>
          <w:lang w:val="zh-CN" w:eastAsia="zh-CN" w:bidi="ar-SA"/>
        </w:rPr>
        <w:t>万元，围绕省科协重点工作天府科技云服务、科普研学游项目，开展科学技术普及、传播、科普阵地建设、学术交流、青少年科技创新活动、科普资源开发、全民科学素质提升、开展种养殖培训等</w:t>
      </w:r>
      <w:r>
        <w:rPr>
          <w:rFonts w:hint="default"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zh-CN" w:eastAsia="zh-CN" w:bidi="ar-SA"/>
        </w:rPr>
        <w:t>同时，扎实开展党的建设、巩固脱贫攻坚成果有效衔接乡村振兴、社会服务等工作，年度圆满完成各项工作任务；在绩效结果应用方面：一是按照州财政局工作要求，我部门于年度将本级部门预算、决算批复、整体支出和项目支出绩效评价报告以及转移支付绩效目标表等相关表格在规定的时间内，在凉山州政府网站和州科学技术协会网站进行公开公示。二是针对2024年度整体绩效自查和财政委派第三方抽查出的问题，能积极配合进行认真思考整改，对整改问题及时写出报告说明附佐证资料报相关部门，并归档妥善保管专卷备查。我们在单位开展部门整体支出绩效管理工作自查自评，内容完整、观点客观、建议举措具有一定价值，工作中能够对照问题立即整改；因资金使用支付进度前期较缓慢、培训费支出增幅较大。故自评扣分2分，得分98分。</w:t>
      </w:r>
      <w:r>
        <w:rPr>
          <w:rFonts w:hint="default" w:ascii="Times New Roman" w:hAnsi="Times New Roman" w:eastAsia="仿宋_GB2312" w:cs="Times New Roman"/>
          <w:b w:val="0"/>
          <w:bCs w:val="0"/>
          <w:kern w:val="2"/>
          <w:sz w:val="32"/>
          <w:szCs w:val="32"/>
          <w:lang w:val="en-US" w:eastAsia="zh-CN" w:bidi="ar-SA"/>
        </w:rPr>
        <w:t>(整体</w:t>
      </w:r>
      <w:r>
        <w:rPr>
          <w:rFonts w:hint="default" w:ascii="Times New Roman" w:hAnsi="Times New Roman" w:eastAsia="仿宋_GB2312" w:cs="Times New Roman"/>
          <w:b w:val="0"/>
          <w:bCs w:val="0"/>
          <w:kern w:val="2"/>
          <w:sz w:val="32"/>
          <w:szCs w:val="32"/>
          <w:lang w:val="zh-CN" w:eastAsia="zh-CN" w:bidi="ar-SA"/>
        </w:rPr>
        <w:t>绩效自评报告详见附件</w:t>
      </w:r>
      <w:r>
        <w:rPr>
          <w:rFonts w:hint="default" w:ascii="Times New Roman" w:hAnsi="Times New Roman" w:eastAsia="仿宋_GB2312" w:cs="Times New Roman"/>
          <w:b w:val="0"/>
          <w:bCs w:val="0"/>
          <w:kern w:val="2"/>
          <w:sz w:val="32"/>
          <w:szCs w:val="32"/>
          <w:lang w:val="en-US" w:eastAsia="zh-CN" w:bidi="ar-SA"/>
        </w:rPr>
        <w:t>1-1)</w:t>
      </w:r>
    </w:p>
    <w:p w14:paraId="7D03F4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w:t>
      </w:r>
      <w:bookmarkStart w:id="73" w:name="OLE_LINK48"/>
      <w:r>
        <w:rPr>
          <w:rFonts w:hint="default" w:ascii="Times New Roman" w:hAnsi="Times New Roman" w:eastAsia="仿宋_GB2312" w:cs="Times New Roman"/>
          <w:b w:val="0"/>
          <w:bCs w:val="0"/>
          <w:kern w:val="2"/>
          <w:sz w:val="32"/>
          <w:szCs w:val="32"/>
          <w:lang w:val="en-US" w:eastAsia="zh-CN" w:bidi="ar-SA"/>
        </w:rPr>
        <w:t>凉山州科学技术协会部门预算绩效自评13个，自评综述如下：其中</w:t>
      </w:r>
    </w:p>
    <w:p w14:paraId="4ED5C4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zh-CN" w:eastAsia="zh-CN" w:bidi="ar-SA"/>
        </w:rPr>
      </w:pPr>
      <w:r>
        <w:rPr>
          <w:rFonts w:hint="default" w:ascii="Times New Roman" w:hAnsi="Times New Roman" w:eastAsia="仿宋_GB2312" w:cs="Times New Roman"/>
          <w:b w:val="0"/>
          <w:bCs w:val="0"/>
          <w:kern w:val="2"/>
          <w:sz w:val="32"/>
          <w:szCs w:val="32"/>
          <w:lang w:val="en-US" w:eastAsia="zh-CN" w:bidi="ar-SA"/>
        </w:rPr>
        <w:t>（1）“天府科技云服务项目”。该项目年初预算25万元，年度完成了督促各县（市）科协推广宣介“天府科技云服务”平台，并为各县（市）科协提供业务指导和答疑。完成州本级工作任务，做好县（市）科协服务工作，及时沟通工作中的问题，总结每月工作。主动对接注册使用天府科技云平台的科技工作者（团队）、企事业单位、科研院所、高校院所等并建立常态联系，全程、精准、完整开展“一人一策”“一单一策”“保姆式”服务。做好培训及年底考核指标统计汇总。为进一步提升全州科服保姆的服务能力，2025年第三方为各县（市）保姆组织开展为期两天4场次的专题培训会，2场轮训会，并提供24小时在线答疑服务，保证其熟练平台规范和操作。项目</w:t>
      </w:r>
      <w:r>
        <w:rPr>
          <w:rFonts w:hint="default" w:ascii="Times New Roman" w:hAnsi="Times New Roman" w:eastAsia="仿宋_GB2312" w:cs="Times New Roman"/>
          <w:b w:val="0"/>
          <w:bCs w:val="0"/>
          <w:kern w:val="2"/>
          <w:sz w:val="32"/>
          <w:szCs w:val="32"/>
          <w:lang w:val="zh-CN" w:eastAsia="zh-CN" w:bidi="ar-SA"/>
        </w:rPr>
        <w:t>预算执行率100%，执行情况良好。但因</w:t>
      </w:r>
      <w:r>
        <w:rPr>
          <w:rFonts w:hint="default" w:ascii="Times New Roman" w:hAnsi="Times New Roman" w:eastAsia="仿宋_GB2312" w:cs="Times New Roman"/>
          <w:b w:val="0"/>
          <w:bCs w:val="0"/>
          <w:kern w:val="2"/>
          <w:sz w:val="32"/>
          <w:szCs w:val="32"/>
          <w:lang w:val="en-US" w:eastAsia="zh-CN" w:bidi="ar-SA"/>
        </w:rPr>
        <w:t>项目保姆更换频率高，业务熟练程度不高，自评扣2分。最后得分98分</w:t>
      </w:r>
      <w:r>
        <w:rPr>
          <w:rFonts w:hint="default" w:ascii="Times New Roman" w:hAnsi="Times New Roman" w:eastAsia="仿宋_GB2312" w:cs="Times New Roman"/>
          <w:b w:val="0"/>
          <w:bCs w:val="0"/>
          <w:kern w:val="2"/>
          <w:sz w:val="32"/>
          <w:szCs w:val="32"/>
          <w:lang w:val="zh-CN" w:eastAsia="zh-CN" w:bidi="ar-SA"/>
        </w:rPr>
        <w:t>。</w:t>
      </w:r>
    </w:p>
    <w:p w14:paraId="4CC5C0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zh-CN" w:eastAsia="zh-CN" w:bidi="ar-SA"/>
        </w:rPr>
      </w:pPr>
      <w:r>
        <w:rPr>
          <w:rFonts w:hint="default" w:ascii="Times New Roman" w:hAnsi="Times New Roman" w:eastAsia="仿宋_GB2312" w:cs="Times New Roman"/>
          <w:b w:val="0"/>
          <w:bCs w:val="0"/>
          <w:kern w:val="2"/>
          <w:sz w:val="32"/>
          <w:szCs w:val="32"/>
          <w:lang w:val="en-US" w:eastAsia="zh-CN" w:bidi="ar-SA"/>
        </w:rPr>
        <w:t>（2）“最美科技工作者”活动，年度预算25万元，</w:t>
      </w:r>
      <w:bookmarkStart w:id="74" w:name="OLE_LINK1"/>
      <w:bookmarkStart w:id="75" w:name="OLE_LINK2"/>
      <w:r>
        <w:rPr>
          <w:rFonts w:hint="default" w:ascii="Times New Roman" w:hAnsi="Times New Roman" w:eastAsia="仿宋_GB2312" w:cs="Times New Roman"/>
          <w:b w:val="0"/>
          <w:bCs w:val="0"/>
          <w:kern w:val="2"/>
          <w:sz w:val="32"/>
          <w:szCs w:val="32"/>
          <w:lang w:val="zh-CN" w:eastAsia="zh-CN" w:bidi="ar-SA"/>
        </w:rPr>
        <w:t>2025年5月30日开展了以“矢志创新发展 建设科技强州”为主题的第九个“全国科技工作者日”活动。吸引了众多科技工作者、市民群众积极参与。科技工作者代表进行文艺表演，活动现场还开展科普进社区等活动。拍摄的最美科技工作者记录片《追光2》在庆祝活动和融媒体中心进行播放。</w:t>
      </w:r>
      <w:bookmarkEnd w:id="74"/>
      <w:bookmarkEnd w:id="75"/>
      <w:r>
        <w:rPr>
          <w:rFonts w:hint="default" w:ascii="Times New Roman" w:hAnsi="Times New Roman" w:eastAsia="仿宋_GB2312" w:cs="Times New Roman"/>
          <w:b w:val="0"/>
          <w:bCs w:val="0"/>
          <w:kern w:val="2"/>
          <w:sz w:val="32"/>
          <w:szCs w:val="32"/>
          <w:lang w:val="zh-CN" w:eastAsia="zh-CN" w:bidi="ar-SA"/>
        </w:rPr>
        <w:t>项目得到参与群众和科技工作者等的高度评价，</w:t>
      </w:r>
      <w:r>
        <w:rPr>
          <w:rFonts w:hint="default" w:ascii="Times New Roman" w:hAnsi="Times New Roman" w:eastAsia="仿宋_GB2312" w:cs="Times New Roman"/>
          <w:b w:val="0"/>
          <w:bCs w:val="0"/>
          <w:kern w:val="2"/>
          <w:sz w:val="32"/>
          <w:szCs w:val="32"/>
          <w:lang w:val="en-US" w:eastAsia="zh-CN" w:bidi="ar-SA"/>
        </w:rPr>
        <w:t>项目</w:t>
      </w:r>
      <w:r>
        <w:rPr>
          <w:rFonts w:hint="default" w:ascii="Times New Roman" w:hAnsi="Times New Roman" w:eastAsia="仿宋_GB2312" w:cs="Times New Roman"/>
          <w:b w:val="0"/>
          <w:bCs w:val="0"/>
          <w:kern w:val="2"/>
          <w:sz w:val="32"/>
          <w:szCs w:val="32"/>
          <w:lang w:val="zh-CN" w:eastAsia="zh-CN" w:bidi="ar-SA"/>
        </w:rPr>
        <w:t>预算执行率100%，执行情况优良。由于项目资金有限，不能完全满足科技工作者等的愿望，满意度未达预期目的；服务科技工作者是长期性工作，短期见效不明显；培养、储备最美科技工作者方面较欠缺。综合以上情况，故自评扣分4分，得分96分。</w:t>
      </w:r>
    </w:p>
    <w:p w14:paraId="6B8129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zh-CN" w:eastAsia="zh-CN" w:bidi="ar-SA"/>
        </w:rPr>
      </w:pPr>
      <w:r>
        <w:rPr>
          <w:rFonts w:hint="default" w:ascii="Times New Roman" w:hAnsi="Times New Roman" w:eastAsia="仿宋_GB2312" w:cs="Times New Roman"/>
          <w:b w:val="0"/>
          <w:bCs w:val="0"/>
          <w:kern w:val="2"/>
          <w:sz w:val="32"/>
          <w:szCs w:val="32"/>
          <w:lang w:val="en-US" w:eastAsia="zh-CN" w:bidi="ar-SA"/>
        </w:rPr>
        <w:t>（3）“科创中国·天府科技云服务大会”。该项目年度预算50万元。项目活动前期累计征集遴选75个优质科创项目参会，9月以来，州科协依托天府科技云平台建设专栏并开展长期宣介推广，在州内外进行全方位宣推。并建设“云展厅”，将项目上传到“云展厅”，不定期开展云上直播宣推。根据省科协安排，组织有关企业到成都、南充、绵阳等地参加市（州）交流活动以及省级专场活动。9月29日，“科创会·凉山行”低空经济+现代农业专场活动在凉山州西昌市科普主题文化公园成功举办。活动现场汇聚低空经济领域企业、农业产业化龙头企业、科研机构40余家，围绕“技术落地、项目合作、产业升级”三大核心议题开展深度交流，凝聚发展共识。活动现场6个重点项目达成合作意向并签订协议，合作内容涵盖青年创业贷款支持、低空农业植保服务、山区农产品无人机物流配送、专项法律咨询服务等多个领域。活动特别设置科创沙龙访谈环节，邀请低空经济企业代表、农业企业负责人及行业专家，围绕“低空技术如何精准适配凉山山区农业场景”“现代农业智能化升级路径探索”“科技成果转化落地难点破解策略”等关键话题展开探讨。沙龙吸引多家本地企业主动表达合作意向，成功构建起“项目推介—现场交流—意向对接”的良性互动闭环。项目</w:t>
      </w:r>
      <w:r>
        <w:rPr>
          <w:rFonts w:hint="default" w:ascii="Times New Roman" w:hAnsi="Times New Roman" w:eastAsia="仿宋_GB2312" w:cs="Times New Roman"/>
          <w:b w:val="0"/>
          <w:bCs w:val="0"/>
          <w:kern w:val="2"/>
          <w:sz w:val="32"/>
          <w:szCs w:val="32"/>
          <w:lang w:val="zh-CN" w:eastAsia="zh-CN" w:bidi="ar-SA"/>
        </w:rPr>
        <w:t>预算执行率100%，执行情况良好。因</w:t>
      </w:r>
      <w:r>
        <w:rPr>
          <w:rFonts w:hint="default" w:ascii="Times New Roman" w:hAnsi="Times New Roman" w:eastAsia="仿宋_GB2312" w:cs="Times New Roman"/>
          <w:b w:val="0"/>
          <w:bCs w:val="0"/>
          <w:kern w:val="2"/>
          <w:sz w:val="32"/>
          <w:szCs w:val="32"/>
          <w:lang w:val="en-US" w:eastAsia="zh-CN" w:bidi="ar-SA"/>
        </w:rPr>
        <w:t>活动持续时间较短，活动主题单一，没有全覆盖州内各个行业和企业，产生的效果和影响不够长远，活动的宣传力度不够，</w:t>
      </w:r>
      <w:r>
        <w:rPr>
          <w:rFonts w:hint="default" w:ascii="Times New Roman" w:hAnsi="Times New Roman" w:eastAsia="仿宋_GB2312" w:cs="Times New Roman"/>
          <w:b w:val="0"/>
          <w:bCs w:val="0"/>
          <w:kern w:val="2"/>
          <w:sz w:val="32"/>
          <w:szCs w:val="32"/>
          <w:lang w:val="zh-CN" w:eastAsia="zh-CN" w:bidi="ar-SA"/>
        </w:rPr>
        <w:t>满意度和影响力方面不能达到预期目的，故自评扣分</w:t>
      </w:r>
      <w:r>
        <w:rPr>
          <w:rFonts w:hint="default" w:ascii="Times New Roman" w:hAnsi="Times New Roman" w:eastAsia="仿宋_GB2312" w:cs="Times New Roman"/>
          <w:b w:val="0"/>
          <w:bCs w:val="0"/>
          <w:kern w:val="2"/>
          <w:sz w:val="32"/>
          <w:szCs w:val="32"/>
          <w:lang w:val="en-US" w:eastAsia="zh-CN" w:bidi="ar-SA"/>
        </w:rPr>
        <w:t>2分、</w:t>
      </w:r>
      <w:r>
        <w:rPr>
          <w:rFonts w:hint="default" w:ascii="Times New Roman" w:hAnsi="Times New Roman" w:eastAsia="仿宋_GB2312" w:cs="Times New Roman"/>
          <w:b w:val="0"/>
          <w:bCs w:val="0"/>
          <w:kern w:val="2"/>
          <w:sz w:val="32"/>
          <w:szCs w:val="32"/>
          <w:lang w:val="zh-CN" w:eastAsia="zh-CN" w:bidi="ar-SA"/>
        </w:rPr>
        <w:t>得分</w:t>
      </w:r>
      <w:r>
        <w:rPr>
          <w:rFonts w:hint="default" w:ascii="Times New Roman" w:hAnsi="Times New Roman" w:eastAsia="仿宋_GB2312" w:cs="Times New Roman"/>
          <w:b w:val="0"/>
          <w:bCs w:val="0"/>
          <w:kern w:val="2"/>
          <w:sz w:val="32"/>
          <w:szCs w:val="32"/>
          <w:lang w:val="en-US" w:eastAsia="zh-CN" w:bidi="ar-SA"/>
        </w:rPr>
        <w:t>98</w:t>
      </w:r>
      <w:r>
        <w:rPr>
          <w:rFonts w:hint="default" w:ascii="Times New Roman" w:hAnsi="Times New Roman" w:eastAsia="仿宋_GB2312" w:cs="Times New Roman"/>
          <w:b w:val="0"/>
          <w:bCs w:val="0"/>
          <w:kern w:val="2"/>
          <w:sz w:val="32"/>
          <w:szCs w:val="32"/>
          <w:lang w:val="zh-CN" w:eastAsia="zh-CN" w:bidi="ar-SA"/>
        </w:rPr>
        <w:t>分。</w:t>
      </w:r>
    </w:p>
    <w:p w14:paraId="376B60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（4）“州级科普专项资金”。该项目年初预算</w:t>
      </w:r>
      <w:r>
        <w:rPr>
          <w:rFonts w:hint="default" w:ascii="Times New Roman" w:hAnsi="Times New Roman" w:eastAsia="仿宋_GB2312" w:cs="Times New Roman"/>
          <w:b w:val="0"/>
          <w:bCs w:val="0"/>
          <w:kern w:val="2"/>
          <w:sz w:val="32"/>
          <w:szCs w:val="32"/>
          <w:lang w:val="zh-CN" w:eastAsia="zh-CN" w:bidi="ar-SA"/>
        </w:rPr>
        <w:t>财政拨款198.93万元，共设立7个子项目，当年完成了：①公共服务及基础设施运行保障项目。组织凉山州科协系统60名干部能力提升高校培训；视讯中心网络、科协网站、协同办公系统等运维的高效运转；开展科协项目业务会议、上级参会培训及县市科普调研宣传；完成档案建设、项目法律咨询服务工作；保障项目培训、业务会议耗材维修及业务报刊订购等。培训交流显著提升科协干部业务能力与综合素养；基础设施稳定运行，提升科协办公及科普工作效率；调研指导推动县市科普工作协同发展；档案建设实现科普相关资料规范化管理，法律咨询服务降低了项目管理过程中存在的法律风险；各项基础保障工作助力全州科普事业整体发展；②“天府科技云工程项目”，完成了平台用户规模稳步扩大。新增注册个人用户18262人、企事业单位73家，创建科创工作室117家，累计提供精准科普服务438万人次。常态化开展全员“保姆式”服务，落实“一单一策”精准服务2067项，促成合作183项，交易额达438万元；聚焦农业特色产业，通过平台发布“布拖马铃薯”“凉山乌洋芋”等技术需求23项，促成校企合作项目7个，打造典型示范案例72个，培育示范科创工作室62家；③学术交流学会科普，组织开展了2025年学会能力提升计划项目。严格按照内控制度，采购第三方专业机构州农技协承接实施学会能力提升项目，向州心理咨询师协会、州兰花协会、州营养学会、州应急安全科技协会、州心理学会、州生态摄像协会、州药学会、州水利电力行业协会、州农学会9个学会协会实施了学会能力提升计划。项目实现了打造重点学会协会，努力提升学术交流、科技创新与服务能力提升学会(协会)服务社会、自身发展的能力；④院士（专家）工作站及企事业科协组织建设。根据凉山州委人才工作领导小组办公室和凉山州科协《关于做好2025年州级院士（专家）工作站申报工作的通知》（凉科协〔2025〕21号）要求，经建站单位申报、初评、评审、公示等程序，最终确定凉山康利农业集团有限公司（凉山州院士工作站），凉山州惠乔生物科技有限责任公司、西昌思奇香食品有限责任公司、四川会理铅锌股份有限公司、德昌县志能稀土有限责任公司、凉山州中泽新技术开发有限责任公司为凉山州第九批院士（专家）工作站建站单位。每个院士工作站一次性给予建站资助资金30万元，每个专家工作站一次性给予建站资助资金20万元。项目实现了在我州搭建柔性引才平台，为企业引进高层次人才创新发展服务，引导和支持各县（市）围绕各地支柱产业和主导产业，促进技术公关和科技成果转移转化，助推凉山高质量发展；⑤青少年科技创新教育活动。一是遴选推荐15项创新作品参加省级赛事，其中5项斩获省级奖项，州科协荣获省级“优秀组织奖”。二是购置“人机共智”科普资源包，依托州内7台“科普大篷车”常态化开展“大篷车进校园”活动，利用流动科技馆第二轮巡展冕宁站、越西站巡展时机，组织中小学生前往参观体验，近距离接触前沿科技知识。三是组织开展“科学家（精神）进校园”活动。与州关工委联合组织中国科学院老科学家科普演讲团8位专家深入27所学校开展科普报告54场次，惠及1.3万余名青少年；“人民科学家”叶培建院士走进普格县附城小学开展“航天精神大讲堂”，刘勇研究员开展航天主题科普宣讲；与州教体局联合开展“追光—我心中的科学家”主题活动，组织青少年观看科学家纪录片、阅读科学家传记，开展科学家故事创作及演讲比赛，引导青少年树立崇尚科学、追求真理的远大志向，厚植爱国情怀与科学精神；⑥农技协科普宣传培训。通过实施科普宣传品印制发放、举办食用菌栽培冷藏技术、松露根苗仿生保育促繁技术、专业人员乡村振兴交流观摩、农技协高质量发展培训5期等活动，实现普及农技科技知识，推广先进技术，提高农户收入，提升乡村整体素质，实现助力全州乡村振兴；⑦乡村振兴科普宣传培训，驻村工作组积极推进昭觉巴尔村强村富民服务，协调资金4.48万元，捐赠鸡苗1400只，覆盖185户家庭，培训土鸡养殖技术；为102户群众发放价值3.9万元暖冬物资，为42人落实低保及医疗救助，切实服务基层民生；在村小学举办科普活动、协调2万元建成科普阵地，通过政策扶持、科普活动、技能培训等，提升村民科学素养，促进乡村产业发展和文明建设。</w:t>
      </w:r>
      <w:r>
        <w:rPr>
          <w:rFonts w:hint="default" w:ascii="Times New Roman" w:hAnsi="Times New Roman" w:eastAsia="仿宋_GB2312" w:cs="Times New Roman"/>
          <w:b w:val="0"/>
          <w:bCs w:val="0"/>
          <w:kern w:val="2"/>
          <w:sz w:val="32"/>
          <w:szCs w:val="32"/>
          <w:lang w:val="en-US" w:eastAsia="zh-CN" w:bidi="ar-SA"/>
        </w:rPr>
        <w:t>项目</w:t>
      </w:r>
      <w:r>
        <w:rPr>
          <w:rFonts w:hint="default" w:ascii="Times New Roman" w:hAnsi="Times New Roman" w:eastAsia="仿宋_GB2312" w:cs="Times New Roman"/>
          <w:b w:val="0"/>
          <w:bCs w:val="0"/>
          <w:kern w:val="2"/>
          <w:sz w:val="32"/>
          <w:szCs w:val="32"/>
          <w:lang w:val="zh-CN" w:eastAsia="zh-CN" w:bidi="ar-SA"/>
        </w:rPr>
        <w:t>预算执行率100%，执行情况良好。</w:t>
      </w:r>
      <w:r>
        <w:rPr>
          <w:rFonts w:hint="default" w:ascii="Times New Roman" w:hAnsi="Times New Roman" w:eastAsia="仿宋_GB2312" w:cs="Times New Roman"/>
          <w:b w:val="0"/>
          <w:bCs w:val="0"/>
          <w:kern w:val="2"/>
          <w:sz w:val="32"/>
          <w:szCs w:val="32"/>
          <w:lang w:val="en-US" w:eastAsia="zh-CN" w:bidi="ar-SA"/>
        </w:rPr>
        <w:t>因受资金短缺</w:t>
      </w:r>
      <w:r>
        <w:rPr>
          <w:rFonts w:hint="default" w:ascii="Times New Roman" w:hAnsi="Times New Roman" w:eastAsia="仿宋_GB2312" w:cs="Times New Roman"/>
          <w:b w:val="0"/>
          <w:bCs w:val="0"/>
          <w:kern w:val="2"/>
          <w:sz w:val="32"/>
          <w:szCs w:val="32"/>
          <w:lang w:val="zh-CN" w:eastAsia="zh-CN" w:bidi="ar-SA"/>
        </w:rPr>
        <w:t>制约，受益群众有限，满意度不能达预期目的，</w:t>
      </w:r>
      <w:r>
        <w:rPr>
          <w:rFonts w:hint="default" w:ascii="Times New Roman" w:hAnsi="Times New Roman" w:eastAsia="仿宋_GB2312" w:cs="Times New Roman"/>
          <w:b w:val="0"/>
          <w:bCs w:val="0"/>
          <w:kern w:val="2"/>
          <w:sz w:val="32"/>
          <w:szCs w:val="32"/>
          <w:lang w:val="en-US" w:eastAsia="zh-CN" w:bidi="ar-SA"/>
        </w:rPr>
        <w:t>基层科普队伍薄弱</w:t>
      </w:r>
      <w:r>
        <w:rPr>
          <w:rFonts w:hint="default" w:ascii="Times New Roman" w:hAnsi="Times New Roman" w:eastAsia="仿宋_GB2312" w:cs="Times New Roman"/>
          <w:b w:val="0"/>
          <w:bCs w:val="0"/>
          <w:kern w:val="2"/>
          <w:sz w:val="32"/>
          <w:szCs w:val="32"/>
          <w:lang w:val="zh-CN" w:eastAsia="zh-CN" w:bidi="ar-SA"/>
        </w:rPr>
        <w:t>。故自评扣分</w:t>
      </w:r>
      <w:r>
        <w:rPr>
          <w:rFonts w:hint="default" w:ascii="Times New Roman" w:hAnsi="Times New Roman" w:eastAsia="仿宋_GB2312" w:cs="Times New Roman"/>
          <w:b w:val="0"/>
          <w:bCs w:val="0"/>
          <w:kern w:val="2"/>
          <w:sz w:val="32"/>
          <w:szCs w:val="32"/>
          <w:lang w:val="en-US" w:eastAsia="zh-CN" w:bidi="ar-SA"/>
        </w:rPr>
        <w:t>3</w:t>
      </w:r>
      <w:r>
        <w:rPr>
          <w:rFonts w:hint="default" w:ascii="Times New Roman" w:hAnsi="Times New Roman" w:eastAsia="仿宋_GB2312" w:cs="Times New Roman"/>
          <w:b w:val="0"/>
          <w:bCs w:val="0"/>
          <w:kern w:val="2"/>
          <w:sz w:val="32"/>
          <w:szCs w:val="32"/>
          <w:lang w:val="zh-CN" w:eastAsia="zh-CN" w:bidi="ar-SA"/>
        </w:rPr>
        <w:t>分，得分9</w:t>
      </w:r>
      <w:r>
        <w:rPr>
          <w:rFonts w:hint="default" w:ascii="Times New Roman" w:hAnsi="Times New Roman" w:eastAsia="仿宋_GB2312" w:cs="Times New Roman"/>
          <w:b w:val="0"/>
          <w:bCs w:val="0"/>
          <w:kern w:val="2"/>
          <w:sz w:val="32"/>
          <w:szCs w:val="32"/>
          <w:lang w:val="en-US" w:eastAsia="zh-CN" w:bidi="ar-SA"/>
        </w:rPr>
        <w:t>7</w:t>
      </w:r>
      <w:r>
        <w:rPr>
          <w:rFonts w:hint="default" w:ascii="Times New Roman" w:hAnsi="Times New Roman" w:eastAsia="仿宋_GB2312" w:cs="Times New Roman"/>
          <w:b w:val="0"/>
          <w:bCs w:val="0"/>
          <w:kern w:val="2"/>
          <w:sz w:val="32"/>
          <w:szCs w:val="32"/>
          <w:lang w:val="zh-CN" w:eastAsia="zh-CN" w:bidi="ar-SA"/>
        </w:rPr>
        <w:t>分。</w:t>
      </w:r>
      <w:r>
        <w:rPr>
          <w:rFonts w:hint="default" w:ascii="Times New Roman" w:hAnsi="Times New Roman" w:eastAsia="仿宋_GB2312" w:cs="Times New Roman"/>
          <w:b w:val="0"/>
          <w:bCs w:val="0"/>
          <w:kern w:val="2"/>
          <w:sz w:val="32"/>
          <w:szCs w:val="32"/>
          <w:lang w:val="en-US" w:eastAsia="zh-CN" w:bidi="ar-SA"/>
        </w:rPr>
        <w:t xml:space="preserve">      </w:t>
      </w:r>
    </w:p>
    <w:p w14:paraId="542019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zh-CN" w:eastAsia="zh-CN" w:bidi="ar-SA"/>
        </w:rPr>
      </w:pPr>
      <w:r>
        <w:rPr>
          <w:rFonts w:hint="default" w:ascii="Times New Roman" w:hAnsi="Times New Roman" w:eastAsia="仿宋_GB2312" w:cs="Times New Roman"/>
          <w:b w:val="0"/>
          <w:bCs w:val="0"/>
          <w:kern w:val="2"/>
          <w:sz w:val="32"/>
          <w:szCs w:val="32"/>
          <w:lang w:val="en-US" w:eastAsia="zh-CN" w:bidi="ar-SA"/>
        </w:rPr>
        <w:t>（5）“省级科普专项资金”。</w:t>
      </w:r>
      <w:r>
        <w:rPr>
          <w:rFonts w:hint="default" w:ascii="Times New Roman" w:hAnsi="Times New Roman" w:eastAsia="仿宋_GB2312" w:cs="Times New Roman"/>
          <w:b w:val="0"/>
          <w:bCs w:val="0"/>
          <w:kern w:val="2"/>
          <w:sz w:val="32"/>
          <w:szCs w:val="32"/>
          <w:lang w:val="zh-CN" w:eastAsia="zh-CN" w:bidi="ar-SA"/>
        </w:rPr>
        <w:t>2025年省级科普专项资金上年结转248万元，由于2025年中央和省级财政科普专项资金分两批次拨入，第一批次提前下达184万元已于2025年2月13日分配到位，至评价时点州本级部门均已完成项目实施，并支付上年结转和第一批次拨入项目资金428.78万元、政府采购项目资金余款缴回财政3.22万元；第二批次69.52万元拨入时间较晚，2025年12月15日才下拨到位，此款仅支付“天府科普（研学）游”工作培训项目资金7.98万元，余款61.54万元结转下年专款专用。故</w:t>
      </w:r>
      <w:r>
        <w:rPr>
          <w:rFonts w:hint="eastAsia" w:eastAsia="仿宋_GB2312" w:cs="Times New Roman"/>
          <w:b w:val="0"/>
          <w:bCs w:val="0"/>
          <w:kern w:val="2"/>
          <w:sz w:val="32"/>
          <w:szCs w:val="32"/>
          <w:lang w:val="zh-CN" w:eastAsia="zh-CN" w:bidi="ar-SA"/>
        </w:rPr>
        <w:t>截至</w:t>
      </w:r>
      <w:r>
        <w:rPr>
          <w:rFonts w:hint="default" w:ascii="Times New Roman" w:hAnsi="Times New Roman" w:eastAsia="仿宋_GB2312" w:cs="Times New Roman"/>
          <w:b w:val="0"/>
          <w:bCs w:val="0"/>
          <w:kern w:val="2"/>
          <w:sz w:val="32"/>
          <w:szCs w:val="32"/>
          <w:lang w:val="zh-CN" w:eastAsia="zh-CN" w:bidi="ar-SA"/>
        </w:rPr>
        <w:t>2025年按照项目工作推进情况资金支出总计436.76万元，占该项总预算资金501.52万元的87%。具体支付情况：一是州本级按照项目工作推进情况完成委托第三方开展天府科技云平台运维、技术支撑、县市指导、业务培训；二是2025年9月完成全国科普月活动委托第三方会场布赛、宣传片剪辑、主持播音，开展了乡土人才大赛；三是完成了州农技协科普科服培训5期；四是开展“流动科技馆”大篷车巡展；五是完成</w:t>
      </w:r>
      <w:bookmarkStart w:id="76" w:name="OLE_LINK12"/>
      <w:r>
        <w:rPr>
          <w:rFonts w:hint="default" w:ascii="Times New Roman" w:hAnsi="Times New Roman" w:eastAsia="仿宋_GB2312" w:cs="Times New Roman"/>
          <w:b w:val="0"/>
          <w:bCs w:val="0"/>
          <w:kern w:val="2"/>
          <w:sz w:val="32"/>
          <w:szCs w:val="32"/>
          <w:lang w:val="zh-CN" w:eastAsia="zh-CN" w:bidi="ar-SA"/>
        </w:rPr>
        <w:t>“天府科普大咖说”科普纪录片、科学教育影片等制作；六是完成与融媒体等平台联合创作编辑《科普凉山》《科学发展期刊》进行科普宣传；七是完成科技工作者宣传片《追光2》和《追光3》、精品科普视频、特色科普（沙画动画）等制作播报投放</w:t>
      </w:r>
      <w:bookmarkEnd w:id="76"/>
      <w:r>
        <w:rPr>
          <w:rFonts w:hint="default" w:ascii="Times New Roman" w:hAnsi="Times New Roman" w:eastAsia="仿宋_GB2312" w:cs="Times New Roman"/>
          <w:b w:val="0"/>
          <w:bCs w:val="0"/>
          <w:kern w:val="2"/>
          <w:sz w:val="32"/>
          <w:szCs w:val="32"/>
          <w:lang w:val="zh-CN" w:eastAsia="zh-CN" w:bidi="ar-SA"/>
        </w:rPr>
        <w:t>；八是科普宣传品购置、科普主题文化公园开园仪式；九是开展校园科普“启梦.智慧科普计划”活动，1000架次无人机科普秀表演2次、机器人表演5场。组织25名优秀科创少年（39届州赛一等奖获得者）赴成都开展以“科技启智，蜀韵探源”为主题的青少年科学研学活动。动员全州30余所中小学校师生围绕“能源资源”“生态环境”“安全健康”“创新创意”4个领域开展“2025年青少年科学调查体验活动”，提交活动成果报告260余份，州科协荣获省级“优秀组织奖”；十是开展了“天府科普（研学）游”培训；十一是完成宁南四川贝瑞科技小院建设等等，并实现预期的绩效目标。已支付专项资金符合国家财经制度，能严格执行财务管理制度及专项资金管理办法和审批程序规定。跨年度项目将严格按照项目备案书时间节点推进并于2026年12月全面完成各项任务。单位预算执行率未达</w:t>
      </w:r>
      <w:r>
        <w:rPr>
          <w:rFonts w:hint="default" w:ascii="Times New Roman" w:hAnsi="Times New Roman" w:eastAsia="仿宋_GB2312" w:cs="Times New Roman"/>
          <w:b w:val="0"/>
          <w:bCs w:val="0"/>
          <w:kern w:val="2"/>
          <w:sz w:val="32"/>
          <w:szCs w:val="32"/>
          <w:lang w:val="en-US" w:eastAsia="zh-CN" w:bidi="ar-SA"/>
        </w:rPr>
        <w:t>100%</w:t>
      </w:r>
      <w:r>
        <w:rPr>
          <w:rFonts w:hint="default" w:ascii="Times New Roman" w:hAnsi="Times New Roman" w:eastAsia="仿宋_GB2312" w:cs="Times New Roman"/>
          <w:b w:val="0"/>
          <w:bCs w:val="0"/>
          <w:kern w:val="2"/>
          <w:sz w:val="32"/>
          <w:szCs w:val="32"/>
          <w:lang w:val="zh-CN" w:eastAsia="zh-CN" w:bidi="ar-SA"/>
        </w:rPr>
        <w:t>，故自评扣1分；民生保障项目群众实际满意度未完全达到设定目标、故自评扣1分。总体自评扣分2分，得分98分。</w:t>
      </w:r>
    </w:p>
    <w:p w14:paraId="1D378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zh-CN" w:eastAsia="zh-CN" w:bidi="ar-SA"/>
        </w:rPr>
      </w:pPr>
      <w:r>
        <w:rPr>
          <w:rFonts w:hint="default" w:ascii="Times New Roman" w:hAnsi="Times New Roman" w:eastAsia="仿宋_GB2312" w:cs="Times New Roman"/>
          <w:b w:val="0"/>
          <w:bCs w:val="0"/>
          <w:kern w:val="2"/>
          <w:sz w:val="32"/>
          <w:szCs w:val="32"/>
          <w:lang w:val="en-US" w:eastAsia="zh-CN" w:bidi="ar-SA"/>
        </w:rPr>
        <w:t>（6）“科普宣传活动业务经费”，该项目年初预算12万元，2025年6月4日-7日，由州科协、州教体局联合主办的2025年青少年科技创新大赛暨科技辅导员能力提升培训班在西昌成功举行，对来自全州17县(市）的160余名科技教育工作、中小学校分管领导及科技教师进行了培训；第40届凉山州青少年科技创新大赛于2025年5月启动，经县（市）初赛，推荐到州大赛组委会作品1183项，大赛组委会办公室对征集到的所有作品进行了归类整理和资格审查，淘汰不符合参赛的作品157项，进入参评作品1026项。2025年10月31日-11月1日，由西昌学院、凉山州教科所的16名专家组成的评审委员会按照《凉山州青少年科技创新大赛章程》规定，对作品进行初评，确定入围终评项目759项；依托智慧书柜开展常年科普阅读活动，进一步提升了干部职工科学素质和业务能力。项目</w:t>
      </w:r>
      <w:r>
        <w:rPr>
          <w:rFonts w:hint="default" w:ascii="Times New Roman" w:hAnsi="Times New Roman" w:eastAsia="仿宋_GB2312" w:cs="Times New Roman"/>
          <w:b w:val="0"/>
          <w:bCs w:val="0"/>
          <w:kern w:val="2"/>
          <w:sz w:val="32"/>
          <w:szCs w:val="32"/>
          <w:lang w:val="zh-CN" w:eastAsia="zh-CN" w:bidi="ar-SA"/>
        </w:rPr>
        <w:t>预算执行率100%，执行情况良好。但</w:t>
      </w:r>
      <w:r>
        <w:rPr>
          <w:rFonts w:hint="default" w:ascii="Times New Roman" w:hAnsi="Times New Roman" w:eastAsia="仿宋_GB2312" w:cs="Times New Roman"/>
          <w:b w:val="0"/>
          <w:bCs w:val="0"/>
          <w:kern w:val="2"/>
          <w:sz w:val="32"/>
          <w:szCs w:val="32"/>
          <w:lang w:val="en-US" w:eastAsia="zh-CN" w:bidi="ar-SA"/>
        </w:rPr>
        <w:t>因受资金短缺等限制，学习的深度和广度不够，短期内收效不明显，</w:t>
      </w:r>
      <w:r>
        <w:rPr>
          <w:rFonts w:hint="default" w:ascii="Times New Roman" w:hAnsi="Times New Roman" w:eastAsia="仿宋_GB2312" w:cs="Times New Roman"/>
          <w:b w:val="0"/>
          <w:bCs w:val="0"/>
          <w:kern w:val="2"/>
          <w:sz w:val="32"/>
          <w:szCs w:val="32"/>
          <w:lang w:val="zh-CN" w:eastAsia="zh-CN" w:bidi="ar-SA"/>
        </w:rPr>
        <w:t>满意度和影响力方面不能达到预期目的，故自评扣分</w:t>
      </w:r>
      <w:r>
        <w:rPr>
          <w:rFonts w:hint="default" w:ascii="Times New Roman" w:hAnsi="Times New Roman" w:eastAsia="仿宋_GB2312" w:cs="Times New Roman"/>
          <w:b w:val="0"/>
          <w:bCs w:val="0"/>
          <w:kern w:val="2"/>
          <w:sz w:val="32"/>
          <w:szCs w:val="32"/>
          <w:lang w:val="en-US" w:eastAsia="zh-CN" w:bidi="ar-SA"/>
        </w:rPr>
        <w:t>3分、</w:t>
      </w:r>
      <w:r>
        <w:rPr>
          <w:rFonts w:hint="default" w:ascii="Times New Roman" w:hAnsi="Times New Roman" w:eastAsia="仿宋_GB2312" w:cs="Times New Roman"/>
          <w:b w:val="0"/>
          <w:bCs w:val="0"/>
          <w:kern w:val="2"/>
          <w:sz w:val="32"/>
          <w:szCs w:val="32"/>
          <w:lang w:val="zh-CN" w:eastAsia="zh-CN" w:bidi="ar-SA"/>
        </w:rPr>
        <w:t>得分</w:t>
      </w:r>
      <w:r>
        <w:rPr>
          <w:rFonts w:hint="default" w:ascii="Times New Roman" w:hAnsi="Times New Roman" w:eastAsia="仿宋_GB2312" w:cs="Times New Roman"/>
          <w:b w:val="0"/>
          <w:bCs w:val="0"/>
          <w:kern w:val="2"/>
          <w:sz w:val="32"/>
          <w:szCs w:val="32"/>
          <w:lang w:val="en-US" w:eastAsia="zh-CN" w:bidi="ar-SA"/>
        </w:rPr>
        <w:t>97</w:t>
      </w:r>
      <w:r>
        <w:rPr>
          <w:rFonts w:hint="default" w:ascii="Times New Roman" w:hAnsi="Times New Roman" w:eastAsia="仿宋_GB2312" w:cs="Times New Roman"/>
          <w:b w:val="0"/>
          <w:bCs w:val="0"/>
          <w:kern w:val="2"/>
          <w:sz w:val="32"/>
          <w:szCs w:val="32"/>
          <w:lang w:val="zh-CN" w:eastAsia="zh-CN" w:bidi="ar-SA"/>
        </w:rPr>
        <w:t>分。</w:t>
      </w:r>
    </w:p>
    <w:p w14:paraId="771AF0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（7）“学术交流活动业务经费”。该项目年初预算12万元，用于</w:t>
      </w:r>
      <w:r>
        <w:rPr>
          <w:rFonts w:hint="default" w:ascii="Times New Roman" w:hAnsi="Times New Roman" w:eastAsia="仿宋_GB2312" w:cs="Times New Roman"/>
          <w:b w:val="0"/>
          <w:bCs w:val="0"/>
          <w:kern w:val="2"/>
          <w:sz w:val="32"/>
          <w:szCs w:val="32"/>
          <w:lang w:val="zh-CN" w:eastAsia="zh-CN" w:bidi="ar-SA"/>
        </w:rPr>
        <w:t>开展</w:t>
      </w:r>
      <w:r>
        <w:rPr>
          <w:rFonts w:hint="default" w:ascii="Times New Roman" w:hAnsi="Times New Roman" w:eastAsia="仿宋_GB2312" w:cs="Times New Roman"/>
          <w:b w:val="0"/>
          <w:bCs w:val="0"/>
          <w:kern w:val="2"/>
          <w:sz w:val="32"/>
          <w:szCs w:val="32"/>
          <w:lang w:val="en-US" w:eastAsia="zh-CN" w:bidi="ar-SA"/>
        </w:rPr>
        <w:t>自然科学优秀学术论文评选活动，本届评选活动共收到近两年在国内外公开出版的学术性期刊上发表的自然科学论文等共计165篇，经凉山州自然科学优秀学术论文评审委员会办公室初审，18篇论文不符合评审条件，147篇论文符合评审条件，进入专家评审。根据论文数量与类型，邀请熟悉评审工作、具备专业资质的医学组、农业组、教育组、综合组16位专家教授开展评审工作。共评出医学组一等奖2项，二等奖3项，三等奖8项，共13项；农业组一等奖1项，二等奖3项，三等奖5项，共9项；教育组一等奖1项，二等奖2项，三等奖3项，共6项；综合组一等奖3项，二等奖7项，三等奖13项，共23项。总计51个奖项进入公示阶段。目前，凉山科普研学游已成功上线科普研学产品72个，建成科普研学阵地78个，对接合作机构73家，其中西昌卫星发射中心线路入选全省首批精品研学线路；依托天府科技云平台，实现60个凉山特色科普资源高效上线，有效扩大了科普宣传覆盖面。制作科普宣传品（单肩包）1200个，分别在科技之春科普活动月、全国科普月、科普进彝区（社区）、大篷车进校园等期间向各族群众发放。项目</w:t>
      </w:r>
      <w:r>
        <w:rPr>
          <w:rFonts w:hint="default" w:ascii="Times New Roman" w:hAnsi="Times New Roman" w:eastAsia="仿宋_GB2312" w:cs="Times New Roman"/>
          <w:b w:val="0"/>
          <w:bCs w:val="0"/>
          <w:kern w:val="2"/>
          <w:sz w:val="32"/>
          <w:szCs w:val="32"/>
          <w:lang w:val="zh-CN" w:eastAsia="zh-CN" w:bidi="ar-SA"/>
        </w:rPr>
        <w:t>预算执行率100%，执行情况良好。</w:t>
      </w:r>
      <w:r>
        <w:rPr>
          <w:rFonts w:hint="default" w:ascii="Times New Roman" w:hAnsi="Times New Roman" w:eastAsia="仿宋_GB2312" w:cs="Times New Roman"/>
          <w:b w:val="0"/>
          <w:bCs w:val="0"/>
          <w:kern w:val="2"/>
          <w:sz w:val="32"/>
          <w:szCs w:val="32"/>
          <w:lang w:val="en-US" w:eastAsia="zh-CN" w:bidi="ar-SA"/>
        </w:rPr>
        <w:t>因满意度未达预期目的；服务科技工作者是长期性工作，短期见效不明显。故自评扣分2分，得分98分。</w:t>
      </w:r>
    </w:p>
    <w:p w14:paraId="139468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（8）“凉山州全民科学素质提升专项”，该项目年初预算14.569万元，年度项目开展了科学普及、素质提升、科普活动进机关、进乡村、进学校、进企事业、进社区等全民科学素质提升相关工作</w:t>
      </w:r>
      <w:r>
        <w:rPr>
          <w:rFonts w:hint="default" w:ascii="Times New Roman" w:hAnsi="Times New Roman" w:eastAsia="仿宋_GB2312" w:cs="Times New Roman"/>
          <w:b w:val="0"/>
          <w:bCs w:val="0"/>
          <w:kern w:val="2"/>
          <w:sz w:val="32"/>
          <w:szCs w:val="32"/>
          <w:lang w:val="zh-CN" w:eastAsia="zh-CN" w:bidi="ar-SA"/>
        </w:rPr>
        <w:t>。本部门通过</w:t>
      </w:r>
      <w:r>
        <w:rPr>
          <w:rFonts w:hint="default" w:ascii="Times New Roman" w:hAnsi="Times New Roman" w:eastAsia="仿宋_GB2312" w:cs="Times New Roman"/>
          <w:b w:val="0"/>
          <w:bCs w:val="0"/>
          <w:kern w:val="2"/>
          <w:sz w:val="32"/>
          <w:szCs w:val="32"/>
          <w:lang w:val="en-US" w:eastAsia="zh-CN" w:bidi="ar-SA"/>
        </w:rPr>
        <w:t>丰富多样的科普活动，实现了提高全民科学素质服务高质量发展的目标。项目</w:t>
      </w:r>
      <w:r>
        <w:rPr>
          <w:rFonts w:hint="default" w:ascii="Times New Roman" w:hAnsi="Times New Roman" w:eastAsia="仿宋_GB2312" w:cs="Times New Roman"/>
          <w:b w:val="0"/>
          <w:bCs w:val="0"/>
          <w:kern w:val="2"/>
          <w:sz w:val="32"/>
          <w:szCs w:val="32"/>
          <w:lang w:val="zh-CN" w:eastAsia="zh-CN" w:bidi="ar-SA"/>
        </w:rPr>
        <w:t>预算执行率100%，执行情况良好。因项目资金偏少，在一定程度上制约了项目在当年实施完成进度。故</w:t>
      </w:r>
      <w:r>
        <w:rPr>
          <w:rFonts w:hint="default" w:ascii="Times New Roman" w:hAnsi="Times New Roman" w:eastAsia="仿宋_GB2312" w:cs="Times New Roman"/>
          <w:b w:val="0"/>
          <w:bCs w:val="0"/>
          <w:kern w:val="2"/>
          <w:sz w:val="32"/>
          <w:szCs w:val="32"/>
          <w:lang w:val="en-US" w:eastAsia="zh-CN" w:bidi="ar-SA"/>
        </w:rPr>
        <w:t>自评扣分2分、得分98分。</w:t>
      </w:r>
    </w:p>
    <w:p w14:paraId="513107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9）“老科技工作者科普活动保障经费”，该项目年初预算12万元。年度完成了参与四川省老科协引进的ESS科技教育协会“认助凉山乡村教育”项目，该项目资助35名困难高中生，发放助学金0.7万元；参与什邡市老科协推广的彩色花油菜试种，在5月参加的越西县召开的总结大会上，确定了后续推广由各县老科协搭桥，向县委县政府汇报，是否种植由县政府决定，州老科协后续将不再参与其中工作；2025年</w:t>
      </w:r>
      <w:bookmarkStart w:id="77" w:name="OLE_LINK3"/>
      <w:bookmarkStart w:id="78" w:name="OLE_LINK4"/>
      <w:r>
        <w:rPr>
          <w:rFonts w:hint="default" w:ascii="Times New Roman" w:hAnsi="Times New Roman" w:eastAsia="仿宋_GB2312" w:cs="Times New Roman"/>
          <w:b w:val="0"/>
          <w:bCs w:val="0"/>
          <w:kern w:val="2"/>
          <w:sz w:val="32"/>
          <w:szCs w:val="32"/>
          <w:lang w:val="en-US" w:eastAsia="zh-CN" w:bidi="ar-SA"/>
        </w:rPr>
        <w:t>举办了农业牧业林业，卫生，康养等培训共5次，参加群众300多人次；</w:t>
      </w:r>
      <w:bookmarkEnd w:id="77"/>
      <w:bookmarkEnd w:id="78"/>
      <w:r>
        <w:rPr>
          <w:rFonts w:hint="default" w:ascii="Times New Roman" w:hAnsi="Times New Roman" w:eastAsia="仿宋_GB2312" w:cs="Times New Roman"/>
          <w:b w:val="0"/>
          <w:bCs w:val="0"/>
          <w:kern w:val="2"/>
          <w:sz w:val="32"/>
          <w:szCs w:val="32"/>
          <w:lang w:val="en-US" w:eastAsia="zh-CN" w:bidi="ar-SA"/>
        </w:rPr>
        <w:t>2025年春节前夕，参与凉山州农业农村和科技行业党委及州老科协开展迎新春送温暖活动,1月24日，先后走访了郑文孝等老党员老专家；2025年3月，凉山州老科协组织召开八届六次理事会议，会议总结了凉山州老科协2024年工作，包括</w:t>
      </w:r>
      <w:r>
        <w:rPr>
          <w:rFonts w:hint="eastAsia" w:eastAsia="仿宋_GB2312" w:cs="Times New Roman"/>
          <w:b w:val="0"/>
          <w:bCs w:val="0"/>
          <w:kern w:val="2"/>
          <w:sz w:val="32"/>
          <w:szCs w:val="32"/>
          <w:lang w:val="en-US" w:eastAsia="zh-CN" w:bidi="ar-SA"/>
        </w:rPr>
        <w:t>巩固拓展脱贫攻坚成果同乡村振兴有效衔接</w:t>
      </w:r>
      <w:r>
        <w:rPr>
          <w:rFonts w:hint="default" w:ascii="Times New Roman" w:hAnsi="Times New Roman" w:eastAsia="仿宋_GB2312" w:cs="Times New Roman"/>
          <w:b w:val="0"/>
          <w:bCs w:val="0"/>
          <w:kern w:val="2"/>
          <w:sz w:val="32"/>
          <w:szCs w:val="32"/>
          <w:lang w:val="en-US" w:eastAsia="zh-CN" w:bidi="ar-SA"/>
        </w:rPr>
        <w:t>、强化组织建设、推进科技培训与科普活动、深化对外交流与合作等方面；</w:t>
      </w:r>
      <w:bookmarkStart w:id="79" w:name="OLE_LINK6"/>
      <w:r>
        <w:rPr>
          <w:rFonts w:hint="default" w:ascii="Times New Roman" w:hAnsi="Times New Roman" w:eastAsia="仿宋_GB2312" w:cs="Times New Roman"/>
          <w:b w:val="0"/>
          <w:bCs w:val="0"/>
          <w:kern w:val="2"/>
          <w:sz w:val="32"/>
          <w:szCs w:val="32"/>
          <w:lang w:val="en-US" w:eastAsia="zh-CN" w:bidi="ar-SA"/>
        </w:rPr>
        <w:t>参与四川省公益发展基金会的“致美四川.健康凉山”活动</w:t>
      </w:r>
      <w:bookmarkEnd w:id="79"/>
      <w:r>
        <w:rPr>
          <w:rFonts w:hint="default" w:ascii="Times New Roman" w:hAnsi="Times New Roman" w:eastAsia="仿宋_GB2312" w:cs="Times New Roman"/>
          <w:b w:val="0"/>
          <w:bCs w:val="0"/>
          <w:kern w:val="2"/>
          <w:sz w:val="32"/>
          <w:szCs w:val="32"/>
          <w:lang w:val="en-US" w:eastAsia="zh-CN" w:bidi="ar-SA"/>
        </w:rPr>
        <w:t>，在2025年3月17—21日，9月13—18日，项目组分别在会东县鲹鱼河镇中心小学，德昌县永郎镇中心小学，德昌县南山傈僳族乡中心小学，宁南县民族小学、西瑶镇小学，西昌市第七小学开展基础卫生知识、爱牙护牙、男女生理卫生健康、防艾禁毒、自我防护、科技启蒙等课程，活动总受益的学生共4138人，检查技术成本和捐赠物资价值总计约110万元；2025年5月30日，</w:t>
      </w:r>
      <w:bookmarkStart w:id="80" w:name="OLE_LINK9"/>
      <w:r>
        <w:rPr>
          <w:rFonts w:hint="default" w:ascii="Times New Roman" w:hAnsi="Times New Roman" w:eastAsia="仿宋_GB2312" w:cs="Times New Roman"/>
          <w:b w:val="0"/>
          <w:bCs w:val="0"/>
          <w:kern w:val="2"/>
          <w:sz w:val="32"/>
          <w:szCs w:val="32"/>
          <w:lang w:val="en-US" w:eastAsia="zh-CN" w:bidi="ar-SA"/>
        </w:rPr>
        <w:t>参与凉</w:t>
      </w:r>
      <w:bookmarkStart w:id="116" w:name="_GoBack"/>
      <w:bookmarkEnd w:id="116"/>
      <w:r>
        <w:rPr>
          <w:rFonts w:hint="default" w:ascii="Times New Roman" w:hAnsi="Times New Roman" w:eastAsia="仿宋_GB2312" w:cs="Times New Roman"/>
          <w:b w:val="0"/>
          <w:bCs w:val="0"/>
          <w:kern w:val="2"/>
          <w:sz w:val="32"/>
          <w:szCs w:val="32"/>
          <w:lang w:val="en-US" w:eastAsia="zh-CN" w:bidi="ar-SA"/>
        </w:rPr>
        <w:t>山州庆祝第九个“全国科技工作者日”活动</w:t>
      </w:r>
      <w:bookmarkEnd w:id="80"/>
      <w:r>
        <w:rPr>
          <w:rFonts w:hint="default" w:ascii="Times New Roman" w:hAnsi="Times New Roman" w:eastAsia="仿宋_GB2312" w:cs="Times New Roman"/>
          <w:b w:val="0"/>
          <w:bCs w:val="0"/>
          <w:kern w:val="2"/>
          <w:sz w:val="32"/>
          <w:szCs w:val="32"/>
          <w:lang w:val="en-US" w:eastAsia="zh-CN" w:bidi="ar-SA"/>
        </w:rPr>
        <w:t>，此次活动由凉山州科协牵头组织，州委组织部、宣传部等多部门共同主办，凉山州老科协</w:t>
      </w:r>
      <w:bookmarkStart w:id="81" w:name="OLE_LINK11"/>
      <w:r>
        <w:rPr>
          <w:rFonts w:hint="default" w:ascii="Times New Roman" w:hAnsi="Times New Roman" w:eastAsia="仿宋_GB2312" w:cs="Times New Roman"/>
          <w:b w:val="0"/>
          <w:bCs w:val="0"/>
          <w:kern w:val="2"/>
          <w:sz w:val="32"/>
          <w:szCs w:val="32"/>
          <w:lang w:val="en-US" w:eastAsia="zh-CN" w:bidi="ar-SA"/>
        </w:rPr>
        <w:t>组织了州一医院分会多位主任医师现场义诊</w:t>
      </w:r>
      <w:bookmarkEnd w:id="81"/>
      <w:r>
        <w:rPr>
          <w:rFonts w:hint="default" w:ascii="Times New Roman" w:hAnsi="Times New Roman" w:eastAsia="仿宋_GB2312" w:cs="Times New Roman"/>
          <w:b w:val="0"/>
          <w:bCs w:val="0"/>
          <w:kern w:val="2"/>
          <w:sz w:val="32"/>
          <w:szCs w:val="32"/>
          <w:lang w:val="en-US" w:eastAsia="zh-CN" w:bidi="ar-SA"/>
        </w:rPr>
        <w:t>，为群众测量血压、问诊把脉、解答疑问并提供医治建议，共为300多人次提供义诊和咨询服务，发放《发展新质生产力，科技创新作引领》等11种、2300多份科普材料。</w:t>
      </w:r>
      <w:r>
        <w:rPr>
          <w:rFonts w:hint="default" w:ascii="Times New Roman" w:hAnsi="Times New Roman" w:eastAsia="仿宋_GB2312" w:cs="Times New Roman"/>
          <w:b w:val="0"/>
          <w:bCs w:val="0"/>
          <w:kern w:val="2"/>
          <w:sz w:val="32"/>
          <w:szCs w:val="32"/>
          <w:lang w:val="zh-CN" w:eastAsia="zh-CN" w:bidi="ar-SA"/>
        </w:rPr>
        <w:t>故此项自评得分</w:t>
      </w:r>
      <w:r>
        <w:rPr>
          <w:rFonts w:hint="default" w:ascii="Times New Roman" w:hAnsi="Times New Roman" w:eastAsia="仿宋_GB2312" w:cs="Times New Roman"/>
          <w:b w:val="0"/>
          <w:bCs w:val="0"/>
          <w:kern w:val="2"/>
          <w:sz w:val="32"/>
          <w:szCs w:val="32"/>
          <w:lang w:val="en-US" w:eastAsia="zh-CN" w:bidi="ar-SA"/>
        </w:rPr>
        <w:t>9分。项目</w:t>
      </w:r>
      <w:r>
        <w:rPr>
          <w:rFonts w:hint="default" w:ascii="Times New Roman" w:hAnsi="Times New Roman" w:eastAsia="仿宋_GB2312" w:cs="Times New Roman"/>
          <w:b w:val="0"/>
          <w:bCs w:val="0"/>
          <w:kern w:val="2"/>
          <w:sz w:val="32"/>
          <w:szCs w:val="32"/>
          <w:lang w:val="zh-CN" w:eastAsia="zh-CN" w:bidi="ar-SA"/>
        </w:rPr>
        <w:t>预算执行率100%，执行情况良好。</w:t>
      </w:r>
      <w:r>
        <w:rPr>
          <w:rFonts w:hint="default" w:ascii="Times New Roman" w:hAnsi="Times New Roman" w:eastAsia="仿宋_GB2312" w:cs="Times New Roman"/>
          <w:b w:val="0"/>
          <w:bCs w:val="0"/>
          <w:kern w:val="2"/>
          <w:sz w:val="32"/>
          <w:szCs w:val="32"/>
          <w:lang w:val="en-US" w:eastAsia="zh-CN" w:bidi="ar-SA"/>
        </w:rPr>
        <w:t>由于受资金限制，工作开展深度和广度不够，短期内很难收到明显的作用和效果。因此自评扣2分、</w:t>
      </w:r>
      <w:r>
        <w:rPr>
          <w:rFonts w:hint="default" w:ascii="Times New Roman" w:hAnsi="Times New Roman" w:eastAsia="仿宋_GB2312" w:cs="Times New Roman"/>
          <w:b w:val="0"/>
          <w:bCs w:val="0"/>
          <w:kern w:val="2"/>
          <w:sz w:val="32"/>
          <w:szCs w:val="32"/>
          <w:lang w:val="zh-CN" w:eastAsia="zh-CN" w:bidi="ar-SA"/>
        </w:rPr>
        <w:t>得分</w:t>
      </w:r>
      <w:r>
        <w:rPr>
          <w:rFonts w:hint="default" w:ascii="Times New Roman" w:hAnsi="Times New Roman" w:eastAsia="仿宋_GB2312" w:cs="Times New Roman"/>
          <w:b w:val="0"/>
          <w:bCs w:val="0"/>
          <w:kern w:val="2"/>
          <w:sz w:val="32"/>
          <w:szCs w:val="32"/>
          <w:lang w:val="en-US" w:eastAsia="zh-CN" w:bidi="ar-SA"/>
        </w:rPr>
        <w:t>95分。</w:t>
      </w:r>
    </w:p>
    <w:p w14:paraId="7D8313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（10）人才发展专项。该项目年度预算70.25万元，其中①</w:t>
      </w:r>
      <w:r>
        <w:rPr>
          <w:rFonts w:hint="default" w:ascii="Times New Roman" w:hAnsi="Times New Roman" w:eastAsia="仿宋_GB2312" w:cs="Times New Roman"/>
          <w:b w:val="0"/>
          <w:bCs w:val="0"/>
          <w:kern w:val="2"/>
          <w:sz w:val="32"/>
          <w:szCs w:val="32"/>
          <w:lang w:val="zh-CN" w:eastAsia="zh-CN" w:bidi="ar-SA"/>
        </w:rPr>
        <w:t>“菁英计划”杰出科技工作者评选工作</w:t>
      </w:r>
      <w:r>
        <w:rPr>
          <w:rFonts w:hint="default" w:ascii="Times New Roman" w:hAnsi="Times New Roman" w:eastAsia="仿宋_GB2312" w:cs="Times New Roman"/>
          <w:b w:val="0"/>
          <w:bCs w:val="0"/>
          <w:kern w:val="2"/>
          <w:sz w:val="32"/>
          <w:szCs w:val="32"/>
          <w:lang w:val="en-US" w:eastAsia="zh-CN" w:bidi="ar-SA"/>
        </w:rPr>
        <w:t>50万元</w:t>
      </w:r>
      <w:r>
        <w:rPr>
          <w:rFonts w:hint="default" w:ascii="Times New Roman" w:hAnsi="Times New Roman" w:eastAsia="仿宋_GB2312" w:cs="Times New Roman"/>
          <w:b w:val="0"/>
          <w:bCs w:val="0"/>
          <w:kern w:val="2"/>
          <w:sz w:val="32"/>
          <w:szCs w:val="32"/>
          <w:lang w:val="zh-CN" w:eastAsia="zh-CN" w:bidi="ar-SA"/>
        </w:rPr>
        <w:t>。为深入实施人才强州战略，聚焦凉山州科技创新与高质量发展需求，充分发挥高层次科技人才引领支撑作用，凉山州科学技术协会牵头开展2024年“菁英计划”凉山杰出科技工作者项目遴选工作。历经规范申报、严格评审、公示审定等全流程环节，遴选出六位杰出科技工作者参加州委组织部终评，州委组织部最终确定</w:t>
      </w:r>
      <w:r>
        <w:rPr>
          <w:rFonts w:hint="default" w:ascii="Times New Roman" w:hAnsi="Times New Roman" w:eastAsia="仿宋_GB2312" w:cs="Times New Roman"/>
          <w:b w:val="0"/>
          <w:bCs w:val="0"/>
          <w:kern w:val="2"/>
          <w:sz w:val="32"/>
          <w:szCs w:val="32"/>
          <w:lang w:val="en-US" w:eastAsia="zh-CN" w:bidi="ar-SA"/>
        </w:rPr>
        <w:t>王友富、杨世忠、严光文、邹敏、唐廷茂等五位同志为凉山州“</w:t>
      </w:r>
      <w:r>
        <w:rPr>
          <w:rFonts w:hint="default" w:ascii="Times New Roman" w:hAnsi="Times New Roman" w:eastAsia="仿宋_GB2312" w:cs="Times New Roman"/>
          <w:b w:val="0"/>
          <w:bCs w:val="0"/>
          <w:kern w:val="2"/>
          <w:sz w:val="32"/>
          <w:szCs w:val="32"/>
          <w:lang w:val="zh-CN" w:eastAsia="zh-CN" w:bidi="ar-SA"/>
        </w:rPr>
        <w:t>菁英计划”凉山杰出科技工作者入选者。</w:t>
      </w:r>
      <w:r>
        <w:rPr>
          <w:rFonts w:hint="default" w:ascii="Times New Roman" w:hAnsi="Times New Roman" w:eastAsia="仿宋_GB2312" w:cs="Times New Roman"/>
          <w:b w:val="0"/>
          <w:bCs w:val="0"/>
          <w:kern w:val="2"/>
          <w:sz w:val="32"/>
          <w:szCs w:val="32"/>
          <w:lang w:val="en-US" w:eastAsia="zh-CN" w:bidi="ar-SA"/>
        </w:rPr>
        <w:t>②大学生顶岗实习专项预算20.25万元。</w:t>
      </w:r>
      <w:r>
        <w:rPr>
          <w:rFonts w:hint="default" w:ascii="Times New Roman" w:hAnsi="Times New Roman" w:eastAsia="仿宋_GB2312" w:cs="Times New Roman"/>
          <w:b w:val="0"/>
          <w:bCs w:val="0"/>
          <w:kern w:val="2"/>
          <w:sz w:val="32"/>
          <w:szCs w:val="32"/>
          <w:lang w:val="zh-CN" w:eastAsia="zh-CN" w:bidi="ar-SA"/>
        </w:rPr>
        <w:t>通过申请</w:t>
      </w:r>
      <w:r>
        <w:rPr>
          <w:rFonts w:hint="default" w:ascii="Times New Roman" w:hAnsi="Times New Roman" w:eastAsia="仿宋_GB2312" w:cs="Times New Roman"/>
          <w:b w:val="0"/>
          <w:bCs w:val="0"/>
          <w:kern w:val="2"/>
          <w:sz w:val="32"/>
          <w:szCs w:val="32"/>
          <w:lang w:val="en-US" w:eastAsia="zh-CN" w:bidi="ar-SA"/>
        </w:rPr>
        <w:t>一批急需紧缺专业大学生到本部门和州级科技小院等单位顶岗实习，充分发挥专业优势，聚焦部门及科技小院发展瓶颈，大力促进产学研用相融合，对拓宽凉山高素质专业化干部人才队伍建设来源渠道，加快建设特色优势产业人才集聚地，强化全州巩固脱贫成果、乡村全面振兴和高质量发展人才支撑具有重要意义。项目</w:t>
      </w:r>
      <w:r>
        <w:rPr>
          <w:rFonts w:hint="default" w:ascii="Times New Roman" w:hAnsi="Times New Roman" w:eastAsia="仿宋_GB2312" w:cs="Times New Roman"/>
          <w:b w:val="0"/>
          <w:bCs w:val="0"/>
          <w:kern w:val="2"/>
          <w:sz w:val="32"/>
          <w:szCs w:val="32"/>
          <w:lang w:val="zh-CN" w:eastAsia="zh-CN" w:bidi="ar-SA"/>
        </w:rPr>
        <w:t>预算执行率100%，执行情况良好。自评</w:t>
      </w:r>
      <w:r>
        <w:rPr>
          <w:rFonts w:hint="default" w:ascii="Times New Roman" w:hAnsi="Times New Roman" w:eastAsia="仿宋_GB2312" w:cs="Times New Roman"/>
          <w:b w:val="0"/>
          <w:bCs w:val="0"/>
          <w:kern w:val="2"/>
          <w:sz w:val="32"/>
          <w:szCs w:val="32"/>
          <w:lang w:val="en-US" w:eastAsia="zh-CN" w:bidi="ar-SA"/>
        </w:rPr>
        <w:t>得分100分。</w:t>
      </w:r>
    </w:p>
    <w:p w14:paraId="75960C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zh-CN" w:eastAsia="zh-CN" w:bidi="ar-SA"/>
        </w:rPr>
      </w:pPr>
      <w:r>
        <w:rPr>
          <w:rFonts w:hint="default" w:ascii="Times New Roman" w:hAnsi="Times New Roman" w:eastAsia="仿宋_GB2312" w:cs="Times New Roman"/>
          <w:b w:val="0"/>
          <w:bCs w:val="0"/>
          <w:kern w:val="2"/>
          <w:sz w:val="32"/>
          <w:szCs w:val="32"/>
          <w:lang w:val="en-US" w:eastAsia="zh-CN" w:bidi="ar-SA"/>
        </w:rPr>
        <w:t>（11）“青少年科技活动”。该项目年初预算2.8万元，</w:t>
      </w:r>
      <w:r>
        <w:rPr>
          <w:rFonts w:hint="default" w:ascii="Times New Roman" w:hAnsi="Times New Roman" w:eastAsia="仿宋_GB2312" w:cs="Times New Roman"/>
          <w:b w:val="0"/>
          <w:bCs w:val="0"/>
          <w:kern w:val="2"/>
          <w:sz w:val="32"/>
          <w:szCs w:val="32"/>
          <w:lang w:val="zh-CN" w:eastAsia="zh-CN" w:bidi="ar-SA"/>
        </w:rPr>
        <w:t>主要用于开展</w:t>
      </w:r>
      <w:r>
        <w:rPr>
          <w:rFonts w:hint="default" w:ascii="Times New Roman" w:hAnsi="Times New Roman" w:eastAsia="仿宋_GB2312" w:cs="Times New Roman"/>
          <w:b w:val="0"/>
          <w:bCs w:val="0"/>
          <w:kern w:val="2"/>
          <w:sz w:val="32"/>
          <w:szCs w:val="32"/>
          <w:lang w:val="en-US" w:eastAsia="zh-CN" w:bidi="ar-SA"/>
        </w:rPr>
        <w:t>青少年科技创新大赛、青少年科学调查体验活动、青少年科学影像节、高校科学营、科学家（精神）进校园等</w:t>
      </w:r>
      <w:r>
        <w:rPr>
          <w:rFonts w:hint="default" w:ascii="Times New Roman" w:hAnsi="Times New Roman" w:eastAsia="仿宋_GB2312" w:cs="Times New Roman"/>
          <w:b w:val="0"/>
          <w:bCs w:val="0"/>
          <w:kern w:val="2"/>
          <w:sz w:val="32"/>
          <w:szCs w:val="32"/>
          <w:lang w:val="zh-CN" w:eastAsia="zh-CN" w:bidi="ar-SA"/>
        </w:rPr>
        <w:t>各类青少年科技竞赛及科普活动补助经费。年度举办凉山州</w:t>
      </w:r>
      <w:r>
        <w:rPr>
          <w:rFonts w:hint="default" w:ascii="Times New Roman" w:hAnsi="Times New Roman" w:eastAsia="仿宋_GB2312" w:cs="Times New Roman"/>
          <w:b w:val="0"/>
          <w:bCs w:val="0"/>
          <w:kern w:val="2"/>
          <w:sz w:val="32"/>
          <w:szCs w:val="32"/>
          <w:lang w:val="en-US" w:eastAsia="zh-CN" w:bidi="ar-SA"/>
        </w:rPr>
        <w:t>青少年科技创新大赛、开展青少年科学调查体验活动、青少年科学影像节、高校科学营、科学家（精神）进校园等活动，多渠道多形式向广大青少年展示科技成就、传播科学知识，培养科学兴趣，激发科学梦想，培养造就具有科学潜质的青少年。</w:t>
      </w:r>
      <w:r>
        <w:rPr>
          <w:rFonts w:hint="default" w:ascii="Times New Roman" w:hAnsi="Times New Roman" w:eastAsia="仿宋_GB2312" w:cs="Times New Roman"/>
          <w:b w:val="0"/>
          <w:bCs w:val="0"/>
          <w:kern w:val="2"/>
          <w:sz w:val="32"/>
          <w:szCs w:val="32"/>
          <w:lang w:val="zh-CN" w:eastAsia="zh-CN" w:bidi="ar-SA"/>
        </w:rPr>
        <w:t>预算执行率100%，执行情况良好。但受</w:t>
      </w:r>
      <w:r>
        <w:rPr>
          <w:rFonts w:hint="default" w:ascii="Times New Roman" w:hAnsi="Times New Roman" w:eastAsia="仿宋_GB2312" w:cs="Times New Roman"/>
          <w:b w:val="0"/>
          <w:bCs w:val="0"/>
          <w:kern w:val="2"/>
          <w:sz w:val="32"/>
          <w:szCs w:val="32"/>
          <w:lang w:val="en-US" w:eastAsia="zh-CN" w:bidi="ar-SA"/>
        </w:rPr>
        <w:t>经费太少的限制，无法让更多的学校和学生受益，故</w:t>
      </w:r>
      <w:r>
        <w:rPr>
          <w:rFonts w:hint="default" w:ascii="Times New Roman" w:hAnsi="Times New Roman" w:eastAsia="仿宋_GB2312" w:cs="Times New Roman"/>
          <w:b w:val="0"/>
          <w:bCs w:val="0"/>
          <w:kern w:val="2"/>
          <w:sz w:val="32"/>
          <w:szCs w:val="32"/>
          <w:lang w:val="zh-CN" w:eastAsia="zh-CN" w:bidi="ar-SA"/>
        </w:rPr>
        <w:t>自评扣</w:t>
      </w:r>
      <w:r>
        <w:rPr>
          <w:rFonts w:hint="default" w:ascii="Times New Roman" w:hAnsi="Times New Roman" w:eastAsia="仿宋_GB2312" w:cs="Times New Roman"/>
          <w:b w:val="0"/>
          <w:bCs w:val="0"/>
          <w:kern w:val="2"/>
          <w:sz w:val="32"/>
          <w:szCs w:val="32"/>
          <w:lang w:val="en-US" w:eastAsia="zh-CN" w:bidi="ar-SA"/>
        </w:rPr>
        <w:t>3分、</w:t>
      </w:r>
      <w:r>
        <w:rPr>
          <w:rFonts w:hint="default" w:ascii="Times New Roman" w:hAnsi="Times New Roman" w:eastAsia="仿宋_GB2312" w:cs="Times New Roman"/>
          <w:b w:val="0"/>
          <w:bCs w:val="0"/>
          <w:kern w:val="2"/>
          <w:sz w:val="32"/>
          <w:szCs w:val="32"/>
          <w:lang w:val="zh-CN" w:eastAsia="zh-CN" w:bidi="ar-SA"/>
        </w:rPr>
        <w:t>得分</w:t>
      </w:r>
      <w:r>
        <w:rPr>
          <w:rFonts w:hint="default" w:ascii="Times New Roman" w:hAnsi="Times New Roman" w:eastAsia="仿宋_GB2312" w:cs="Times New Roman"/>
          <w:b w:val="0"/>
          <w:bCs w:val="0"/>
          <w:kern w:val="2"/>
          <w:sz w:val="32"/>
          <w:szCs w:val="32"/>
          <w:lang w:val="en-US" w:eastAsia="zh-CN" w:bidi="ar-SA"/>
        </w:rPr>
        <w:t>97</w:t>
      </w:r>
      <w:r>
        <w:rPr>
          <w:rFonts w:hint="default" w:ascii="Times New Roman" w:hAnsi="Times New Roman" w:eastAsia="仿宋_GB2312" w:cs="Times New Roman"/>
          <w:b w:val="0"/>
          <w:bCs w:val="0"/>
          <w:kern w:val="2"/>
          <w:sz w:val="32"/>
          <w:szCs w:val="32"/>
          <w:lang w:val="zh-CN" w:eastAsia="zh-CN" w:bidi="ar-SA"/>
        </w:rPr>
        <w:t>分。</w:t>
      </w:r>
    </w:p>
    <w:p w14:paraId="687DF9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zh-CN" w:eastAsia="zh-CN" w:bidi="ar-SA"/>
        </w:rPr>
        <w:t>（</w:t>
      </w:r>
      <w:r>
        <w:rPr>
          <w:rFonts w:hint="default" w:ascii="Times New Roman" w:hAnsi="Times New Roman" w:eastAsia="仿宋_GB2312" w:cs="Times New Roman"/>
          <w:b w:val="0"/>
          <w:bCs w:val="0"/>
          <w:kern w:val="2"/>
          <w:sz w:val="32"/>
          <w:szCs w:val="32"/>
          <w:lang w:val="en-US" w:eastAsia="zh-CN" w:bidi="ar-SA"/>
        </w:rPr>
        <w:t>12</w:t>
      </w:r>
      <w:r>
        <w:rPr>
          <w:rFonts w:hint="default" w:ascii="Times New Roman" w:hAnsi="Times New Roman" w:eastAsia="仿宋_GB2312" w:cs="Times New Roman"/>
          <w:b w:val="0"/>
          <w:bCs w:val="0"/>
          <w:kern w:val="2"/>
          <w:sz w:val="32"/>
          <w:szCs w:val="32"/>
          <w:lang w:val="zh-CN" w:eastAsia="zh-CN" w:bidi="ar-SA"/>
        </w:rPr>
        <w:t>）</w:t>
      </w:r>
      <w:r>
        <w:rPr>
          <w:rFonts w:hint="default" w:ascii="Times New Roman" w:hAnsi="Times New Roman" w:eastAsia="仿宋_GB2312" w:cs="Times New Roman"/>
          <w:b w:val="0"/>
          <w:bCs w:val="0"/>
          <w:kern w:val="2"/>
          <w:sz w:val="32"/>
          <w:szCs w:val="32"/>
          <w:lang w:val="en-US" w:eastAsia="zh-CN" w:bidi="ar-SA"/>
        </w:rPr>
        <w:t>凉山州主题文化公园建设项目。该项目年初财政一次性预算拨入60万元，前期调研选址、与相关部门协调，通过政府采购与第三方专业机构正式签订合同价58.8万元，余款1.2万元上缴财政。2025年9月在凉山民族体育场正式建成具有特色的凉山州第一个科普主题文化公园，并在此成功举办了200余人参加的开园仪式、科普月活动、“科创会·凉山行”低空经济+现代农业专场活动等。活动邀请17县市40余家企业展示特色农产品，现场完成交易4万元左右。公园将每天播放科普视频，定期更换展板科普内容，为群众提供一个科普场所。通过聚集人气、拉动周边商业、文旅及研学产业发展，提升群众科普素质，提升凉山城市品质。</w:t>
      </w:r>
    </w:p>
    <w:p w14:paraId="067D89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zh-CN" w:eastAsia="zh-CN" w:bidi="ar-SA"/>
        </w:rPr>
        <w:t>（</w:t>
      </w:r>
      <w:r>
        <w:rPr>
          <w:rFonts w:hint="default" w:ascii="Times New Roman" w:hAnsi="Times New Roman" w:eastAsia="仿宋_GB2312" w:cs="Times New Roman"/>
          <w:b w:val="0"/>
          <w:bCs w:val="0"/>
          <w:kern w:val="2"/>
          <w:sz w:val="32"/>
          <w:szCs w:val="32"/>
          <w:lang w:val="en-US" w:eastAsia="zh-CN" w:bidi="ar-SA"/>
        </w:rPr>
        <w:t>13</w:t>
      </w:r>
      <w:r>
        <w:rPr>
          <w:rFonts w:hint="default" w:ascii="Times New Roman" w:hAnsi="Times New Roman" w:eastAsia="仿宋_GB2312" w:cs="Times New Roman"/>
          <w:b w:val="0"/>
          <w:bCs w:val="0"/>
          <w:kern w:val="2"/>
          <w:sz w:val="32"/>
          <w:szCs w:val="32"/>
          <w:lang w:val="zh-CN" w:eastAsia="zh-CN" w:bidi="ar-SA"/>
        </w:rPr>
        <w:t>）</w:t>
      </w:r>
      <w:r>
        <w:rPr>
          <w:rFonts w:hint="default" w:ascii="Times New Roman" w:hAnsi="Times New Roman" w:eastAsia="仿宋_GB2312" w:cs="Times New Roman"/>
          <w:b w:val="0"/>
          <w:bCs w:val="0"/>
          <w:kern w:val="2"/>
          <w:sz w:val="32"/>
          <w:szCs w:val="32"/>
          <w:lang w:val="en-US" w:eastAsia="zh-CN" w:bidi="ar-SA"/>
        </w:rPr>
        <w:t>安宁河流域“水风光电+储能”科学高效发展战略对策研究。该项目年度预算10万元，主要用于充分发挥大桥水库对全流域的调节作用，初步估算，可新增调储容量16万千瓦左右，亦可新开发风光电资源 80--160万千瓦装机。如果争取全流域在电力系统中全面担负调储角色，可助力 460--920万瓦风光电的开发，可直接拉动投资50亿元以上。项目承接部门凉山州水利电力行业协会，项目实施主要集中在2026年度，故本年仅支出前期选点考察调研差旅费0.88万元，余款结转下年，按照项目任务书积极推进专款专用。</w:t>
      </w:r>
    </w:p>
    <w:p w14:paraId="63C67E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对于以上预算项目绩效自评，按照要求我部门选取了4个项目进行完整汇报。</w:t>
      </w:r>
      <w:bookmarkEnd w:id="73"/>
      <w:bookmarkStart w:id="82" w:name="OLE_LINK10"/>
      <w:r>
        <w:rPr>
          <w:rFonts w:hint="default" w:ascii="Times New Roman" w:hAnsi="Times New Roman" w:eastAsia="仿宋_GB2312" w:cs="Times New Roman"/>
          <w:b w:val="0"/>
          <w:bCs w:val="0"/>
          <w:kern w:val="2"/>
          <w:sz w:val="32"/>
          <w:szCs w:val="32"/>
          <w:lang w:val="zh-CN" w:eastAsia="zh-CN" w:bidi="ar-SA"/>
        </w:rPr>
        <w:t>（详见第四部分附件</w:t>
      </w:r>
      <w:r>
        <w:rPr>
          <w:rFonts w:hint="default" w:ascii="Times New Roman" w:hAnsi="Times New Roman" w:eastAsia="仿宋_GB2312" w:cs="Times New Roman"/>
          <w:b w:val="0"/>
          <w:bCs w:val="0"/>
          <w:kern w:val="2"/>
          <w:sz w:val="32"/>
          <w:szCs w:val="32"/>
          <w:lang w:val="en-US" w:eastAsia="zh-CN" w:bidi="ar-SA"/>
        </w:rPr>
        <w:t>2-1至2-4</w:t>
      </w:r>
      <w:r>
        <w:rPr>
          <w:rFonts w:hint="default" w:ascii="Times New Roman" w:hAnsi="Times New Roman" w:eastAsia="仿宋_GB2312" w:cs="Times New Roman"/>
          <w:b w:val="0"/>
          <w:bCs w:val="0"/>
          <w:kern w:val="2"/>
          <w:sz w:val="32"/>
          <w:szCs w:val="32"/>
          <w:lang w:val="zh-CN" w:eastAsia="zh-CN" w:bidi="ar-SA"/>
        </w:rPr>
        <w:t>）</w:t>
      </w:r>
      <w:bookmarkEnd w:id="82"/>
      <w:r>
        <w:rPr>
          <w:rFonts w:hint="default" w:ascii="Times New Roman" w:hAnsi="Times New Roman" w:eastAsia="仿宋_GB2312" w:cs="Times New Roman"/>
          <w:b w:val="0"/>
          <w:bCs w:val="0"/>
          <w:kern w:val="2"/>
          <w:sz w:val="32"/>
          <w:szCs w:val="32"/>
          <w:lang w:val="en-US" w:eastAsia="zh-CN" w:bidi="ar-SA"/>
        </w:rPr>
        <w:t>。</w:t>
      </w:r>
    </w:p>
    <w:p w14:paraId="5B42886C">
      <w:pPr>
        <w:pStyle w:val="5"/>
        <w:jc w:val="center"/>
        <w:rPr>
          <w:rStyle w:val="32"/>
          <w:rFonts w:hint="default" w:ascii="Times New Roman" w:hAnsi="Times New Roman" w:eastAsia="方正小标宋简体" w:cs="Times New Roman"/>
          <w:b w:val="0"/>
          <w:bCs w:val="0"/>
        </w:rPr>
      </w:pPr>
      <w:bookmarkStart w:id="83" w:name="_Toc28433"/>
      <w:r>
        <w:rPr>
          <w:rStyle w:val="32"/>
          <w:rFonts w:hint="default" w:ascii="Times New Roman" w:hAnsi="Times New Roman" w:eastAsia="方正小标宋简体" w:cs="Times New Roman"/>
          <w:b w:val="0"/>
          <w:bCs w:val="0"/>
        </w:rPr>
        <w:t>第三部分 名词解释</w:t>
      </w:r>
      <w:bookmarkEnd w:id="83"/>
    </w:p>
    <w:p w14:paraId="28E3FD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1.财政拨款收入：指单位从同级财政部门取得的财政预算资金。</w:t>
      </w:r>
    </w:p>
    <w:p w14:paraId="4A6FA9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2.年初结转和结余：指以前年度尚未完成、结转到本年按有关规定继续使用的资金。</w:t>
      </w:r>
    </w:p>
    <w:p w14:paraId="1791A7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3.科学技术支出（206类）应用研究（03款）其他应用研究支出（99项）:反映在基础研究成果上针对某一特定的实际目的或目标进行的创造性研究工作的支出。如对凉山州安宁河流域“水风光电+储能”进行科学高效发展战略对策研究等。</w:t>
      </w:r>
    </w:p>
    <w:p w14:paraId="2B608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 4.科学技术支出（206类）科学技术普及（07款）机构运行（01项）：反映科普事业单位基本支出，指反映本单位基本支出，包括为保障机构正常运转、完成日常工作任而发生的人员支出和公用支出。包括本机构正常运行的人员支出和公用支出。</w:t>
      </w:r>
    </w:p>
    <w:p w14:paraId="323FE1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5.科学技术支出（206类）科学技术普及（07款）科普活动（02项）：指开展科学普及与推广。如开展科普活动月、科技活动周、科技工作者活动日，宣传疾病防治、卫生健康、禁毒防艾、崇尚科学、反邪教等科学思想理念。</w:t>
      </w:r>
    </w:p>
    <w:p w14:paraId="26DAC6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6.科学技术支出（206类）科学技术普及（07款）青少年科技活动（03项）：指为增强青少年科技创新意识，培养创新兴趣和能力，针对青少年开展的各类科技活动。如青少年科技创新大赛、青少年科学研学活动等。</w:t>
      </w:r>
    </w:p>
    <w:p w14:paraId="2C33ED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7.科学技术支出（206类）科学技术普及（07款）学术交流活动（04项）：指为科普工作者搭建科普平台，进行学术探讨、交流，不断提升自身科学素质，提高科普能力。如组织发动学会（协会）和科技人员参与科学研究、决策论证、科技攻关；指导学会积极开展学会科普、学术交流、科技创新与服务、建家服务等。</w:t>
      </w:r>
    </w:p>
    <w:p w14:paraId="1BE8EB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8.科学技术支出（206类）科学技术普及（07款）其他科学技术普及支出（99项）：指其他多方面的科学技术普及支出。如科普阵地建设、科普示范创建、科技小院建设、举办科普培训、科普公共服务、科普资源开发、院士专家工作站建设等科普科服活动。</w:t>
      </w:r>
    </w:p>
    <w:p w14:paraId="160400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9.科学技术支出（206类）其他科学技术支出（99款）其他科学技术支出（99项）：指除上述之外的各种科学技术活动。如开展老科协工作、全民科学素质纲要调查工作、人才发展工作等。   </w:t>
      </w:r>
    </w:p>
    <w:p w14:paraId="7CB87A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10.社会保障和就业支出（208类）行政事业单位离退休（05款）行政单位离退休（01项）：指行政单位离休人员离休费和退休人员统筹外交通费补贴及生活补助等。</w:t>
      </w:r>
    </w:p>
    <w:p w14:paraId="175592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11.社会保障和就业支出（208类）行政事业单位离退休（05款）事业单位离退休（02项）：指事业单位退休人员生活补助等。</w:t>
      </w:r>
    </w:p>
    <w:p w14:paraId="2B546A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12.社会保障和就业支出（208类）行政事业单位离退休（05款）机关事业单位基本养老保险缴费支出（05项）：指国家实施养老保险制度后，财政拨款单位为在职职工缴纳的基本养老保险部分。</w:t>
      </w:r>
    </w:p>
    <w:p w14:paraId="477022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13.社会保障和就业支出（208类）行政事业单位离退休（05款）为机关事业单位职业年金缴费支出（06项）：为机关事业单位职工职业年金缴费支出。</w:t>
      </w:r>
    </w:p>
    <w:p w14:paraId="66F68A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14.卫生健康支出（210类）行政事业单位医疗（11款）行政单位医疗（01项）：指本单位财政拨款安排的行政（参公）单位人员基本医疗保险缴费。</w:t>
      </w:r>
    </w:p>
    <w:p w14:paraId="5EA696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15.卫生健康支出（210类）行政事业单位医疗（11款）事业单位医疗02（项）：指本单位财政拨款安排的事业单位人员基本医疗保险缴费。</w:t>
      </w:r>
    </w:p>
    <w:p w14:paraId="48ECD2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16.卫生健康支出（210类）行政事业单位医疗（11款）公务员医疗补充（03项）：指反映本单位财政部门集中安排的公务员医疗补助经费。</w:t>
      </w:r>
    </w:p>
    <w:p w14:paraId="1D3564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17.卫生健康支出（210类）行政事业单位医疗（11款）其他行政事业单位医疗（99项）：指反映本单位财政部门集中安排的行政事业单位除上述以外的其他用于医疗方面的保险缴费支出。如行政事业单位工伤保险、事业单位失业保险、行政事业退休人员医疗补助缴费等。</w:t>
      </w:r>
    </w:p>
    <w:p w14:paraId="053AA4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18.住房保障支出（221类）住房改革支出（02款）住房公积金（01项）：指反映行政事业单位按人力资源和社会保障部、财政部规定的基本工资和津补贴以及规定比例为职工缴纳的住房公积金支出。</w:t>
      </w:r>
    </w:p>
    <w:p w14:paraId="4B69C2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19.基本支出：指为保障机构正常运转、完成日常工作任务而发生的人员支出和公用支出。</w:t>
      </w:r>
    </w:p>
    <w:p w14:paraId="4B7FD5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20.项目支出：指在基本支出之外为完成特定行政任务和事业发展目标所发生的支出。 </w:t>
      </w:r>
    </w:p>
    <w:p w14:paraId="658AA9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21.“三公”经费：指部门用财政拨款安排的公务用车购置及运行费和公务接待费。其中公务用车购置及运行费反映单位公务用车车辆购置支出（含车辆购置税）及燃料费、维修费、过路过桥费、保险费等支出；公务接待费反映单位按规定开支的开展国内业务活动公务接待支出。</w:t>
      </w:r>
    </w:p>
    <w:p w14:paraId="3A493A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22.机关运行经费：为保障参照公务员法管理的行政单位运行用于购买货物和服务的各项资金，包括办公及印刷费、邮电费、差旅费、会议费、福利费、工会经费、日常维修（护）费、办公用房水电费、劳务费、委托业务费、公务用车运行维护费、其他交通费以及其他商品支出。</w:t>
      </w:r>
    </w:p>
    <w:p w14:paraId="5BB6E222">
      <w:pPr>
        <w:spacing w:line="600" w:lineRule="exact"/>
        <w:jc w:val="center"/>
        <w:outlineLvl w:val="9"/>
        <w:rPr>
          <w:rFonts w:hint="default" w:ascii="Times New Roman" w:hAnsi="Times New Roman" w:eastAsia="黑体" w:cs="Times New Roman"/>
          <w:color w:val="auto"/>
          <w:sz w:val="44"/>
          <w:szCs w:val="44"/>
        </w:rPr>
      </w:pPr>
    </w:p>
    <w:p w14:paraId="6CE47CD9">
      <w:pPr>
        <w:jc w:val="both"/>
        <w:rPr>
          <w:rFonts w:hint="default" w:ascii="Times New Roman" w:hAnsi="Times New Roman" w:eastAsia="黑体" w:cs="Times New Roman"/>
          <w:b w:val="0"/>
          <w:color w:val="auto"/>
          <w:sz w:val="52"/>
          <w:szCs w:val="52"/>
        </w:rPr>
      </w:pPr>
    </w:p>
    <w:p w14:paraId="59B0025B">
      <w:pPr>
        <w:jc w:val="center"/>
        <w:outlineLvl w:val="0"/>
        <w:rPr>
          <w:rFonts w:hint="default" w:ascii="Times New Roman" w:hAnsi="Times New Roman" w:eastAsia="黑体" w:cs="Times New Roman"/>
          <w:b w:val="0"/>
          <w:sz w:val="44"/>
          <w:szCs w:val="44"/>
        </w:rPr>
      </w:pPr>
      <w:bookmarkStart w:id="84" w:name="_Toc5153"/>
    </w:p>
    <w:p w14:paraId="23F72FE4">
      <w:pPr>
        <w:jc w:val="both"/>
        <w:outlineLvl w:val="0"/>
        <w:rPr>
          <w:rFonts w:hint="default" w:ascii="Times New Roman" w:hAnsi="Times New Roman" w:eastAsia="黑体" w:cs="Times New Roman"/>
          <w:b w:val="0"/>
          <w:sz w:val="44"/>
          <w:szCs w:val="44"/>
        </w:rPr>
      </w:pPr>
    </w:p>
    <w:p w14:paraId="69B7D4EF">
      <w:pPr>
        <w:jc w:val="center"/>
        <w:outlineLvl w:val="0"/>
        <w:rPr>
          <w:rFonts w:hint="default" w:ascii="Times New Roman" w:hAnsi="Times New Roman" w:eastAsia="方正小标宋简体" w:cs="Times New Roman"/>
          <w:b w:val="0"/>
          <w:sz w:val="44"/>
          <w:szCs w:val="44"/>
        </w:rPr>
      </w:pPr>
    </w:p>
    <w:p w14:paraId="3A34D9DC">
      <w:pPr>
        <w:jc w:val="center"/>
        <w:outlineLvl w:val="0"/>
        <w:rPr>
          <w:rFonts w:hint="default" w:ascii="Times New Roman" w:hAnsi="Times New Roman" w:eastAsia="方正小标宋简体" w:cs="Times New Roman"/>
          <w:b w:val="0"/>
          <w:sz w:val="44"/>
          <w:szCs w:val="44"/>
        </w:rPr>
      </w:pPr>
    </w:p>
    <w:p w14:paraId="0C22C0BA">
      <w:pPr>
        <w:jc w:val="center"/>
        <w:outlineLvl w:val="0"/>
        <w:rPr>
          <w:rFonts w:hint="default" w:ascii="Times New Roman" w:hAnsi="Times New Roman" w:eastAsia="方正小标宋简体" w:cs="Times New Roman"/>
          <w:b w:val="0"/>
          <w:sz w:val="44"/>
          <w:szCs w:val="44"/>
        </w:rPr>
      </w:pPr>
    </w:p>
    <w:p w14:paraId="7F5F4B9A">
      <w:pPr>
        <w:jc w:val="center"/>
        <w:outlineLvl w:val="0"/>
        <w:rPr>
          <w:rFonts w:hint="default" w:ascii="Times New Roman" w:hAnsi="Times New Roman" w:eastAsia="方正小标宋简体" w:cs="Times New Roman"/>
          <w:b w:val="0"/>
          <w:sz w:val="44"/>
          <w:szCs w:val="44"/>
        </w:rPr>
      </w:pPr>
    </w:p>
    <w:p w14:paraId="4542BA24">
      <w:pPr>
        <w:jc w:val="center"/>
        <w:outlineLvl w:val="0"/>
        <w:rPr>
          <w:rFonts w:hint="default" w:ascii="Times New Roman" w:hAnsi="Times New Roman" w:eastAsia="方正小标宋简体" w:cs="Times New Roman"/>
          <w:b w:val="0"/>
          <w:sz w:val="44"/>
          <w:szCs w:val="44"/>
        </w:rPr>
      </w:pPr>
    </w:p>
    <w:p w14:paraId="5B0D4EB3">
      <w:pPr>
        <w:jc w:val="center"/>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 w:val="0"/>
          <w:sz w:val="44"/>
          <w:szCs w:val="44"/>
        </w:rPr>
        <w:t>第四部分 附件</w:t>
      </w:r>
      <w:bookmarkEnd w:id="84"/>
    </w:p>
    <w:p w14:paraId="6D6BBECF">
      <w:pPr>
        <w:outlineLvl w:val="0"/>
        <w:rPr>
          <w:rFonts w:hint="default" w:ascii="Times New Roman" w:hAnsi="Times New Roman" w:eastAsia="黑体" w:cs="Times New Roman"/>
          <w:sz w:val="32"/>
          <w:szCs w:val="32"/>
          <w:lang w:val="en-US" w:eastAsia="zh-CN"/>
        </w:rPr>
      </w:pPr>
      <w:bookmarkStart w:id="85" w:name="_Toc18376"/>
      <w:r>
        <w:rPr>
          <w:rFonts w:hint="default" w:ascii="Times New Roman" w:hAnsi="Times New Roman" w:eastAsia="黑体" w:cs="Times New Roman"/>
          <w:sz w:val="32"/>
          <w:szCs w:val="32"/>
        </w:rPr>
        <w:t>附件1</w:t>
      </w:r>
      <w:r>
        <w:rPr>
          <w:rFonts w:hint="default" w:ascii="Times New Roman" w:hAnsi="Times New Roman" w:eastAsia="黑体" w:cs="Times New Roman"/>
          <w:sz w:val="32"/>
          <w:szCs w:val="32"/>
          <w:lang w:val="en-US" w:eastAsia="zh-CN"/>
        </w:rPr>
        <w:t>-1</w:t>
      </w:r>
      <w:bookmarkEnd w:id="85"/>
    </w:p>
    <w:p w14:paraId="3B58664D">
      <w:pPr>
        <w:ind w:firstLine="2640" w:firstLineChars="600"/>
        <w:jc w:val="both"/>
        <w:outlineLvl w:val="0"/>
        <w:rPr>
          <w:rFonts w:hint="default" w:ascii="Times New Roman" w:hAnsi="Times New Roman" w:eastAsia="方正小标宋简体" w:cs="Times New Roman"/>
          <w:b w:val="0"/>
          <w:bCs w:val="0"/>
          <w:color w:val="auto"/>
          <w:kern w:val="0"/>
          <w:sz w:val="44"/>
          <w:szCs w:val="44"/>
          <w:lang w:val="zh-CN" w:eastAsia="zh-CN" w:bidi="ar-SA"/>
        </w:rPr>
      </w:pPr>
      <w:r>
        <w:rPr>
          <w:rFonts w:hint="default" w:ascii="Times New Roman" w:hAnsi="Times New Roman" w:eastAsia="方正小标宋简体" w:cs="Times New Roman"/>
          <w:b w:val="0"/>
          <w:bCs w:val="0"/>
          <w:color w:val="auto"/>
          <w:kern w:val="0"/>
          <w:sz w:val="44"/>
          <w:szCs w:val="44"/>
          <w:lang w:val="zh-CN" w:eastAsia="zh-CN" w:bidi="ar-SA"/>
        </w:rPr>
        <w:t>凉山州科学技术协会</w:t>
      </w:r>
    </w:p>
    <w:p w14:paraId="2F3E084D">
      <w:pPr>
        <w:snapToGrid w:val="0"/>
        <w:spacing w:line="560" w:lineRule="exact"/>
        <w:ind w:firstLine="1320" w:firstLineChars="300"/>
        <w:jc w:val="both"/>
        <w:rPr>
          <w:rFonts w:hint="default" w:ascii="Times New Roman" w:hAnsi="Times New Roman" w:eastAsia="方正小标宋简体" w:cs="Times New Roman"/>
          <w:b w:val="0"/>
          <w:bCs w:val="0"/>
          <w:color w:val="auto"/>
          <w:kern w:val="0"/>
          <w:sz w:val="44"/>
          <w:szCs w:val="44"/>
          <w:lang w:val="zh-CN" w:eastAsia="zh-CN" w:bidi="ar-SA"/>
        </w:rPr>
      </w:pPr>
      <w:r>
        <w:rPr>
          <w:rFonts w:hint="default" w:ascii="Times New Roman" w:hAnsi="Times New Roman" w:eastAsia="方正小标宋简体" w:cs="Times New Roman"/>
          <w:b w:val="0"/>
          <w:bCs w:val="0"/>
          <w:color w:val="auto"/>
          <w:kern w:val="0"/>
          <w:sz w:val="44"/>
          <w:szCs w:val="44"/>
          <w:lang w:val="zh-CN" w:eastAsia="zh-CN" w:bidi="ar-SA"/>
        </w:rPr>
        <w:t>20</w:t>
      </w:r>
      <w:r>
        <w:rPr>
          <w:rFonts w:hint="default" w:ascii="Times New Roman" w:hAnsi="Times New Roman" w:eastAsia="方正小标宋简体" w:cs="Times New Roman"/>
          <w:b w:val="0"/>
          <w:bCs w:val="0"/>
          <w:color w:val="auto"/>
          <w:kern w:val="0"/>
          <w:sz w:val="44"/>
          <w:szCs w:val="44"/>
          <w:lang w:val="en-US" w:eastAsia="zh-CN" w:bidi="ar-SA"/>
        </w:rPr>
        <w:t>25</w:t>
      </w:r>
      <w:r>
        <w:rPr>
          <w:rFonts w:hint="default" w:ascii="Times New Roman" w:hAnsi="Times New Roman" w:eastAsia="方正小标宋简体" w:cs="Times New Roman"/>
          <w:b w:val="0"/>
          <w:bCs w:val="0"/>
          <w:color w:val="auto"/>
          <w:kern w:val="0"/>
          <w:sz w:val="44"/>
          <w:szCs w:val="44"/>
          <w:lang w:val="zh-CN" w:eastAsia="zh-CN" w:bidi="ar-SA"/>
        </w:rPr>
        <w:t>年整体支出绩效评价自评报告</w:t>
      </w:r>
    </w:p>
    <w:p w14:paraId="01A39985">
      <w:pPr>
        <w:snapToGrid w:val="0"/>
        <w:spacing w:line="560" w:lineRule="exact"/>
        <w:rPr>
          <w:rFonts w:hint="default" w:ascii="Times New Roman" w:hAnsi="Times New Roman" w:eastAsia="仿宋_GB2312" w:cs="Times New Roman"/>
          <w:color w:val="auto"/>
          <w:kern w:val="0"/>
          <w:sz w:val="32"/>
          <w:szCs w:val="32"/>
          <w:lang w:val="en-US" w:eastAsia="zh-CN" w:bidi="ar-SA"/>
        </w:rPr>
      </w:pPr>
    </w:p>
    <w:p w14:paraId="0406190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zh-CN" w:eastAsia="zh-CN" w:bidi="ar-SA"/>
        </w:rPr>
        <w:t>一、部门（单位）基本情况</w:t>
      </w:r>
    </w:p>
    <w:p w14:paraId="7E71E257">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en-US" w:eastAsia="zh-CN" w:bidi="ar-SA"/>
        </w:rPr>
        <w:t>（一）机构组成。</w:t>
      </w:r>
      <w:r>
        <w:rPr>
          <w:rFonts w:hint="default" w:ascii="Times New Roman" w:hAnsi="Times New Roman" w:eastAsia="仿宋_GB2312" w:cs="Times New Roman"/>
          <w:color w:val="auto"/>
          <w:kern w:val="0"/>
          <w:sz w:val="32"/>
          <w:szCs w:val="32"/>
          <w:lang w:val="en-US" w:eastAsia="zh-CN" w:bidi="ar-SA"/>
        </w:rPr>
        <w:t>凉山州科学技术协会属地（市）级全额拨款独立核算单位。其中参照公务员法管理的单位1个，下属二级事业单位青少年科技活动中心1个。单户录入，行政单位汇总独立核算单位1个，执行政府会计制度。本部门年度机构编制情况无变化。</w:t>
      </w:r>
    </w:p>
    <w:p w14:paraId="5B2A2B8F">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en-US" w:eastAsia="zh-CN" w:bidi="ar-SA"/>
        </w:rPr>
        <w:t>（二）机构职能。</w:t>
      </w:r>
      <w:r>
        <w:rPr>
          <w:rFonts w:hint="default" w:ascii="Times New Roman" w:hAnsi="Times New Roman" w:eastAsia="仿宋_GB2312" w:cs="Times New Roman"/>
          <w:color w:val="auto"/>
          <w:kern w:val="0"/>
          <w:sz w:val="32"/>
          <w:szCs w:val="32"/>
          <w:lang w:val="en-US" w:eastAsia="zh-CN" w:bidi="ar-SA"/>
        </w:rPr>
        <w:t>凉山州科学技术协会的职能一是开展学术交流，活跃学术思想，促进学科发展，推动决策的科学化和民主化；二是弘扬科学精神，普及科学技术知识，推广先进技术，开展青少年科技教育活动，提高全民族科学文化素质；三是维护科技工作者的合法权益，为科技团体和科技工作者服务，表彰和奖励优秀科技工作者，举荐人才。组织科技工作者参与科技政策、法规制定和政治协商、科学决策、民主工作。四是开展技术培训、技术咨询服务，进行咨询服务行业管理。推动科技成果向现实生产力的转化，接受委托承担项目评估，成果鉴定，专业技术职务评审等任务。五是开展国际民间科技交流活动，发展同国外的科学技术团体和科技工作者的友好交往。六是开展培训工作。七是对直属州级学会、协会、研究会进行管理，对县、市科协和基层组织进行业务指导。八是承担州委、州政府和省科协交办的其他事项。</w:t>
      </w:r>
    </w:p>
    <w:p w14:paraId="27C62EAF">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楷体_GB2312" w:cs="Times New Roman"/>
          <w:color w:val="auto"/>
          <w:kern w:val="0"/>
          <w:sz w:val="32"/>
          <w:szCs w:val="32"/>
          <w:lang w:val="zh-CN" w:eastAsia="zh-CN" w:bidi="ar-SA"/>
        </w:rPr>
      </w:pPr>
    </w:p>
    <w:p w14:paraId="4126C4F6">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（三）人员概况。</w:t>
      </w:r>
      <w:r>
        <w:rPr>
          <w:rFonts w:hint="default" w:ascii="Times New Roman" w:hAnsi="Times New Roman" w:eastAsia="仿宋_GB2312" w:cs="Times New Roman"/>
          <w:color w:val="auto"/>
          <w:kern w:val="0"/>
          <w:sz w:val="32"/>
          <w:szCs w:val="32"/>
          <w:lang w:val="en-US" w:eastAsia="zh-CN" w:bidi="ar-SA"/>
        </w:rPr>
        <w:t>凉山州科学技术协会经编办核定行政编制10人，行政工勤1个、事业编制6人。截至2025年末，上年末实有行政人员8人，本年度减少在职退休1人，故年末实有行政人员7人；上年末实有事业人员5人，本年无增减变动，故年末实有事业人员仍为5人；离休人员无变化为1人；上年末退休职工15人，本年增加退休职工1人，病故减少1人，故年末退休职工为15人。总计28人。</w:t>
      </w:r>
    </w:p>
    <w:p w14:paraId="4B93158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二、部门资金收支情况</w:t>
      </w:r>
    </w:p>
    <w:p w14:paraId="37F42CCB">
      <w:pPr>
        <w:widowControl/>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（一）收入情况。</w:t>
      </w:r>
      <w:r>
        <w:rPr>
          <w:rFonts w:hint="default" w:ascii="Times New Roman" w:hAnsi="Times New Roman" w:eastAsia="仿宋_GB2312" w:cs="Times New Roman"/>
          <w:color w:val="auto"/>
          <w:kern w:val="0"/>
          <w:sz w:val="32"/>
          <w:szCs w:val="32"/>
          <w:lang w:val="en-US" w:eastAsia="zh-CN" w:bidi="ar-SA"/>
        </w:rPr>
        <w:t xml:space="preserve">凉山州科学技术协会2025年年初预算收入753.32万元，其中基本支出拨入401.02万元，占当年拨入总额的53%；项目支出拨入352.3万元，占当年拨入总额的47%。年度决算报表收入1388.66元，其中基本支出拨入452.87万元，占当年拨入总额的32.6%；项目支出拨入935.79万元，占当年拨入总额的67.4%。    </w:t>
      </w:r>
    </w:p>
    <w:p w14:paraId="22C98FE3">
      <w:pPr>
        <w:widowControl/>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（二）支出情况。</w:t>
      </w:r>
      <w:r>
        <w:rPr>
          <w:rFonts w:hint="default" w:ascii="Times New Roman" w:hAnsi="Times New Roman" w:eastAsia="仿宋_GB2312" w:cs="Times New Roman"/>
          <w:color w:val="auto"/>
          <w:kern w:val="0"/>
          <w:sz w:val="32"/>
          <w:szCs w:val="32"/>
          <w:lang w:val="en-US" w:eastAsia="zh-CN" w:bidi="ar-SA"/>
        </w:rPr>
        <w:t>2025年决算报表支出情况显示，凉山州科学技术协会充分利用一般公共预算财政拨款1368.66万元,完成了⑴基本支出中的工资福利支出、对个人和家庭补助支出等人员经费支出409.23万元，公用经费主要用于保障部门正常运转日常办公、水电、邮电、差旅、公务用车运行维护费等支出43.64万元，以上基本支出合计452.87万元，占当年支出总额的33%。基本支出与去年同期比较有所减少，主要系减少行政职工退休1人和行政退休职工病故抚恤金等所致；⑵项目支出915.79万元，占当年支出总额的67%。为了完成省科协和州委州政府特定目标任务，围绕省科协重点工作天府科技云服务项目，开展科学技术普及、传播、科普阵地建设、学术交流、青少年科技创新活动、科普资源开发、全民科学素质提升、开展</w:t>
      </w:r>
      <w:r>
        <w:rPr>
          <w:rFonts w:hint="eastAsia" w:eastAsia="仿宋_GB2312" w:cs="Times New Roman"/>
          <w:color w:val="auto"/>
          <w:kern w:val="0"/>
          <w:sz w:val="32"/>
          <w:szCs w:val="32"/>
          <w:lang w:val="en-US" w:eastAsia="zh-CN" w:bidi="ar-SA"/>
        </w:rPr>
        <w:t>乡村振兴</w:t>
      </w:r>
      <w:r>
        <w:rPr>
          <w:rFonts w:hint="default" w:ascii="Times New Roman" w:hAnsi="Times New Roman" w:eastAsia="仿宋_GB2312" w:cs="Times New Roman"/>
          <w:color w:val="auto"/>
          <w:kern w:val="0"/>
          <w:sz w:val="32"/>
          <w:szCs w:val="32"/>
          <w:lang w:val="en-US" w:eastAsia="zh-CN" w:bidi="ar-SA"/>
        </w:rPr>
        <w:t>种养殖培训等项目支出。</w:t>
      </w:r>
      <w:bookmarkStart w:id="86" w:name="OLE_LINK16"/>
      <w:bookmarkStart w:id="87" w:name="OLE_LINK15"/>
      <w:bookmarkStart w:id="88" w:name="OLE_LINK17"/>
      <w:r>
        <w:rPr>
          <w:rFonts w:hint="default" w:ascii="Times New Roman" w:hAnsi="Times New Roman" w:eastAsia="仿宋_GB2312" w:cs="Times New Roman"/>
          <w:color w:val="auto"/>
          <w:kern w:val="0"/>
          <w:sz w:val="32"/>
          <w:szCs w:val="32"/>
          <w:lang w:val="en-US" w:eastAsia="zh-CN" w:bidi="ar-SA"/>
        </w:rPr>
        <w:t xml:space="preserve">项目支出与去年同期比较有较大增加，增幅103%，主要系增加州本级财政专项拨款科普主题文化公园建设58.8万元、人才发展专项“菁英成长计划”50万元和顶岗实习经费20.25万元等；省级科普专项资金280.16万元。  </w:t>
      </w:r>
    </w:p>
    <w:bookmarkEnd w:id="86"/>
    <w:bookmarkEnd w:id="87"/>
    <w:p w14:paraId="34916299">
      <w:pPr>
        <w:widowControl/>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（三）</w:t>
      </w:r>
      <w:r>
        <w:rPr>
          <w:rFonts w:hint="default" w:ascii="Times New Roman" w:hAnsi="Times New Roman" w:eastAsia="楷体_GB2312" w:cs="Times New Roman"/>
          <w:color w:val="auto"/>
          <w:kern w:val="0"/>
          <w:sz w:val="32"/>
          <w:szCs w:val="32"/>
          <w:lang w:val="en-US" w:eastAsia="zh-CN" w:bidi="ar-SA"/>
        </w:rPr>
        <w:t>结余分配和结转结余情况。</w:t>
      </w:r>
      <w:r>
        <w:rPr>
          <w:rFonts w:hint="default" w:ascii="Times New Roman" w:hAnsi="Times New Roman" w:eastAsia="仿宋_GB2312" w:cs="Times New Roman"/>
          <w:color w:val="auto"/>
          <w:kern w:val="0"/>
          <w:sz w:val="32"/>
          <w:szCs w:val="32"/>
          <w:lang w:val="en-US" w:eastAsia="zh-CN" w:bidi="ar-SA"/>
        </w:rPr>
        <w:t>凉山州科学技术协会2025年决算报表结转结余情况：2025年12月26日基本账户收到非财政拨款省科协拨“同心筑梦”“天府科普研学游”活动资助资金20万元，因单位已结账暂未支出，故结转2026年专款专用。</w:t>
      </w:r>
    </w:p>
    <w:bookmarkEnd w:id="88"/>
    <w:p w14:paraId="4220CA1A">
      <w:pPr>
        <w:widowControl/>
        <w:adjustRightInd w:val="0"/>
        <w:snapToGrid w:val="0"/>
        <w:spacing w:line="540" w:lineRule="exact"/>
        <w:ind w:firstLine="640" w:firstLineChars="200"/>
        <w:contextualSpacing/>
        <w:jc w:val="left"/>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三、部门预算绩效分析</w:t>
      </w:r>
    </w:p>
    <w:p w14:paraId="3BE615AE">
      <w:pPr>
        <w:adjustRightInd w:val="0"/>
        <w:snapToGrid w:val="0"/>
        <w:spacing w:line="540" w:lineRule="exact"/>
        <w:ind w:firstLine="640" w:firstLineChars="200"/>
        <w:contextualSpacing/>
        <w:jc w:val="left"/>
        <w:rPr>
          <w:rFonts w:hint="default" w:ascii="Times New Roman" w:hAnsi="Times New Roman" w:eastAsia="楷体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（一）部门预算总体绩效分析</w:t>
      </w:r>
    </w:p>
    <w:p w14:paraId="056BDCDC">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1.</w:t>
      </w:r>
      <w:r>
        <w:rPr>
          <w:rFonts w:hint="default" w:ascii="Times New Roman" w:hAnsi="Times New Roman" w:eastAsia="仿宋_GB2312" w:cs="Times New Roman"/>
          <w:color w:val="auto"/>
          <w:kern w:val="0"/>
          <w:sz w:val="32"/>
          <w:szCs w:val="32"/>
          <w:lang w:val="zh-CN" w:eastAsia="zh-CN" w:bidi="ar-SA"/>
        </w:rPr>
        <w:t>履职效能。</w:t>
      </w:r>
      <w:r>
        <w:rPr>
          <w:rFonts w:hint="default" w:ascii="Times New Roman" w:hAnsi="Times New Roman" w:eastAsia="仿宋_GB2312" w:cs="Times New Roman"/>
          <w:color w:val="auto"/>
          <w:kern w:val="0"/>
          <w:sz w:val="32"/>
          <w:szCs w:val="32"/>
          <w:lang w:val="en-US" w:eastAsia="zh-CN" w:bidi="ar-SA"/>
        </w:rPr>
        <w:t>凉山州科学技术协会承担着全州科普宣传、学术交流、弘扬科学精神、举荐人才及院士（专家）工作站建设、青少年科技教育实践、提高全民科学素质、并紧扣“以科技创新为主线、以项目建设为载体、以服务三农为导向”，全力推进科普建设、科技创新，推动科技成果向现实生产力转化，为全州各级政府决策和科技工作者服务，充分发挥科技资源优势，助力乡村振兴。2025年州科协以“天府科技云服务”项目为中心，科普宣传为重点开展项目工作任务。凉山州科学技术协会选取了7个</w:t>
      </w:r>
      <w:r>
        <w:rPr>
          <w:rFonts w:hint="default" w:ascii="Times New Roman" w:hAnsi="Times New Roman" w:eastAsia="仿宋_GB2312" w:cs="Times New Roman"/>
          <w:color w:val="auto"/>
          <w:kern w:val="0"/>
          <w:sz w:val="32"/>
          <w:szCs w:val="32"/>
          <w:lang w:val="zh-CN" w:eastAsia="zh-CN" w:bidi="ar-SA"/>
        </w:rPr>
        <w:t>核心职能目标进行分析</w:t>
      </w:r>
      <w:r>
        <w:rPr>
          <w:rFonts w:hint="default" w:ascii="Times New Roman" w:hAnsi="Times New Roman" w:eastAsia="仿宋_GB2312" w:cs="Times New Roman"/>
          <w:color w:val="auto"/>
          <w:kern w:val="0"/>
          <w:sz w:val="32"/>
          <w:szCs w:val="32"/>
          <w:lang w:val="en-US" w:eastAsia="zh-CN" w:bidi="ar-SA"/>
        </w:rPr>
        <w:t>,故自评得分15分。现</w:t>
      </w:r>
      <w:r>
        <w:rPr>
          <w:rFonts w:hint="default" w:ascii="Times New Roman" w:hAnsi="Times New Roman" w:eastAsia="仿宋_GB2312" w:cs="Times New Roman"/>
          <w:color w:val="auto"/>
          <w:kern w:val="0"/>
          <w:sz w:val="32"/>
          <w:szCs w:val="32"/>
          <w:lang w:val="zh-CN" w:eastAsia="zh-CN" w:bidi="ar-SA"/>
        </w:rPr>
        <w:t>对职能目标完成效果情况进行绩效汇报</w:t>
      </w:r>
      <w:r>
        <w:rPr>
          <w:rFonts w:hint="default" w:ascii="Times New Roman" w:hAnsi="Times New Roman" w:eastAsia="仿宋_GB2312" w:cs="Times New Roman"/>
          <w:color w:val="auto"/>
          <w:kern w:val="0"/>
          <w:sz w:val="32"/>
          <w:szCs w:val="32"/>
          <w:lang w:val="en-US" w:eastAsia="zh-CN" w:bidi="ar-SA"/>
        </w:rPr>
        <w:t>如下</w:t>
      </w:r>
      <w:r>
        <w:rPr>
          <w:rFonts w:hint="default" w:ascii="Times New Roman" w:hAnsi="Times New Roman" w:eastAsia="仿宋_GB2312" w:cs="Times New Roman"/>
          <w:color w:val="auto"/>
          <w:kern w:val="0"/>
          <w:sz w:val="32"/>
          <w:szCs w:val="32"/>
          <w:lang w:val="zh-CN" w:eastAsia="zh-CN" w:bidi="ar-SA"/>
        </w:rPr>
        <w:t>：</w:t>
      </w:r>
    </w:p>
    <w:p w14:paraId="1AF18DCE">
      <w:pPr>
        <w:adjustRightInd w:val="0"/>
        <w:snapToGrid w:val="0"/>
        <w:spacing w:line="578" w:lineRule="exact"/>
        <w:ind w:firstLine="480" w:firstLineChars="15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 xml:space="preserve"> “省级科普专项”：2025年省级科普专项资金上年结转248万元，</w:t>
      </w:r>
      <w:r>
        <w:rPr>
          <w:rFonts w:hint="default" w:ascii="Times New Roman" w:hAnsi="Times New Roman" w:eastAsia="仿宋_GB2312" w:cs="Times New Roman"/>
          <w:color w:val="auto"/>
          <w:kern w:val="0"/>
          <w:sz w:val="32"/>
          <w:szCs w:val="32"/>
          <w:lang w:val="zh-CN" w:eastAsia="zh-CN" w:bidi="ar-SA"/>
        </w:rPr>
        <w:t>由于2025年中央和省级财政科普专项资金</w:t>
      </w:r>
      <w:r>
        <w:rPr>
          <w:rFonts w:hint="default" w:ascii="Times New Roman" w:hAnsi="Times New Roman" w:eastAsia="仿宋_GB2312" w:cs="Times New Roman"/>
          <w:color w:val="auto"/>
          <w:kern w:val="0"/>
          <w:sz w:val="32"/>
          <w:szCs w:val="32"/>
          <w:lang w:val="en-US" w:eastAsia="zh-CN" w:bidi="ar-SA"/>
        </w:rPr>
        <w:t>分两批次拨入，第一批次提前下达184万元已于2025年2月13日分配到位，至评价时点州本级部门均已完成项目实施，并支付上年结转和第一批次拨入项目资金428.78万元、政府采购项目资金余款缴回财政3.22万元；第二批次69.52万元拨入时间较晚，2025年12月15日才下拨到位，此款仅支付“天府科普（研学）游”工作培训项目资金7.98万元，余款61.54万元结转下年专款专用。故</w:t>
      </w:r>
      <w:r>
        <w:rPr>
          <w:rFonts w:hint="eastAsia" w:eastAsia="仿宋_GB2312" w:cs="Times New Roman"/>
          <w:color w:val="auto"/>
          <w:kern w:val="0"/>
          <w:sz w:val="32"/>
          <w:szCs w:val="32"/>
          <w:lang w:val="en-US" w:eastAsia="zh-CN" w:bidi="ar-SA"/>
        </w:rPr>
        <w:t>截至</w:t>
      </w:r>
      <w:r>
        <w:rPr>
          <w:rFonts w:hint="default" w:ascii="Times New Roman" w:hAnsi="Times New Roman" w:eastAsia="仿宋_GB2312" w:cs="Times New Roman"/>
          <w:color w:val="auto"/>
          <w:kern w:val="0"/>
          <w:sz w:val="32"/>
          <w:szCs w:val="32"/>
          <w:lang w:val="en-US" w:eastAsia="zh-CN" w:bidi="ar-SA"/>
        </w:rPr>
        <w:t>2025年按照项目工作推进情况资金支出总计436.76万元，占该项总预算资金501.52万元的87%。具体支付情况：一是州本级按照项目工作推进情况完成委托第三方开展天府科技云平台运维、技术支撑、县市指导、业务培训；二是2025年9月完成全国科普月活动委托第三方会场布赛、宣传片剪辑、主持播音，开展了乡土人才大赛；三是完成了州农技协科普科服培训5期；四是开展“流动科技馆”大篷车巡展；五是完成“天府科普大咖说”科普纪录片、科学教育影片等制作；六是完成</w:t>
      </w:r>
      <w:r>
        <w:rPr>
          <w:rFonts w:hint="default" w:ascii="Times New Roman" w:hAnsi="Times New Roman" w:eastAsia="仿宋_GB2312" w:cs="Times New Roman"/>
          <w:color w:val="auto"/>
          <w:kern w:val="0"/>
          <w:sz w:val="32"/>
          <w:szCs w:val="32"/>
          <w:lang w:val="zh-CN" w:eastAsia="zh-CN" w:bidi="ar-SA"/>
        </w:rPr>
        <w:t>与融媒体等平台联合创作编辑《科普凉山》《科学发展期刊》进行科普宣传；七是完成</w:t>
      </w:r>
      <w:r>
        <w:rPr>
          <w:rFonts w:hint="default" w:ascii="Times New Roman" w:hAnsi="Times New Roman" w:eastAsia="仿宋_GB2312" w:cs="Times New Roman"/>
          <w:color w:val="auto"/>
          <w:kern w:val="0"/>
          <w:sz w:val="32"/>
          <w:szCs w:val="32"/>
          <w:lang w:val="en-US" w:eastAsia="zh-CN" w:bidi="ar-SA"/>
        </w:rPr>
        <w:t>科技工作者宣传片《追光2》和《追光3》、精品科普视频、特色科普（沙画动画）等制作播报投放；八是科普宣传品购置、科普主题文化公园开园仪式；九是开展校园科普 “启梦.智慧科普计划”活动，1000架次无人机科普秀表演2次、机器人表演5场。组织25名优秀科创少年（39届州赛一等奖获得者）赴成都开展以“科技启智，蜀韵探源”为主题的青少年科学研学活动。动员全州30余所中小学校师生围绕“能源资源”“生态环境”“安全健康”“创新创意”4个领域开展“2025年青少年科学调查体验活动”，提交活动成果报告260余份，州科协荣获省级“优秀组织奖”；十是开展了“天府科普（研学）游”培训；十一是完成宁南四川贝瑞科技小院建设等等，并实现预期的绩效目标。已支付专项资金符合国家财经制度，能严格执行财务管理制度及专项资金管理办法和审批程序规定。跨年度项目将严格按照项目备案书时间节点推进并于2026年12月全面完成各项任务。</w:t>
      </w:r>
    </w:p>
    <w:p w14:paraId="5892B568">
      <w:pPr>
        <w:spacing w:line="570" w:lineRule="exact"/>
        <w:ind w:firstLine="640" w:firstLineChars="200"/>
        <w:textAlignment w:val="baseline"/>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州级科普专项资金”：财政拨款198.93万元，共设立7个子项目，当年完成了⑴公共服务及基础设施运行保障项目。组织凉山州科协系统60名干部能力提升高校培训；视讯中心网络、科协网站、协同办公系统等运维的高效运转；开展科协项目业务会议、上级参会培训及县市科普调研宣传；完成档案建设、法律咨询服务工作；保障项目培训、业务会议耗材维修及业务报刊订购等。培训交流显著提升科协干部业务能力与综合素养；基础设施稳定运行，提升科协办公及科普工作效率；调研指导推动县市科普工作协同发展；档案建设实现科普相关资料规范化管理，法律咨询服务降低了项目管理过程中存在的法律风险；各项基础保障工作助力全州科普事业整体发展；⑵“天府科技云工程项目”，完成了平台用户规模稳步扩大。新增注册个人用户18262人、企事业单位73家，创建科创工作室117家，累计提供精准科普服务438万人次。常态化开展全员“保姆式”服务，落实“一单一策”精准服务2067项，促成合作183项，交易额达438万元；聚焦农业特色产业，通过平台发布“布拖马铃薯”“凉山乌洋芋”等技术需求23项，促成校企合作项目7个，打造典型示范案例72个，培育示范科创工作室62家；（3）学术交流学会科普，组织开展了2025年学会能力提升计划项目。严格按照内控制度，采购第三方专业机构州农技协承接实施学会能力提升项目，向州心理咨询师协会、州兰花协会、州营养学会、州应急安全科技协会、州心理学会、州生态摄像协会、州药学会、州水利电力行业协会、州农学会9个学会协会实施了学会能力提升计划。项目实现了打造重点学会协会，努力提升学术交流、科技创新与服务能力提升学会(协会)服务社会、自身发展的能力；⑷院士（专家）工作站及企事业科协组织建设。根据凉山州委人才工作领导小组办公室和凉山州科协《关于做好2025年州级院士（专家）工作站申报工作的通知》（凉科协〔2025〕21号）要求，经建站单位申报、初评、评审、公示等程序，最终确定凉山康利农业集团有限公司（凉山州院士工作站），凉山州惠乔生物科技有限责任公司、西昌思奇香食品有限责任公司、四川会理铅锌股份有限公司、德昌县志能稀土有限责任公司、凉山州中泽新技术开发有限责任公司为凉山州第九批院士（专家）工作站建站单位。每个院士工作站一次性给予建站资助资金30万元，每个专家工作站一次性给予建站资助资金20万元。项目实现了在我州搭建柔性引才平台，为企业引进高层次人才创新发展服务，引导和支持各县（市）围绕各地支柱产业和主导产业，促进技术公关和科技成果转移转化，助推凉山高质量发展；⑸青少年科技创新教育活动。一是遴选推荐15项创新作品参加省级赛事，其中5项斩获省级奖项，州科协荣获省级“优秀组织奖”。二是购置“人机共智”科普资源包，依托州内7台“科普大篷车”常态化开展“大篷车进校园”活动，利用流动科技馆第二轮巡展冕宁站、越西站巡展时机，组织中小学生前往参观体验，近距离接触前沿科技知识。三是组织开展“科学家（精神）进校园”活动。与州关工委联合组织中国科学院老科学家科普演讲团8位专家深入27所学校开展科普报告54场次，惠及1.3万余名青少年；“人民科学家”叶培建院士走进普格县附城小学开展“航天精神大讲堂”，刘勇研究员开展航天主题科普宣讲；与州教体局联合开展“追光—我心中的科学家”主题活动，组织青少年观看科学家纪录片、阅读科学家传记，开展科学家故事创作及演讲比赛，引导青少年树立崇尚科学、追求真理的远大志向，厚植爱国情怀与科学精神；⑹农技协科普宣传培训。通过实施</w:t>
      </w:r>
      <w:r>
        <w:rPr>
          <w:rFonts w:hint="default" w:ascii="Times New Roman" w:hAnsi="Times New Roman" w:eastAsia="仿宋_GB2312" w:cs="Times New Roman"/>
          <w:color w:val="auto"/>
          <w:kern w:val="0"/>
          <w:sz w:val="32"/>
          <w:szCs w:val="32"/>
          <w:lang w:val="zh-CN" w:eastAsia="zh-CN" w:bidi="ar-SA"/>
        </w:rPr>
        <w:t>科普宣传品印制发放、举办食用菌栽培冷藏技术、松露根苗仿生保育促繁技术、专业人员乡村振兴交流观摩、农技协高质量发展培训</w:t>
      </w:r>
      <w:r>
        <w:rPr>
          <w:rFonts w:hint="default" w:ascii="Times New Roman" w:hAnsi="Times New Roman" w:eastAsia="仿宋_GB2312" w:cs="Times New Roman"/>
          <w:color w:val="auto"/>
          <w:kern w:val="0"/>
          <w:sz w:val="32"/>
          <w:szCs w:val="32"/>
          <w:lang w:val="en-US" w:eastAsia="zh-CN" w:bidi="ar-SA"/>
        </w:rPr>
        <w:t>5期</w:t>
      </w:r>
      <w:r>
        <w:rPr>
          <w:rFonts w:hint="default" w:ascii="Times New Roman" w:hAnsi="Times New Roman" w:eastAsia="仿宋_GB2312" w:cs="Times New Roman"/>
          <w:color w:val="auto"/>
          <w:kern w:val="0"/>
          <w:sz w:val="32"/>
          <w:szCs w:val="32"/>
          <w:lang w:val="zh-CN" w:eastAsia="zh-CN" w:bidi="ar-SA"/>
        </w:rPr>
        <w:t>等活动，</w:t>
      </w:r>
      <w:r>
        <w:rPr>
          <w:rFonts w:hint="default" w:ascii="Times New Roman" w:hAnsi="Times New Roman" w:eastAsia="仿宋_GB2312" w:cs="Times New Roman"/>
          <w:color w:val="auto"/>
          <w:kern w:val="0"/>
          <w:sz w:val="32"/>
          <w:szCs w:val="32"/>
          <w:lang w:val="en-US" w:eastAsia="zh-CN" w:bidi="ar-SA"/>
        </w:rPr>
        <w:t>实现普及农技科技知识，推广先进技术，提高农户收入，提升乡村整体素质，实现助力全州乡村振兴；⑺乡村振兴科普宣传培训，驻村工作组积极推进昭觉巴尔村强村富民服务，协调资金4.48万元，捐赠鸡苗1400只，覆盖185户家庭，培训土鸡养殖技术；为102户群众发放价值3.9万元暖冬物资，为42人落实低保及医疗救助，切实服务基层民生；在村小学举办科普活动、协调2万元建成科普阵地，通过政策扶持、科普活动、技能培训等，提升村民科学素养，促进乡村产业发展和文明建设。</w:t>
      </w:r>
    </w:p>
    <w:p w14:paraId="1BC4AE8B">
      <w:pPr>
        <w:spacing w:line="570" w:lineRule="exact"/>
        <w:ind w:firstLine="640" w:firstLineChars="200"/>
        <w:textAlignment w:val="baseline"/>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科创中国·天府科技云服务大会”项目：财政拨款50万元。本次项目经政府采购落地，采购价为46.8万元，剩余3.2万元上缴财政。活动前期累计征集遴选75个优质科创项目参会，2025年9月以来，依托天府科技云平台建设专栏并开展长期宣介推广，在州内外进行全方位宣推。并建设“云展厅”，将项目上传到“云展厅”，不定期开展云上直播宣推。根据省科协安排，组织有关企业到成都、南充、绵阳等地参加市（州）交流活动以及省级专场活动。9月29日，</w:t>
      </w:r>
      <w:bookmarkStart w:id="89" w:name="OLE_LINK19"/>
      <w:r>
        <w:rPr>
          <w:rFonts w:hint="default" w:ascii="Times New Roman" w:hAnsi="Times New Roman" w:eastAsia="仿宋_GB2312" w:cs="Times New Roman"/>
          <w:color w:val="auto"/>
          <w:kern w:val="0"/>
          <w:sz w:val="32"/>
          <w:szCs w:val="32"/>
          <w:lang w:val="en-US" w:eastAsia="zh-CN" w:bidi="ar-SA"/>
        </w:rPr>
        <w:t>“科创会·凉山行”低空经济+现代农业专场活动在凉山州西昌市科普主题文化公园成功举办。活动现场汇聚低空经济领域企业、农业产业化龙头企业、科研机构40余家，围绕“技术落地、项目合作、产业升级”三大核心议题开展深度交流，凝聚发展共识。活动现场6个重点项目达成合作意向并签订协议，合作内容涵盖青年创业贷款支持、低空农业植保服务、山区农产品无人机物流配送、专项法律咨询服务等多个领域。活动特别设置科创沙龙访谈环节，邀请低空经济企业代表、农业企业负责人及行业专家，围绕“低空技术如何精准适配凉山山区农业场景”“现代农业智能化升级路径探索”“科技成果转化落地难点破解策略”等关键话题展开探讨。沙龙吸引多家本地企业主动表达合作意向，成功构建起“项目推介—现场交流—意向对接”的良性互动闭环。</w:t>
      </w:r>
    </w:p>
    <w:bookmarkEnd w:id="89"/>
    <w:p w14:paraId="494C19BA">
      <w:pPr>
        <w:spacing w:line="570" w:lineRule="exact"/>
        <w:ind w:firstLine="640" w:firstLineChars="200"/>
        <w:textAlignment w:val="baseline"/>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 xml:space="preserve">“天府科技云服务项目”：财政拨款25万元，年度完成了督促各县（市）科协推广宣介“天府科技云服务”平台，并为各县（市）科协提供业务指导和答疑。完成州本级工作任务，做好县（市）科协服务工作，及时沟通工作中的问题，总结每月工作。主动对接注册使用天府科技云平台的科技工作者（团队）、企事业单位、科研院所、高校院所等并建立常态联系，全程、精准、完整开展“一人一策”“一单一策”“保姆式”服务。做好培训及年底考核指标统计汇总。为进一步提升全州科服保姆的服务能力，2025年第三方为各县（市）保姆组织开展为期两天4场次的专题培训会，2场轮训会，并提供24小时在线答疑服务，保证其熟练平台规范和操作。 </w:t>
      </w:r>
    </w:p>
    <w:p w14:paraId="71D689AD">
      <w:pPr>
        <w:spacing w:line="570" w:lineRule="exact"/>
        <w:ind w:firstLine="640" w:firstLineChars="200"/>
        <w:textAlignment w:val="baseline"/>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“最美科技工作者活动”项目：财政年初预算拨款25万元， 2025年5月30日在西昌月城广场开展了以“矢志创新发展 建设科技强州”为主题的第九个“全国科技工作者日”活动。吸引了众多科技工作者、市民群众积极参与。科技工作者代表进行文艺表演，活动现场还进行了成果展示交流，设立院士（专家）工作站、科技小院、高新企业、特色农业科技成果展区，集中展示凉山州特色农产品、高新技术产品、科研创新成果；开展了科普惠民志愿服务，组织卫健、农业、应急等领域科技工作者，开展科普义诊、农技咨询、防灾减灾科普讲解、科学知识问答等互动活动；发放科普宣传资料、科技便民手册，现场解答群众生产生活中的科技难题，推动科学知识走进基层、服务群众开展科普进社区等活动。拍摄的最美科技工作者记录片《追光2》在庆祝活动和融媒体中心进行播放，充分展示科技工作者的风采，激发全州科技工作者的荣誉感、自豪感、责任感，为建设科技强国、科技强州目标而努力奋斗。</w:t>
      </w:r>
    </w:p>
    <w:p w14:paraId="03B59866">
      <w:pPr>
        <w:spacing w:line="600" w:lineRule="exact"/>
        <w:ind w:firstLine="480" w:firstLineChars="15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科普宣传活动业务经费”：财政预算拨款12万元，资金主要用于凉山州科学技术协会下属青少年科技活动中心开展2025年全州科技辅导员培训4.9万元、第40届凉山州青少年科技创新大赛初评工作专家评审费3.1万元、科普阅读活动智慧书柜建设费用4万元。2025年6月4日 - 7日，由州科协、州教体局联合主办的2025年青少年科技创新大赛暨科技辅导员能力提升培训班在西昌成功举行，对来自全州17县(市）的160余名科技教育工作、中小学校分管领导及科技教师进行了培训；第40届凉山州青少年科技创新大赛于2025年5月启动，经县（市）初赛，推荐到州大赛组委会作品1183项，大赛组委会办公室对征集到的所有作品进行了归类整理和资格审查，淘汰不符合参赛的作品157项，进入参评作品1026项。2025年10月31日-11月1日，由西昌学院、凉山州教科所的16名专家组成的评审委员会按照《凉山州青少年科技创新大赛章程》规定，对作品进行初评，确定入围终评项目759项；依托智慧书柜开展常年科普阅读活动，进一步提升了干部职工科学素质和业务能力。项目以举办青少年科技创新大赛为抓手，激发全州广大青少年的科学兴趣和想象力，培养其科学思维、创新精神和实践能力；开展科技辅导员能力提升培训，助力科学教师提升专业素养和辅导能力，当好青少年的科学引路人；在科协机关建智慧书柜，开展科普阅读活动，涵养阅读习惯，打造书香机关，提升了机关干部职工的科学素质。</w:t>
      </w:r>
    </w:p>
    <w:p w14:paraId="4A0CAE14">
      <w:pPr>
        <w:spacing w:line="570" w:lineRule="exact"/>
        <w:ind w:firstLine="640" w:firstLineChars="200"/>
        <w:textAlignment w:val="baseline"/>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科普主题文化公园建设项目：年初财政一次性预算拨入60万元，前期调研选址、与相关部门协调，通过政府采购与第三方专业机构正式签订合同价58.8万元，余款1.2万元上缴财政。2025年9月在凉山民族体育场正式建成具有特色的凉山州第一个科普主题文化公园，并在此成功举办了200余人参加的开园仪式、科普月活动、“科创会·凉山行”低空经济+现代农业专场活动等。活动邀请17县市40余家企业展示特色农产品，现场完成交易4万元左右。公园将每天播放科普视频，定期更换展板科普内容，为群众提供一个科普场所。通过聚集人气、拉动周边商业、文旅及研学产业发展，提升群众科普素质，提升凉山城市品质。</w:t>
      </w:r>
    </w:p>
    <w:p w14:paraId="40252270">
      <w:pPr>
        <w:adjustRightInd w:val="0"/>
        <w:snapToGrid w:val="0"/>
        <w:spacing w:line="540" w:lineRule="exact"/>
        <w:ind w:firstLine="480" w:firstLineChars="15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eastAsia="仿宋_GB2312" w:cs="Times New Roman"/>
          <w:color w:val="auto"/>
          <w:kern w:val="0"/>
          <w:sz w:val="32"/>
          <w:szCs w:val="32"/>
          <w:lang w:val="zh-CN" w:eastAsia="zh-CN" w:bidi="ar-SA"/>
        </w:rPr>
        <w:t>预算管理。</w:t>
      </w:r>
    </w:p>
    <w:p w14:paraId="6249B271">
      <w:pPr>
        <w:spacing w:line="56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我部门严格按照《</w:t>
      </w:r>
      <w:r>
        <w:rPr>
          <w:rFonts w:hint="eastAsia" w:eastAsia="仿宋_GB2312" w:cs="Times New Roman"/>
          <w:color w:val="auto"/>
          <w:kern w:val="0"/>
          <w:sz w:val="32"/>
          <w:szCs w:val="32"/>
          <w:lang w:val="en-US" w:eastAsia="zh-CN" w:bidi="ar-SA"/>
        </w:rPr>
        <w:t>《中华人民共和国预算法》</w:t>
      </w:r>
      <w:r>
        <w:rPr>
          <w:rFonts w:hint="default" w:ascii="Times New Roman" w:hAnsi="Times New Roman" w:eastAsia="仿宋_GB2312" w:cs="Times New Roman"/>
          <w:color w:val="auto"/>
          <w:kern w:val="0"/>
          <w:sz w:val="32"/>
          <w:szCs w:val="32"/>
          <w:lang w:val="en-US" w:eastAsia="zh-CN" w:bidi="ar-SA"/>
        </w:rPr>
        <w:t>》编制预算，严格执行政府会计制度，</w:t>
      </w:r>
      <w:r>
        <w:rPr>
          <w:rFonts w:hint="default" w:ascii="Times New Roman" w:hAnsi="Times New Roman" w:eastAsia="仿宋_GB2312" w:cs="Times New Roman"/>
          <w:color w:val="auto"/>
          <w:kern w:val="0"/>
          <w:sz w:val="32"/>
          <w:szCs w:val="32"/>
          <w:lang w:val="zh-CN" w:eastAsia="zh-CN" w:bidi="ar-SA"/>
        </w:rPr>
        <w:t>预算以“保障正常运转、支撑履职尽责、严控无效支出”为核心，</w:t>
      </w:r>
      <w:r>
        <w:rPr>
          <w:rFonts w:hint="default" w:ascii="Times New Roman" w:hAnsi="Times New Roman" w:eastAsia="仿宋_GB2312" w:cs="Times New Roman"/>
          <w:color w:val="auto"/>
          <w:kern w:val="0"/>
          <w:sz w:val="32"/>
          <w:szCs w:val="32"/>
          <w:lang w:val="en-US" w:eastAsia="zh-CN" w:bidi="ar-SA"/>
        </w:rPr>
        <w:t>坚持“资金跟着项目走、项目跟着决策走”的理念</w:t>
      </w:r>
      <w:r>
        <w:rPr>
          <w:rFonts w:hint="default" w:ascii="Times New Roman" w:hAnsi="Times New Roman" w:eastAsia="仿宋_GB2312" w:cs="Times New Roman"/>
          <w:color w:val="auto"/>
          <w:kern w:val="0"/>
          <w:sz w:val="32"/>
          <w:szCs w:val="32"/>
          <w:lang w:val="zh-CN" w:eastAsia="zh-CN" w:bidi="ar-SA"/>
        </w:rPr>
        <w:t>，完成预算编制、申报、执行全流程管理。</w:t>
      </w:r>
      <w:r>
        <w:rPr>
          <w:rFonts w:hint="default" w:ascii="Times New Roman" w:hAnsi="Times New Roman" w:eastAsia="仿宋_GB2312" w:cs="Times New Roman"/>
          <w:color w:val="auto"/>
          <w:kern w:val="0"/>
          <w:sz w:val="32"/>
          <w:szCs w:val="32"/>
          <w:lang w:val="en-US" w:eastAsia="zh-CN" w:bidi="ar-SA"/>
        </w:rPr>
        <w:t>2025年财政拨款总收支753.32万元全面完整编入当年年初预算，其中基本支出经费401.02万元、占年初预算的53.2%；项目支出经费352.3万元，占年初预算的46.8%。对以上项目绩效目标进行量化，以确保预算编制的科学、准确、合理、完整。编报了部门预算一上、二上，部门预算公开报表。年初在预算一体化中全覆盖的编制了项目支出绩效目标、部门整体支出绩效目标，全年资金应编尽编，预算编制较准确，并于财政规定的时间内在州政府网站和州科协网站进行公开公示，接受政府和社会的监督审查</w:t>
      </w:r>
      <w:r>
        <w:rPr>
          <w:rFonts w:hint="default" w:ascii="Times New Roman" w:hAnsi="Times New Roman" w:eastAsia="仿宋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en-US" w:eastAsia="zh-CN" w:bidi="ar-SA"/>
        </w:rPr>
        <w:t>年度执行财政预算拨款支出1368.66万元, 其中⑴基本支出452.87万元，占当年支出总额的33%。部门按照配置定额，逐人核定编制执行，并及时发放职工工资、按时缴交五险一金</w:t>
      </w:r>
      <w:r>
        <w:rPr>
          <w:rFonts w:hint="default" w:ascii="Times New Roman" w:hAnsi="Times New Roman" w:eastAsia="仿宋_GB2312" w:cs="Times New Roman"/>
          <w:color w:val="auto"/>
          <w:kern w:val="0"/>
          <w:sz w:val="32"/>
          <w:szCs w:val="32"/>
          <w:lang w:val="zh-CN" w:eastAsia="zh-CN" w:bidi="ar-SA"/>
        </w:rPr>
        <w:t>、发放对个人和家庭的补助等刚性人员经费支出</w:t>
      </w:r>
      <w:r>
        <w:rPr>
          <w:rFonts w:hint="default" w:ascii="Times New Roman" w:hAnsi="Times New Roman" w:eastAsia="仿宋_GB2312" w:cs="Times New Roman"/>
          <w:color w:val="auto"/>
          <w:kern w:val="0"/>
          <w:sz w:val="32"/>
          <w:szCs w:val="32"/>
          <w:lang w:val="en-US" w:eastAsia="zh-CN" w:bidi="ar-SA"/>
        </w:rPr>
        <w:t>409.23</w:t>
      </w:r>
      <w:r>
        <w:rPr>
          <w:rFonts w:hint="default" w:ascii="Times New Roman" w:hAnsi="Times New Roman" w:eastAsia="仿宋_GB2312" w:cs="Times New Roman"/>
          <w:color w:val="auto"/>
          <w:kern w:val="0"/>
          <w:sz w:val="32"/>
          <w:szCs w:val="32"/>
          <w:lang w:val="zh-CN" w:eastAsia="zh-CN" w:bidi="ar-SA"/>
        </w:rPr>
        <w:t>万元，支付日常公用经费支付</w:t>
      </w:r>
      <w:r>
        <w:rPr>
          <w:rFonts w:hint="default" w:ascii="Times New Roman" w:hAnsi="Times New Roman" w:eastAsia="仿宋_GB2312" w:cs="Times New Roman"/>
          <w:color w:val="auto"/>
          <w:kern w:val="0"/>
          <w:sz w:val="32"/>
          <w:szCs w:val="32"/>
          <w:lang w:val="en-US" w:eastAsia="zh-CN" w:bidi="ar-SA"/>
        </w:rPr>
        <w:t>43.64</w:t>
      </w:r>
      <w:r>
        <w:rPr>
          <w:rFonts w:hint="default" w:ascii="Times New Roman" w:hAnsi="Times New Roman" w:eastAsia="仿宋_GB2312" w:cs="Times New Roman"/>
          <w:color w:val="auto"/>
          <w:kern w:val="0"/>
          <w:sz w:val="32"/>
          <w:szCs w:val="32"/>
          <w:lang w:val="zh-CN" w:eastAsia="zh-CN" w:bidi="ar-SA"/>
        </w:rPr>
        <w:t>万元。保障了部门完成州委州政府布置的党建、森林防灭火防震减灾、巩固乡村振兴成果、文明城市创建等任务，保障了日常办公、业务推进及人员队伍稳定。</w:t>
      </w:r>
      <w:r>
        <w:rPr>
          <w:rFonts w:hint="default" w:ascii="Times New Roman" w:hAnsi="Times New Roman" w:eastAsia="仿宋_GB2312" w:cs="Times New Roman"/>
          <w:color w:val="auto"/>
          <w:kern w:val="0"/>
          <w:sz w:val="32"/>
          <w:szCs w:val="32"/>
          <w:lang w:val="en-US" w:eastAsia="zh-CN" w:bidi="ar-SA"/>
        </w:rPr>
        <w:t>⑵项目支出915.79万元，占当年支出总额的67%。项目围绕省、州重点项目</w:t>
      </w:r>
      <w:r>
        <w:rPr>
          <w:rFonts w:hint="default" w:ascii="Times New Roman" w:hAnsi="Times New Roman" w:eastAsia="仿宋_GB2312" w:cs="Times New Roman"/>
          <w:color w:val="auto"/>
          <w:kern w:val="0"/>
          <w:sz w:val="32"/>
          <w:szCs w:val="32"/>
          <w:lang w:val="zh-CN" w:eastAsia="zh-CN" w:bidi="ar-SA"/>
        </w:rPr>
        <w:t>进行合理分配，资金与项目任务精准匹配。</w:t>
      </w:r>
      <w:r>
        <w:rPr>
          <w:rFonts w:hint="default" w:ascii="Times New Roman" w:hAnsi="Times New Roman" w:eastAsia="仿宋_GB2312" w:cs="Times New Roman"/>
          <w:color w:val="auto"/>
          <w:kern w:val="0"/>
          <w:sz w:val="32"/>
          <w:szCs w:val="32"/>
          <w:lang w:val="en-US" w:eastAsia="zh-CN" w:bidi="ar-SA"/>
        </w:rPr>
        <w:t>2025</w:t>
      </w:r>
      <w:r>
        <w:rPr>
          <w:rFonts w:hint="default" w:ascii="Times New Roman" w:hAnsi="Times New Roman" w:eastAsia="仿宋_GB2312" w:cs="Times New Roman"/>
          <w:color w:val="auto"/>
          <w:kern w:val="0"/>
          <w:sz w:val="32"/>
          <w:szCs w:val="32"/>
          <w:lang w:val="zh-CN" w:eastAsia="zh-CN" w:bidi="ar-SA"/>
        </w:rPr>
        <w:t>年度完成了省科协及州委州政府重点项目任务，</w:t>
      </w:r>
      <w:r>
        <w:rPr>
          <w:rFonts w:hint="default" w:ascii="Times New Roman" w:hAnsi="Times New Roman" w:eastAsia="仿宋_GB2312" w:cs="Times New Roman"/>
          <w:color w:val="auto"/>
          <w:kern w:val="0"/>
          <w:sz w:val="32"/>
          <w:szCs w:val="32"/>
          <w:lang w:val="en-US" w:eastAsia="zh-CN" w:bidi="ar-SA"/>
        </w:rPr>
        <w:t>一是举办第九个“全国科技工作者日”庆祝活动，拍摄科技工作者宣传片《追光》系列共2部。二</w:t>
      </w:r>
      <w:r>
        <w:rPr>
          <w:rFonts w:hint="default" w:ascii="Times New Roman" w:hAnsi="Times New Roman" w:eastAsia="仿宋_GB2312" w:cs="Times New Roman"/>
          <w:color w:val="auto"/>
          <w:kern w:val="0"/>
          <w:sz w:val="32"/>
          <w:szCs w:val="32"/>
          <w:lang w:val="zh-CN" w:eastAsia="zh-CN" w:bidi="ar-SA"/>
        </w:rPr>
        <w:t>是大力推广</w:t>
      </w:r>
      <w:r>
        <w:rPr>
          <w:rFonts w:hint="default" w:ascii="Times New Roman" w:hAnsi="Times New Roman" w:eastAsia="仿宋_GB2312" w:cs="Times New Roman"/>
          <w:color w:val="auto"/>
          <w:kern w:val="0"/>
          <w:sz w:val="32"/>
          <w:szCs w:val="32"/>
          <w:lang w:val="en-US" w:eastAsia="zh-CN" w:bidi="ar-SA"/>
        </w:rPr>
        <w:t>“天府科技云”平台，全年注册用户1.8万余人，入驻企事业单位73家，精准科普服务424.5万人次；举办“科创会·凉山行”“低空经济+现代农业”专场活动，邀请企业代表47家，推介科创项目75个，签署项目合作协议6个。三是成功申报获批两个国家级科技小院。成功创建首家院士工作站，实现了全州院士工作站设立“零的突破”。四是制作动画沙画原创特色科普作品20部；拍摄科普纪录片、科教影片、专题视频各1部；摄制“科普大咖说”3部；通过农村电影公益放映在全州2379个村（社区）展播12000余场次，4部科普作品被“学习强国”采用，1部作品荣获全省首届“爱我国防”文化创意大赛数媒创意类银奖。科普演讲团8位老科学家深入我州4县27所学校开展科普报告54场次，“人民科学家”叶培建院士在普格附城小学开展“科普进校园”活动。五是我州今年新建科普主题文化公园1个，创建科普阵地16个、科技小院6个、院士（专家）工作站6个。举办第40届凉山州青少年科技创新大赛，现场组织群众观看由1000架次无人机组成的科普秀表演。深入开展“科普进彝区 大篷车进校园”活动，服务学生3万余人、群众2万余人。承办“科普百人团—科技教育乡村行”公益活动，举办中国流动科技馆金阳站巡展，让群众近距离感受科技魅力等等，并取得了一定的成绩。整体支出中我部门严格执行中央八项规定和省委省政府十项规定，厉行节约，</w:t>
      </w:r>
      <w:r>
        <w:rPr>
          <w:rFonts w:hint="default" w:ascii="Times New Roman" w:hAnsi="Times New Roman" w:eastAsia="仿宋_GB2312" w:cs="Times New Roman"/>
          <w:color w:val="auto"/>
          <w:kern w:val="0"/>
          <w:sz w:val="32"/>
          <w:szCs w:val="32"/>
          <w:lang w:val="zh-CN" w:eastAsia="zh-CN" w:bidi="ar-SA"/>
        </w:rPr>
        <w:t>“过紧日子”，</w:t>
      </w:r>
      <w:r>
        <w:rPr>
          <w:rFonts w:hint="default" w:ascii="Times New Roman" w:hAnsi="Times New Roman" w:eastAsia="仿宋_GB2312" w:cs="Times New Roman"/>
          <w:color w:val="auto"/>
          <w:kern w:val="0"/>
          <w:sz w:val="32"/>
          <w:szCs w:val="32"/>
          <w:lang w:val="en-US" w:eastAsia="zh-CN" w:bidi="ar-SA"/>
        </w:rPr>
        <w:t>严管严控一般性支出。全年“三公”经费中招待费支出仅0.16万元，公务用车运行维护费支出6.47万元，结余3.23万元上缴财政，无出国出境事项支出。培训费26.4万元，较上年有较大幅度增长，是因2024年未开展州科协系统培训，2025年经州委组织部批准，组织全州科协系统60人到高校进行干部能力提升培训。会议费3.62万元，较上年减少51%，是因严格执行为基层减负，整合会议内容精简会议次数；差旅费20.14万元，较上年增加15%，是因增加“天府科技云”和科技馆建设等调研事项；办节办展费0万元；办公设备购置费0.44万元，较上年增加100%，是因增加院士（专家）工作站等项目评审所用录音笔；信息网络及软件购置更新费0万元、课题经费0万元。整体预算年终结余20万元，系基本账户2025年12月26日收到省科协拨入“同心筑梦”“天府科普研学游”活动项目资助资金，我部门已关账故结转下年专款专用。项目支出前期较缓慢，2025年1-6月我单位预算支出执行进度40.62%，在州级预算单位中排名第142位；</w:t>
      </w:r>
      <w:r>
        <w:rPr>
          <w:rFonts w:hint="eastAsia" w:eastAsia="仿宋_GB2312" w:cs="Times New Roman"/>
          <w:color w:val="auto"/>
          <w:kern w:val="0"/>
          <w:sz w:val="32"/>
          <w:szCs w:val="32"/>
          <w:lang w:val="en-US" w:eastAsia="zh-CN" w:bidi="ar-SA"/>
        </w:rPr>
        <w:t>截至</w:t>
      </w:r>
      <w:r>
        <w:rPr>
          <w:rFonts w:hint="default" w:ascii="Times New Roman" w:hAnsi="Times New Roman" w:eastAsia="仿宋_GB2312" w:cs="Times New Roman"/>
          <w:color w:val="auto"/>
          <w:kern w:val="0"/>
          <w:sz w:val="32"/>
          <w:szCs w:val="32"/>
          <w:lang w:val="en-US" w:eastAsia="zh-CN" w:bidi="ar-SA"/>
        </w:rPr>
        <w:t>2025年11月，我单位预算支出执行进度90.26%，在州级预算单位中排名第17位。综上所述</w:t>
      </w:r>
      <w:r>
        <w:rPr>
          <w:rFonts w:hint="default" w:ascii="Times New Roman" w:hAnsi="Times New Roman" w:eastAsia="仿宋_GB2312" w:cs="Times New Roman"/>
          <w:color w:val="auto"/>
          <w:kern w:val="0"/>
          <w:sz w:val="32"/>
          <w:szCs w:val="32"/>
          <w:lang w:val="zh-CN" w:eastAsia="zh-CN" w:bidi="ar-SA"/>
        </w:rPr>
        <w:t>自评扣分</w:t>
      </w: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eastAsia="仿宋_GB2312" w:cs="Times New Roman"/>
          <w:color w:val="auto"/>
          <w:kern w:val="0"/>
          <w:sz w:val="32"/>
          <w:szCs w:val="32"/>
          <w:lang w:val="zh-CN" w:eastAsia="zh-CN" w:bidi="ar-SA"/>
        </w:rPr>
        <w:t>分、得分</w:t>
      </w:r>
      <w:r>
        <w:rPr>
          <w:rFonts w:hint="default" w:ascii="Times New Roman" w:hAnsi="Times New Roman" w:eastAsia="仿宋_GB2312" w:cs="Times New Roman"/>
          <w:color w:val="auto"/>
          <w:kern w:val="0"/>
          <w:sz w:val="32"/>
          <w:szCs w:val="32"/>
          <w:lang w:val="en-US" w:eastAsia="zh-CN" w:bidi="ar-SA"/>
        </w:rPr>
        <w:t>23分。</w:t>
      </w:r>
    </w:p>
    <w:p w14:paraId="40FF22B1">
      <w:pPr>
        <w:adjustRightInd w:val="0"/>
        <w:snapToGrid w:val="0"/>
        <w:spacing w:line="540" w:lineRule="exact"/>
        <w:ind w:firstLine="480" w:firstLineChars="15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w:t>
      </w:r>
      <w:r>
        <w:rPr>
          <w:rFonts w:hint="default" w:ascii="Times New Roman" w:hAnsi="Times New Roman" w:eastAsia="仿宋_GB2312" w:cs="Times New Roman"/>
          <w:color w:val="auto"/>
          <w:kern w:val="0"/>
          <w:sz w:val="32"/>
          <w:szCs w:val="32"/>
          <w:lang w:val="zh-CN" w:eastAsia="zh-CN" w:bidi="ar-SA"/>
        </w:rPr>
        <w:t>财务管理。</w:t>
      </w:r>
    </w:p>
    <w:p w14:paraId="1B08D397">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我部门根据《中华人民共和国</w:t>
      </w:r>
      <w:r>
        <w:rPr>
          <w:rFonts w:hint="eastAsia" w:eastAsia="仿宋_GB2312" w:cs="Times New Roman"/>
          <w:color w:val="auto"/>
          <w:kern w:val="0"/>
          <w:sz w:val="32"/>
          <w:szCs w:val="32"/>
          <w:lang w:val="en-US" w:eastAsia="zh-CN" w:bidi="ar-SA"/>
        </w:rPr>
        <w:t>《中华人民共和国预算法》</w:t>
      </w:r>
      <w:r>
        <w:rPr>
          <w:rFonts w:hint="default" w:ascii="Times New Roman" w:hAnsi="Times New Roman" w:eastAsia="仿宋_GB2312" w:cs="Times New Roman"/>
          <w:color w:val="auto"/>
          <w:kern w:val="0"/>
          <w:sz w:val="32"/>
          <w:szCs w:val="32"/>
          <w:lang w:val="en-US" w:eastAsia="zh-CN" w:bidi="ar-SA"/>
        </w:rPr>
        <w:t>》、《中华人民共和国会计法》、《中华人民共和国政府采购法》、《政府会计制度》以及《行政单位财务规则》等法律法规，建立健全本部门内部控制制度。此制度覆盖了预算编制、执行、监督全过程，明确了审批权限、支付过程和风险防控措施，确保了财务管理制度合法合规、账务执行结果公开透明。财务人员严格按照政府会计制度进行账务处理，对支出凭证的真实性、合规性、完整性进行严格审核，杜绝不合规票据报销、超范围支出等问题，做到账证相符、账账相符、账实相符，会计核算规范。同时，强化内控监督，在财务岗位设置上遵循不相容职务分离原则，科学配置会计、出纳人员，形成相互制约、相互监督工作机制。财务人员需持证上岗，定期接受专业培训，强化责任意识和风险防控能力。在资金使用方面，严格执行国库集中支付制度，强化预算刚性约束。大额资金支付须按“三重一大”程序报批，专项资金必须专款专用，并实施绩效跟踪管理。确保每一笔资金支出合规高效、有效防范财务风险，切实提升财政资金使用效益。故自评得分10分。</w:t>
      </w:r>
    </w:p>
    <w:p w14:paraId="75BB9401">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4.</w:t>
      </w:r>
      <w:r>
        <w:rPr>
          <w:rFonts w:hint="default" w:ascii="Times New Roman" w:hAnsi="Times New Roman" w:eastAsia="仿宋_GB2312" w:cs="Times New Roman"/>
          <w:color w:val="auto"/>
          <w:kern w:val="0"/>
          <w:sz w:val="32"/>
          <w:szCs w:val="32"/>
          <w:lang w:val="zh-CN" w:eastAsia="zh-CN" w:bidi="ar-SA"/>
        </w:rPr>
        <w:t>资产管理。</w:t>
      </w:r>
    </w:p>
    <w:p w14:paraId="36754810">
      <w:pPr>
        <w:spacing w:line="600"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zh-CN" w:eastAsia="zh-CN" w:bidi="ar-SA"/>
        </w:rPr>
        <w:t>资产管理是规范财政资金使用、提升公共服务效能的重要保障。我部门坚持“科学配置、使用高效、处置规范、监督有力”的管理原则。在资产配置环节，严格执行财政部门制定的配置标准，杜绝超标配置和重复购置；在使用环节，落实资产保管责任制，定期开展资产清查盘点，确保账实相符；在处置环节，规范资产报废、调拨审批程序。我们充分利用现有资产开展科学技术普及、宣传、</w:t>
      </w:r>
      <w:r>
        <w:rPr>
          <w:rFonts w:hint="default" w:ascii="Times New Roman" w:hAnsi="Times New Roman" w:eastAsia="仿宋_GB2312" w:cs="Times New Roman"/>
          <w:color w:val="auto"/>
          <w:kern w:val="0"/>
          <w:sz w:val="32"/>
          <w:szCs w:val="32"/>
          <w:lang w:val="en-US" w:eastAsia="zh-CN" w:bidi="ar-SA"/>
        </w:rPr>
        <w:t>资产入账及时、台账清晰，定期开展资产盘点，做到资产底数清、管理规范，资产使用效率较高，无资产闲置、浪费、流失等情况。年度因省科协重点项目天府科技云服务技术性用房维修改造增加房屋资产44.64万元、购置办公设备录音笔0.44万元,</w:t>
      </w:r>
      <w:r>
        <w:rPr>
          <w:rFonts w:hint="default" w:ascii="Times New Roman" w:hAnsi="Times New Roman" w:eastAsia="仿宋_GB2312" w:cs="Times New Roman"/>
          <w:color w:val="auto"/>
          <w:kern w:val="0"/>
          <w:sz w:val="32"/>
          <w:szCs w:val="32"/>
          <w:lang w:val="zh-CN" w:eastAsia="zh-CN" w:bidi="ar-SA"/>
        </w:rPr>
        <w:t>人均资产变化率为</w:t>
      </w:r>
      <w:r>
        <w:rPr>
          <w:rFonts w:hint="default" w:ascii="Times New Roman" w:hAnsi="Times New Roman" w:eastAsia="仿宋_GB2312" w:cs="Times New Roman"/>
          <w:color w:val="auto"/>
          <w:kern w:val="0"/>
          <w:sz w:val="32"/>
          <w:szCs w:val="32"/>
          <w:lang w:val="en-US" w:eastAsia="zh-CN" w:bidi="ar-SA"/>
        </w:rPr>
        <w:t>3</w:t>
      </w:r>
      <w:r>
        <w:rPr>
          <w:rFonts w:hint="default" w:ascii="Times New Roman" w:hAnsi="Times New Roman" w:eastAsia="仿宋_GB2312" w:cs="Times New Roman"/>
          <w:color w:val="auto"/>
          <w:kern w:val="0"/>
          <w:sz w:val="32"/>
          <w:szCs w:val="32"/>
          <w:lang w:val="zh-CN" w:eastAsia="zh-CN" w:bidi="ar-SA"/>
        </w:rPr>
        <w:t>%。此项自评</w:t>
      </w:r>
      <w:r>
        <w:rPr>
          <w:rFonts w:hint="default" w:ascii="Times New Roman" w:hAnsi="Times New Roman" w:eastAsia="仿宋_GB2312" w:cs="Times New Roman"/>
          <w:color w:val="auto"/>
          <w:kern w:val="0"/>
          <w:sz w:val="32"/>
          <w:szCs w:val="32"/>
          <w:lang w:val="en-US" w:eastAsia="zh-CN" w:bidi="ar-SA"/>
        </w:rPr>
        <w:t>得分9分。</w:t>
      </w:r>
    </w:p>
    <w:p w14:paraId="459F73FC">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5.</w:t>
      </w:r>
      <w:r>
        <w:rPr>
          <w:rFonts w:hint="default" w:ascii="Times New Roman" w:hAnsi="Times New Roman" w:eastAsia="仿宋_GB2312" w:cs="Times New Roman"/>
          <w:color w:val="auto"/>
          <w:kern w:val="0"/>
          <w:sz w:val="32"/>
          <w:szCs w:val="32"/>
          <w:lang w:val="zh-CN" w:eastAsia="zh-CN" w:bidi="ar-SA"/>
        </w:rPr>
        <w:t>采购管理。</w:t>
      </w:r>
    </w:p>
    <w:p w14:paraId="05588DCE">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zh-CN" w:eastAsia="zh-CN" w:bidi="ar-SA"/>
        </w:rPr>
        <w:t>我们严格执行《中华人民共和国政府采购法》、《中华人民共和国政府采购法实施条例》、《四川省政府集中采购目录及标准》，2025年度我部门政府采购九笔，共计金额</w:t>
      </w:r>
      <w:r>
        <w:rPr>
          <w:rFonts w:hint="default" w:ascii="Times New Roman" w:hAnsi="Times New Roman" w:eastAsia="仿宋_GB2312" w:cs="Times New Roman"/>
          <w:color w:val="auto"/>
          <w:kern w:val="0"/>
          <w:sz w:val="32"/>
          <w:szCs w:val="32"/>
          <w:lang w:val="en-US" w:eastAsia="zh-CN" w:bidi="ar-SA"/>
        </w:rPr>
        <w:t>290.12万元。其中“科创会”服务项目46.8万元、“全国科普月”暨乡土人才大赛服务项目41.18万元、拍摄科普纪录片和科学教育影片39.5万元、天府科技云服务项目68.2万元、凉山州科普主题文化公园建设项目58.8万元、制作特色科普作品（动画、沙画）31.6万元、</w:t>
      </w:r>
      <w:r>
        <w:rPr>
          <w:rFonts w:hint="default" w:ascii="Times New Roman" w:hAnsi="Times New Roman" w:eastAsia="仿宋_GB2312" w:cs="Times New Roman"/>
          <w:color w:val="auto"/>
          <w:kern w:val="0"/>
          <w:sz w:val="32"/>
          <w:szCs w:val="32"/>
          <w:lang w:val="zh-CN" w:eastAsia="zh-CN" w:bidi="ar-SA"/>
        </w:rPr>
        <w:t>公务车保险的采购</w:t>
      </w:r>
      <w:r>
        <w:rPr>
          <w:rFonts w:hint="default" w:ascii="Times New Roman" w:hAnsi="Times New Roman" w:eastAsia="仿宋_GB2312" w:cs="Times New Roman"/>
          <w:color w:val="auto"/>
          <w:kern w:val="0"/>
          <w:sz w:val="32"/>
          <w:szCs w:val="32"/>
          <w:lang w:val="en-US" w:eastAsia="zh-CN" w:bidi="ar-SA"/>
        </w:rPr>
        <w:t>0.67万元、公务用车油料购置2万元、公务用车维修1.37万元</w:t>
      </w:r>
      <w:r>
        <w:rPr>
          <w:rFonts w:hint="default" w:ascii="Times New Roman" w:hAnsi="Times New Roman" w:eastAsia="仿宋_GB2312" w:cs="Times New Roman"/>
          <w:color w:val="auto"/>
          <w:kern w:val="0"/>
          <w:sz w:val="32"/>
          <w:szCs w:val="32"/>
          <w:lang w:val="zh-CN" w:eastAsia="zh-CN" w:bidi="ar-SA"/>
        </w:rPr>
        <w:t>。均在政府采购定点供应商购买</w:t>
      </w:r>
      <w:r>
        <w:rPr>
          <w:rFonts w:hint="default" w:ascii="Times New Roman" w:hAnsi="Times New Roman" w:eastAsia="仿宋_GB2312" w:cs="Times New Roman"/>
          <w:color w:val="auto"/>
          <w:kern w:val="0"/>
          <w:sz w:val="32"/>
          <w:szCs w:val="32"/>
          <w:lang w:val="en-US" w:eastAsia="zh-CN" w:bidi="ar-SA"/>
        </w:rPr>
        <w:t>,除公务用车油料和保险外，其余均在中小企业采购服务，积极支持中小企业发展</w:t>
      </w:r>
      <w:r>
        <w:rPr>
          <w:rFonts w:hint="default" w:ascii="Times New Roman" w:hAnsi="Times New Roman" w:eastAsia="仿宋_GB2312" w:cs="Times New Roman"/>
          <w:color w:val="auto"/>
          <w:kern w:val="0"/>
          <w:sz w:val="32"/>
          <w:szCs w:val="32"/>
          <w:lang w:val="zh-CN" w:eastAsia="zh-CN" w:bidi="ar-SA"/>
        </w:rPr>
        <w:t>。年末，</w:t>
      </w:r>
      <w:r>
        <w:rPr>
          <w:rFonts w:hint="default" w:ascii="Times New Roman" w:hAnsi="Times New Roman" w:eastAsia="仿宋_GB2312" w:cs="Times New Roman"/>
          <w:color w:val="auto"/>
          <w:kern w:val="0"/>
          <w:sz w:val="32"/>
          <w:szCs w:val="32"/>
          <w:lang w:val="en-US" w:eastAsia="zh-CN" w:bidi="ar-SA"/>
        </w:rPr>
        <w:t>将政府采购结余资金全部上缴财政，政府采购执行率达99%。故自评得分6分。</w:t>
      </w:r>
    </w:p>
    <w:p w14:paraId="6A2FC206">
      <w:pPr>
        <w:adjustRightInd w:val="0"/>
        <w:snapToGrid w:val="0"/>
        <w:spacing w:line="540" w:lineRule="exact"/>
        <w:ind w:firstLine="640" w:firstLineChars="200"/>
        <w:contextualSpacing/>
        <w:jc w:val="left"/>
        <w:rPr>
          <w:rFonts w:hint="default" w:ascii="Times New Roman" w:hAnsi="Times New Roman" w:eastAsia="楷体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（二）部门预算项目绩效分析</w:t>
      </w:r>
    </w:p>
    <w:p w14:paraId="1530E636">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zh-CN" w:eastAsia="zh-CN" w:bidi="ar-SA"/>
        </w:rPr>
        <w:t>凉山州科学技术协会</w:t>
      </w:r>
      <w:r>
        <w:rPr>
          <w:rFonts w:hint="default" w:ascii="Times New Roman" w:hAnsi="Times New Roman" w:eastAsia="仿宋_GB2312" w:cs="Times New Roman"/>
          <w:color w:val="auto"/>
          <w:kern w:val="0"/>
          <w:sz w:val="32"/>
          <w:szCs w:val="32"/>
          <w:lang w:val="en-US" w:eastAsia="zh-CN" w:bidi="ar-SA"/>
        </w:rPr>
        <w:t>2025年</w:t>
      </w:r>
      <w:r>
        <w:rPr>
          <w:rFonts w:hint="default" w:ascii="Times New Roman" w:hAnsi="Times New Roman" w:eastAsia="仿宋_GB2312" w:cs="Times New Roman"/>
          <w:color w:val="auto"/>
          <w:kern w:val="0"/>
          <w:sz w:val="32"/>
          <w:szCs w:val="32"/>
          <w:lang w:val="zh-CN" w:eastAsia="zh-CN" w:bidi="ar-SA"/>
        </w:rPr>
        <w:t>预算项目共计</w:t>
      </w:r>
      <w:r>
        <w:rPr>
          <w:rFonts w:hint="default" w:ascii="Times New Roman" w:hAnsi="Times New Roman" w:eastAsia="仿宋_GB2312" w:cs="Times New Roman"/>
          <w:color w:val="auto"/>
          <w:kern w:val="0"/>
          <w:sz w:val="32"/>
          <w:szCs w:val="32"/>
          <w:lang w:val="en-US" w:eastAsia="zh-CN" w:bidi="ar-SA"/>
        </w:rPr>
        <w:t>14个，</w:t>
      </w:r>
      <w:r>
        <w:rPr>
          <w:rFonts w:hint="default" w:ascii="Times New Roman" w:hAnsi="Times New Roman" w:eastAsia="仿宋_GB2312" w:cs="Times New Roman"/>
          <w:color w:val="auto"/>
          <w:kern w:val="0"/>
          <w:sz w:val="32"/>
          <w:szCs w:val="32"/>
          <w:lang w:val="zh-CN" w:eastAsia="zh-CN" w:bidi="ar-SA"/>
        </w:rPr>
        <w:t>涉及预算总金额</w:t>
      </w:r>
      <w:r>
        <w:rPr>
          <w:rFonts w:hint="default" w:ascii="Times New Roman" w:hAnsi="Times New Roman" w:eastAsia="仿宋_GB2312" w:cs="Times New Roman"/>
          <w:color w:val="auto"/>
          <w:kern w:val="0"/>
          <w:sz w:val="32"/>
          <w:szCs w:val="32"/>
          <w:lang w:val="en-US" w:eastAsia="zh-CN" w:bidi="ar-SA"/>
        </w:rPr>
        <w:t>935.79万元。其中</w:t>
      </w:r>
      <w:r>
        <w:rPr>
          <w:rFonts w:hint="default" w:ascii="Times New Roman" w:hAnsi="Times New Roman" w:eastAsia="仿宋_GB2312" w:cs="Times New Roman"/>
          <w:color w:val="auto"/>
          <w:kern w:val="0"/>
          <w:sz w:val="32"/>
          <w:szCs w:val="32"/>
          <w:lang w:val="zh-CN" w:eastAsia="zh-CN" w:bidi="ar-SA"/>
        </w:rPr>
        <w:t>常年项目总数</w:t>
      </w:r>
      <w:r>
        <w:rPr>
          <w:rFonts w:hint="default" w:ascii="Times New Roman" w:hAnsi="Times New Roman" w:eastAsia="仿宋_GB2312" w:cs="Times New Roman"/>
          <w:color w:val="auto"/>
          <w:kern w:val="0"/>
          <w:sz w:val="32"/>
          <w:szCs w:val="32"/>
          <w:lang w:val="en-US" w:eastAsia="zh-CN" w:bidi="ar-SA"/>
        </w:rPr>
        <w:t>10</w:t>
      </w:r>
      <w:r>
        <w:rPr>
          <w:rFonts w:hint="default" w:ascii="Times New Roman" w:hAnsi="Times New Roman" w:eastAsia="仿宋_GB2312" w:cs="Times New Roman"/>
          <w:color w:val="auto"/>
          <w:kern w:val="0"/>
          <w:sz w:val="32"/>
          <w:szCs w:val="32"/>
          <w:lang w:val="zh-CN" w:eastAsia="zh-CN" w:bidi="ar-SA"/>
        </w:rPr>
        <w:t xml:space="preserve">个，涉及预算金额 </w:t>
      </w:r>
      <w:r>
        <w:rPr>
          <w:rFonts w:hint="default" w:ascii="Times New Roman" w:hAnsi="Times New Roman" w:eastAsia="仿宋_GB2312" w:cs="Times New Roman"/>
          <w:color w:val="auto"/>
          <w:kern w:val="0"/>
          <w:sz w:val="32"/>
          <w:szCs w:val="32"/>
          <w:lang w:val="en-US" w:eastAsia="zh-CN" w:bidi="ar-SA"/>
        </w:rPr>
        <w:t>785.86</w:t>
      </w:r>
      <w:r>
        <w:rPr>
          <w:rFonts w:hint="default" w:ascii="Times New Roman" w:hAnsi="Times New Roman" w:eastAsia="仿宋_GB2312" w:cs="Times New Roman"/>
          <w:color w:val="auto"/>
          <w:kern w:val="0"/>
          <w:sz w:val="32"/>
          <w:szCs w:val="32"/>
          <w:lang w:val="zh-CN" w:eastAsia="zh-CN" w:bidi="ar-SA"/>
        </w:rPr>
        <w:t>万元，1—12月预算执行总体进度为</w:t>
      </w:r>
      <w:r>
        <w:rPr>
          <w:rFonts w:hint="default" w:ascii="Times New Roman" w:hAnsi="Times New Roman" w:eastAsia="仿宋_GB2312" w:cs="Times New Roman"/>
          <w:color w:val="auto"/>
          <w:kern w:val="0"/>
          <w:sz w:val="32"/>
          <w:szCs w:val="32"/>
          <w:lang w:val="en-US" w:eastAsia="zh-CN" w:bidi="ar-SA"/>
        </w:rPr>
        <w:t>100</w:t>
      </w:r>
      <w:r>
        <w:rPr>
          <w:rFonts w:hint="default" w:ascii="Times New Roman" w:hAnsi="Times New Roman" w:eastAsia="仿宋_GB2312" w:cs="Times New Roman"/>
          <w:color w:val="auto"/>
          <w:kern w:val="0"/>
          <w:sz w:val="32"/>
          <w:szCs w:val="32"/>
          <w:lang w:val="zh-CN" w:eastAsia="zh-CN" w:bidi="ar-SA"/>
        </w:rPr>
        <w:t>%，其中：预算结余率大于</w:t>
      </w:r>
      <w:r>
        <w:rPr>
          <w:rFonts w:hint="default" w:ascii="Times New Roman" w:hAnsi="Times New Roman" w:eastAsia="仿宋_GB2312" w:cs="Times New Roman"/>
          <w:color w:val="auto"/>
          <w:kern w:val="0"/>
          <w:sz w:val="32"/>
          <w:szCs w:val="32"/>
          <w:lang w:val="en-US" w:eastAsia="zh-CN" w:bidi="ar-SA"/>
        </w:rPr>
        <w:t>10%</w:t>
      </w:r>
      <w:r>
        <w:rPr>
          <w:rFonts w:hint="default" w:ascii="Times New Roman" w:hAnsi="Times New Roman" w:eastAsia="仿宋_GB2312" w:cs="Times New Roman"/>
          <w:color w:val="auto"/>
          <w:kern w:val="0"/>
          <w:sz w:val="32"/>
          <w:szCs w:val="32"/>
          <w:lang w:val="zh-CN" w:eastAsia="zh-CN" w:bidi="ar-SA"/>
        </w:rPr>
        <w:t>的项目共计</w:t>
      </w:r>
      <w:r>
        <w:rPr>
          <w:rFonts w:hint="default" w:ascii="Times New Roman" w:hAnsi="Times New Roman" w:eastAsia="仿宋_GB2312" w:cs="Times New Roman"/>
          <w:color w:val="auto"/>
          <w:kern w:val="0"/>
          <w:sz w:val="32"/>
          <w:szCs w:val="32"/>
          <w:lang w:val="en-US" w:eastAsia="zh-CN" w:bidi="ar-SA"/>
        </w:rPr>
        <w:t>0</w:t>
      </w:r>
      <w:r>
        <w:rPr>
          <w:rFonts w:hint="default" w:ascii="Times New Roman" w:hAnsi="Times New Roman" w:eastAsia="仿宋_GB2312" w:cs="Times New Roman"/>
          <w:color w:val="auto"/>
          <w:kern w:val="0"/>
          <w:sz w:val="32"/>
          <w:szCs w:val="32"/>
          <w:lang w:val="zh-CN" w:eastAsia="zh-CN" w:bidi="ar-SA"/>
        </w:rPr>
        <w:t>个；</w:t>
      </w:r>
      <w:r>
        <w:rPr>
          <w:rFonts w:hint="default" w:ascii="Times New Roman" w:hAnsi="Times New Roman" w:eastAsia="仿宋_GB2312" w:cs="Times New Roman"/>
          <w:color w:val="auto"/>
          <w:kern w:val="0"/>
          <w:sz w:val="32"/>
          <w:szCs w:val="32"/>
          <w:lang w:val="en-US" w:eastAsia="zh-CN" w:bidi="ar-SA"/>
        </w:rPr>
        <w:t>阶段（含一次性）</w:t>
      </w:r>
      <w:r>
        <w:rPr>
          <w:rFonts w:hint="default" w:ascii="Times New Roman" w:hAnsi="Times New Roman" w:eastAsia="仿宋_GB2312" w:cs="Times New Roman"/>
          <w:color w:val="auto"/>
          <w:kern w:val="0"/>
          <w:sz w:val="32"/>
          <w:szCs w:val="32"/>
          <w:lang w:val="zh-CN" w:eastAsia="zh-CN" w:bidi="ar-SA"/>
        </w:rPr>
        <w:t>项目总数</w:t>
      </w:r>
      <w:r>
        <w:rPr>
          <w:rFonts w:hint="default" w:ascii="Times New Roman" w:hAnsi="Times New Roman" w:eastAsia="仿宋_GB2312" w:cs="Times New Roman"/>
          <w:color w:val="auto"/>
          <w:kern w:val="0"/>
          <w:sz w:val="32"/>
          <w:szCs w:val="32"/>
          <w:lang w:val="en-US" w:eastAsia="zh-CN" w:bidi="ar-SA"/>
        </w:rPr>
        <w:t>4</w:t>
      </w:r>
      <w:r>
        <w:rPr>
          <w:rFonts w:hint="default" w:ascii="Times New Roman" w:hAnsi="Times New Roman" w:eastAsia="仿宋_GB2312" w:cs="Times New Roman"/>
          <w:color w:val="auto"/>
          <w:kern w:val="0"/>
          <w:sz w:val="32"/>
          <w:szCs w:val="32"/>
          <w:lang w:val="zh-CN" w:eastAsia="zh-CN" w:bidi="ar-SA"/>
        </w:rPr>
        <w:t>个，涉及预算金额</w:t>
      </w:r>
      <w:r>
        <w:rPr>
          <w:rFonts w:hint="default" w:ascii="Times New Roman" w:hAnsi="Times New Roman" w:eastAsia="仿宋_GB2312" w:cs="Times New Roman"/>
          <w:color w:val="auto"/>
          <w:kern w:val="0"/>
          <w:sz w:val="32"/>
          <w:szCs w:val="32"/>
          <w:lang w:val="en-US" w:eastAsia="zh-CN" w:bidi="ar-SA"/>
        </w:rPr>
        <w:t>149.93</w:t>
      </w:r>
      <w:r>
        <w:rPr>
          <w:rFonts w:hint="default" w:ascii="Times New Roman" w:hAnsi="Times New Roman" w:eastAsia="仿宋_GB2312" w:cs="Times New Roman"/>
          <w:color w:val="auto"/>
          <w:kern w:val="0"/>
          <w:sz w:val="32"/>
          <w:szCs w:val="32"/>
          <w:lang w:val="zh-CN" w:eastAsia="zh-CN" w:bidi="ar-SA"/>
        </w:rPr>
        <w:t>万元，其中：因基本账户</w:t>
      </w:r>
      <w:r>
        <w:rPr>
          <w:rFonts w:hint="default" w:ascii="Times New Roman" w:hAnsi="Times New Roman" w:eastAsia="仿宋_GB2312" w:cs="Times New Roman"/>
          <w:color w:val="auto"/>
          <w:kern w:val="0"/>
          <w:sz w:val="32"/>
          <w:szCs w:val="32"/>
          <w:lang w:val="en-US" w:eastAsia="zh-CN" w:bidi="ar-SA"/>
        </w:rPr>
        <w:t>2025年12月26日</w:t>
      </w:r>
      <w:r>
        <w:rPr>
          <w:rFonts w:hint="default" w:ascii="Times New Roman" w:hAnsi="Times New Roman" w:eastAsia="仿宋_GB2312" w:cs="Times New Roman"/>
          <w:color w:val="auto"/>
          <w:kern w:val="0"/>
          <w:sz w:val="32"/>
          <w:szCs w:val="32"/>
          <w:lang w:val="zh-CN" w:eastAsia="zh-CN" w:bidi="ar-SA"/>
        </w:rPr>
        <w:t>收到非财政拨款省科协拨“同心筑梦”“天府科普研学游”活动资助资金</w:t>
      </w:r>
      <w:r>
        <w:rPr>
          <w:rFonts w:hint="default" w:ascii="Times New Roman" w:hAnsi="Times New Roman" w:eastAsia="仿宋_GB2312" w:cs="Times New Roman"/>
          <w:color w:val="auto"/>
          <w:kern w:val="0"/>
          <w:sz w:val="32"/>
          <w:szCs w:val="32"/>
          <w:lang w:val="en-US" w:eastAsia="zh-CN" w:bidi="ar-SA"/>
        </w:rPr>
        <w:t>20万元，财务已关账，故暂结转下年专款专用，</w:t>
      </w:r>
      <w:r>
        <w:rPr>
          <w:rFonts w:hint="default" w:ascii="Times New Roman" w:hAnsi="Times New Roman" w:eastAsia="仿宋_GB2312" w:cs="Times New Roman"/>
          <w:color w:val="auto"/>
          <w:kern w:val="0"/>
          <w:sz w:val="32"/>
          <w:szCs w:val="32"/>
          <w:lang w:val="zh-CN" w:eastAsia="zh-CN" w:bidi="ar-SA"/>
        </w:rPr>
        <w:t>1—1</w:t>
      </w: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eastAsia="仿宋_GB2312" w:cs="Times New Roman"/>
          <w:color w:val="auto"/>
          <w:kern w:val="0"/>
          <w:sz w:val="32"/>
          <w:szCs w:val="32"/>
          <w:lang w:val="zh-CN" w:eastAsia="zh-CN" w:bidi="ar-SA"/>
        </w:rPr>
        <w:t>月预算执行总体进度为</w:t>
      </w:r>
      <w:r>
        <w:rPr>
          <w:rFonts w:hint="default" w:ascii="Times New Roman" w:hAnsi="Times New Roman" w:eastAsia="仿宋_GB2312" w:cs="Times New Roman"/>
          <w:color w:val="auto"/>
          <w:kern w:val="0"/>
          <w:sz w:val="32"/>
          <w:szCs w:val="32"/>
          <w:lang w:val="en-US" w:eastAsia="zh-CN" w:bidi="ar-SA"/>
        </w:rPr>
        <w:t>87</w:t>
      </w:r>
      <w:r>
        <w:rPr>
          <w:rFonts w:hint="default" w:ascii="Times New Roman" w:hAnsi="Times New Roman" w:eastAsia="仿宋_GB2312" w:cs="Times New Roman"/>
          <w:color w:val="auto"/>
          <w:kern w:val="0"/>
          <w:sz w:val="32"/>
          <w:szCs w:val="32"/>
          <w:lang w:val="zh-CN" w:eastAsia="zh-CN" w:bidi="ar-SA"/>
        </w:rPr>
        <w:t>%，预算结余率大于</w:t>
      </w:r>
      <w:r>
        <w:rPr>
          <w:rFonts w:hint="default" w:ascii="Times New Roman" w:hAnsi="Times New Roman" w:eastAsia="仿宋_GB2312" w:cs="Times New Roman"/>
          <w:color w:val="auto"/>
          <w:kern w:val="0"/>
          <w:sz w:val="32"/>
          <w:szCs w:val="32"/>
          <w:lang w:val="en-US" w:eastAsia="zh-CN" w:bidi="ar-SA"/>
        </w:rPr>
        <w:t>10%</w:t>
      </w:r>
      <w:r>
        <w:rPr>
          <w:rFonts w:hint="default" w:ascii="Times New Roman" w:hAnsi="Times New Roman" w:eastAsia="仿宋_GB2312" w:cs="Times New Roman"/>
          <w:color w:val="auto"/>
          <w:kern w:val="0"/>
          <w:sz w:val="32"/>
          <w:szCs w:val="32"/>
          <w:lang w:val="zh-CN" w:eastAsia="zh-CN" w:bidi="ar-SA"/>
        </w:rPr>
        <w:t>的项目共计</w:t>
      </w:r>
      <w:r>
        <w:rPr>
          <w:rFonts w:hint="default" w:ascii="Times New Roman" w:hAnsi="Times New Roman" w:eastAsia="仿宋_GB2312" w:cs="Times New Roman"/>
          <w:color w:val="auto"/>
          <w:kern w:val="0"/>
          <w:sz w:val="32"/>
          <w:szCs w:val="32"/>
          <w:lang w:val="en-US" w:eastAsia="zh-CN" w:bidi="ar-SA"/>
        </w:rPr>
        <w:t>1</w:t>
      </w:r>
      <w:r>
        <w:rPr>
          <w:rFonts w:hint="default" w:ascii="Times New Roman" w:hAnsi="Times New Roman" w:eastAsia="仿宋_GB2312" w:cs="Times New Roman"/>
          <w:color w:val="auto"/>
          <w:kern w:val="0"/>
          <w:sz w:val="32"/>
          <w:szCs w:val="32"/>
          <w:lang w:val="zh-CN" w:eastAsia="zh-CN" w:bidi="ar-SA"/>
        </w:rPr>
        <w:t>个。我部门对以上项目按照项目决策、项目执行、目标实现等</w:t>
      </w:r>
      <w:r>
        <w:rPr>
          <w:rFonts w:hint="default" w:ascii="Times New Roman" w:hAnsi="Times New Roman" w:eastAsia="仿宋_GB2312" w:cs="Times New Roman"/>
          <w:color w:val="auto"/>
          <w:kern w:val="0"/>
          <w:sz w:val="32"/>
          <w:szCs w:val="32"/>
          <w:lang w:val="en-US" w:eastAsia="zh-CN" w:bidi="ar-SA"/>
        </w:rPr>
        <w:t>开展以下自评。</w:t>
      </w:r>
    </w:p>
    <w:p w14:paraId="681709E9">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1.</w:t>
      </w:r>
      <w:r>
        <w:rPr>
          <w:rFonts w:hint="default" w:ascii="Times New Roman" w:hAnsi="Times New Roman" w:eastAsia="仿宋_GB2312" w:cs="Times New Roman"/>
          <w:color w:val="auto"/>
          <w:kern w:val="0"/>
          <w:sz w:val="32"/>
          <w:szCs w:val="32"/>
          <w:lang w:val="zh-CN" w:eastAsia="zh-CN" w:bidi="ar-SA"/>
        </w:rPr>
        <w:t>项目决策。</w:t>
      </w:r>
    </w:p>
    <w:p w14:paraId="0685370F">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在专项资金的分配上，州科协坚持</w:t>
      </w:r>
      <w:r>
        <w:rPr>
          <w:rFonts w:hint="default" w:ascii="Times New Roman" w:hAnsi="Times New Roman" w:eastAsia="仿宋_GB2312" w:cs="Times New Roman"/>
          <w:color w:val="auto"/>
          <w:kern w:val="0"/>
          <w:sz w:val="32"/>
          <w:szCs w:val="32"/>
          <w:lang w:val="en-US" w:eastAsia="zh-CN" w:bidi="ar-SA"/>
        </w:rPr>
        <w:t>“资金跟着项目走、项目跟着决策走”的理念，</w:t>
      </w:r>
      <w:r>
        <w:rPr>
          <w:rFonts w:hint="default" w:ascii="Times New Roman" w:hAnsi="Times New Roman" w:eastAsia="仿宋_GB2312" w:cs="Times New Roman"/>
          <w:color w:val="auto"/>
          <w:kern w:val="0"/>
          <w:sz w:val="32"/>
          <w:szCs w:val="32"/>
          <w:lang w:val="zh-CN" w:eastAsia="zh-CN" w:bidi="ar-SA"/>
        </w:rPr>
        <w:t>在接到州财政局年度预算通知后，即刻组织各办公室、各项目组进行分配安排。州科协党组按照省科协的重点项目计划和州委州政府重点工作安排，结合各项目组申报年度工作计划，逐级逐项进行分配，将分配结果报备</w:t>
      </w:r>
      <w:r>
        <w:rPr>
          <w:rFonts w:hint="eastAsia" w:eastAsia="仿宋_GB2312" w:cs="Times New Roman"/>
          <w:color w:val="auto"/>
          <w:kern w:val="0"/>
          <w:sz w:val="32"/>
          <w:szCs w:val="32"/>
          <w:lang w:val="zh-CN" w:eastAsia="zh-CN" w:bidi="ar-SA"/>
        </w:rPr>
        <w:t>纪检监察组</w:t>
      </w:r>
      <w:r>
        <w:rPr>
          <w:rFonts w:hint="default" w:ascii="Times New Roman" w:hAnsi="Times New Roman" w:eastAsia="仿宋_GB2312" w:cs="Times New Roman"/>
          <w:color w:val="auto"/>
          <w:kern w:val="0"/>
          <w:sz w:val="32"/>
          <w:szCs w:val="32"/>
          <w:lang w:val="zh-CN" w:eastAsia="zh-CN" w:bidi="ar-SA"/>
        </w:rPr>
        <w:t>。并要求项目资金使用科室按照要求提供明确项目立项依据和目的、项目主要内容、项目绩效目标及预期成果、项目实施条件、项目执行进度及阶段目标等，严格划分资金</w:t>
      </w:r>
      <w:r>
        <w:rPr>
          <w:rFonts w:hint="default" w:ascii="Times New Roman" w:hAnsi="Times New Roman" w:eastAsia="仿宋_GB2312" w:cs="Times New Roman"/>
          <w:color w:val="auto"/>
          <w:kern w:val="0"/>
          <w:sz w:val="32"/>
          <w:szCs w:val="32"/>
          <w:lang w:val="en-US" w:eastAsia="zh-CN" w:bidi="ar-SA"/>
        </w:rPr>
        <w:t>使用科室的责、权、利，最大限度提高项目资金的使用效率。</w:t>
      </w:r>
      <w:r>
        <w:rPr>
          <w:rFonts w:hint="default" w:ascii="Times New Roman" w:hAnsi="Times New Roman" w:eastAsia="仿宋_GB2312" w:cs="Times New Roman"/>
          <w:color w:val="auto"/>
          <w:kern w:val="0"/>
          <w:sz w:val="32"/>
          <w:szCs w:val="32"/>
          <w:lang w:val="zh-CN" w:eastAsia="zh-CN" w:bidi="ar-SA"/>
        </w:rPr>
        <w:t>分配依据科学充分、审批程序完整严谨，项目决策透明。</w:t>
      </w:r>
      <w:r>
        <w:rPr>
          <w:rFonts w:hint="default" w:ascii="Times New Roman" w:hAnsi="Times New Roman" w:eastAsia="仿宋_GB2312" w:cs="Times New Roman"/>
          <w:color w:val="auto"/>
          <w:kern w:val="0"/>
          <w:sz w:val="32"/>
          <w:szCs w:val="32"/>
          <w:lang w:val="en-US" w:eastAsia="zh-CN" w:bidi="ar-SA"/>
        </w:rPr>
        <w:t>部门预算项目绩效目标与计划期内的任务量一致、预算安排的资金量匹配，绩效目标设置科学合理、规范完整、能量化细化、与预算匹配。</w:t>
      </w:r>
      <w:r>
        <w:rPr>
          <w:rFonts w:hint="default" w:ascii="Times New Roman" w:hAnsi="Times New Roman" w:eastAsia="仿宋_GB2312" w:cs="Times New Roman"/>
          <w:color w:val="auto"/>
          <w:kern w:val="0"/>
          <w:sz w:val="32"/>
          <w:szCs w:val="32"/>
          <w:lang w:val="zh-CN" w:eastAsia="zh-CN" w:bidi="ar-SA"/>
        </w:rPr>
        <w:t>故自评得分</w:t>
      </w:r>
      <w:r>
        <w:rPr>
          <w:rFonts w:hint="default" w:ascii="Times New Roman" w:hAnsi="Times New Roman" w:eastAsia="仿宋_GB2312" w:cs="Times New Roman"/>
          <w:color w:val="auto"/>
          <w:kern w:val="0"/>
          <w:sz w:val="32"/>
          <w:szCs w:val="32"/>
          <w:lang w:val="en-US" w:eastAsia="zh-CN" w:bidi="ar-SA"/>
        </w:rPr>
        <w:t>12</w:t>
      </w:r>
      <w:r>
        <w:rPr>
          <w:rFonts w:hint="default" w:ascii="Times New Roman" w:hAnsi="Times New Roman" w:eastAsia="仿宋_GB2312" w:cs="Times New Roman"/>
          <w:color w:val="auto"/>
          <w:kern w:val="0"/>
          <w:sz w:val="32"/>
          <w:szCs w:val="32"/>
          <w:lang w:val="zh-CN" w:eastAsia="zh-CN" w:bidi="ar-SA"/>
        </w:rPr>
        <w:t>分。</w:t>
      </w:r>
    </w:p>
    <w:p w14:paraId="0038ECBC">
      <w:pPr>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2.项目执行</w:t>
      </w:r>
      <w:r>
        <w:rPr>
          <w:rFonts w:hint="default" w:ascii="Times New Roman" w:hAnsi="Times New Roman" w:eastAsia="仿宋_GB2312" w:cs="Times New Roman"/>
          <w:color w:val="auto"/>
          <w:kern w:val="0"/>
          <w:sz w:val="32"/>
          <w:szCs w:val="32"/>
          <w:lang w:val="zh-CN" w:eastAsia="zh-CN" w:bidi="ar-SA"/>
        </w:rPr>
        <w:t>。</w:t>
      </w:r>
    </w:p>
    <w:p w14:paraId="5466C596">
      <w:pPr>
        <w:spacing w:line="578"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zh-CN" w:eastAsia="zh-CN" w:bidi="ar-SA"/>
        </w:rPr>
        <w:t>凉山州科学技术协会在项目执行过程中，</w:t>
      </w:r>
      <w:r>
        <w:rPr>
          <w:rFonts w:hint="default" w:ascii="Times New Roman" w:hAnsi="Times New Roman" w:eastAsia="仿宋_GB2312" w:cs="Times New Roman"/>
          <w:color w:val="auto"/>
          <w:kern w:val="0"/>
          <w:sz w:val="32"/>
          <w:szCs w:val="32"/>
          <w:lang w:val="en-US" w:eastAsia="zh-CN" w:bidi="ar-SA"/>
        </w:rPr>
        <w:t>对</w:t>
      </w:r>
      <w:r>
        <w:rPr>
          <w:rFonts w:hint="default" w:ascii="Times New Roman" w:hAnsi="Times New Roman" w:eastAsia="仿宋_GB2312" w:cs="Times New Roman"/>
          <w:color w:val="auto"/>
          <w:kern w:val="0"/>
          <w:sz w:val="32"/>
          <w:szCs w:val="32"/>
          <w:lang w:val="zh-CN" w:eastAsia="zh-CN" w:bidi="ar-SA"/>
        </w:rPr>
        <w:t>项目的管理严谨，</w:t>
      </w:r>
      <w:r>
        <w:rPr>
          <w:rFonts w:hint="default" w:ascii="Times New Roman" w:hAnsi="Times New Roman" w:eastAsia="仿宋_GB2312" w:cs="Times New Roman"/>
          <w:color w:val="auto"/>
          <w:kern w:val="0"/>
          <w:sz w:val="32"/>
          <w:szCs w:val="32"/>
          <w:lang w:val="en-US" w:eastAsia="zh-CN" w:bidi="ar-SA"/>
        </w:rPr>
        <w:t>严格执行《中央和省级财政科普科服专项资金管理办法》（川财规〔2024〕7号）《凉山州科技计划项目专项资金管理办法》（凉财规〔2020〕2号）以及地方配套科普专项资金管理办法和相关财务管理制度，</w:t>
      </w:r>
      <w:r>
        <w:rPr>
          <w:rFonts w:hint="default" w:ascii="Times New Roman" w:hAnsi="Times New Roman" w:eastAsia="仿宋_GB2312" w:cs="Times New Roman"/>
          <w:color w:val="auto"/>
          <w:kern w:val="0"/>
          <w:sz w:val="32"/>
          <w:szCs w:val="32"/>
          <w:lang w:val="zh-CN" w:eastAsia="zh-CN" w:bidi="ar-SA"/>
        </w:rPr>
        <w:t>认真贯彻“用钱必问效、无效必问责”的绩效管理原则，党组</w:t>
      </w:r>
      <w:r>
        <w:rPr>
          <w:rFonts w:hint="default" w:ascii="Times New Roman" w:hAnsi="Times New Roman" w:eastAsia="仿宋_GB2312" w:cs="Times New Roman"/>
          <w:color w:val="auto"/>
          <w:kern w:val="0"/>
          <w:sz w:val="32"/>
          <w:szCs w:val="32"/>
          <w:lang w:val="en-US" w:eastAsia="zh-CN" w:bidi="ar-SA"/>
        </w:rPr>
        <w:t>按照财政要求将绩效管理的理念贯穿于项目的事前、事中、事后。部门预算项目实际列支内容与绩效目标设置方向相符，部门预算项目设置有备选项目，能相应采取对应调整措施，年度部门预算项目执行完成13个、金额915.79万元。有1个项目未实施系非财政拨款项目资金到位晚部门财务已关账，</w:t>
      </w:r>
      <w:r>
        <w:rPr>
          <w:rFonts w:hint="default" w:ascii="Times New Roman" w:hAnsi="Times New Roman" w:eastAsia="仿宋_GB2312" w:cs="Times New Roman"/>
          <w:color w:val="auto"/>
          <w:kern w:val="0"/>
          <w:sz w:val="32"/>
          <w:szCs w:val="32"/>
          <w:lang w:val="zh-CN" w:eastAsia="zh-CN" w:bidi="ar-SA"/>
        </w:rPr>
        <w:t>故自评得分1</w:t>
      </w: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eastAsia="仿宋_GB2312" w:cs="Times New Roman"/>
          <w:color w:val="auto"/>
          <w:kern w:val="0"/>
          <w:sz w:val="32"/>
          <w:szCs w:val="32"/>
          <w:lang w:val="zh-CN" w:eastAsia="zh-CN" w:bidi="ar-SA"/>
        </w:rPr>
        <w:t>分。</w:t>
      </w:r>
    </w:p>
    <w:p w14:paraId="257BCE59">
      <w:pPr>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3.</w:t>
      </w:r>
      <w:r>
        <w:rPr>
          <w:rFonts w:hint="default" w:ascii="Times New Roman" w:hAnsi="Times New Roman" w:eastAsia="仿宋_GB2312" w:cs="Times New Roman"/>
          <w:color w:val="auto"/>
          <w:kern w:val="0"/>
          <w:sz w:val="32"/>
          <w:szCs w:val="32"/>
          <w:lang w:val="zh-CN" w:eastAsia="zh-CN" w:bidi="ar-SA"/>
        </w:rPr>
        <w:t>目标实现。</w:t>
      </w:r>
    </w:p>
    <w:p w14:paraId="594072AF">
      <w:pPr>
        <w:spacing w:line="578" w:lineRule="exact"/>
        <w:ind w:firstLine="64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我</w:t>
      </w:r>
      <w:r>
        <w:rPr>
          <w:rFonts w:hint="default" w:ascii="Times New Roman" w:hAnsi="Times New Roman" w:eastAsia="仿宋_GB2312" w:cs="Times New Roman"/>
          <w:color w:val="auto"/>
          <w:kern w:val="0"/>
          <w:sz w:val="32"/>
          <w:szCs w:val="32"/>
          <w:lang w:val="en-US" w:eastAsia="zh-CN" w:bidi="ar-SA"/>
        </w:rPr>
        <w:t>部门按照年初预算项目绩效目标，年度预算执行完成“科普宣传活动业务经费”、“青少年科技活动”、“学术交流活动业务经费”、“科创中国.天府科技云服务大会”、“老科技工作者科普活动保障经费”、“最美科技工作者活动”、“天府科技云服务项目”、“凉山州科普主题文化公园建设项目”、“凉山州全民科学素质提升专项”、“凉山州级科普专项资金”、“省级科普专项资金”、“人才发展专项”、“安宁河流域水风光电储能科学高效发展战略对策”13个项目设定任务，支出金额共计915.79万元。按照</w:t>
      </w:r>
      <w:r>
        <w:rPr>
          <w:rFonts w:hint="default" w:ascii="Times New Roman" w:hAnsi="Times New Roman" w:eastAsia="仿宋_GB2312" w:cs="Times New Roman"/>
          <w:color w:val="auto"/>
          <w:kern w:val="0"/>
          <w:sz w:val="32"/>
          <w:szCs w:val="32"/>
          <w:lang w:val="zh-CN" w:eastAsia="zh-CN" w:bidi="ar-SA"/>
        </w:rPr>
        <w:t>“谁用钱、谁自评”的项目资金使用原则，分配各项目使用部门进行自评，均反映</w:t>
      </w:r>
      <w:r>
        <w:rPr>
          <w:rFonts w:hint="default" w:ascii="Times New Roman" w:hAnsi="Times New Roman" w:eastAsia="仿宋_GB2312" w:cs="Times New Roman"/>
          <w:color w:val="auto"/>
          <w:kern w:val="0"/>
          <w:sz w:val="32"/>
          <w:szCs w:val="32"/>
          <w:lang w:val="en-US" w:eastAsia="zh-CN" w:bidi="ar-SA"/>
        </w:rPr>
        <w:t>部门预算项目绩效目标数量指标实现程度与预期目标不存在偏离情况。通过项目实施，实现了传播科学思想，普及科技知识，推广先进技术，提高公众科学素质，引导群众逐步地向学科学、懂科学、用科学的方向迈进，为推动科技进步、促进现代化进程起到积极的推动作用，实现助力全州乡村振兴，更好为科技工作者、创新驱动发展、党和政府科学决策服务、为提升全民科学素质服务。</w:t>
      </w:r>
    </w:p>
    <w:p w14:paraId="7A3B3169">
      <w:pPr>
        <w:widowControl/>
        <w:adjustRightInd w:val="0"/>
        <w:snapToGrid w:val="0"/>
        <w:spacing w:line="540" w:lineRule="exact"/>
        <w:ind w:firstLine="640" w:firstLineChars="20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我部门2025年度一般公共预算年度执行预算财政拨款1368.66万元,其中⑴基本支出452.87万元，占当年支出总额的33%；基本支出与去年同期比较有所减少，主要系行政职工1人退休减少工资和减少行政退休职工抚恤金等支出所致。⑵项目支出915.79万元，占当年支出总额的67%，主要系围绕省科协重点工作天府科技云服务项目，开展科学技术普及、传播、科普阵地建设、学术交流、青少年科技创新活动、科普资源开发、全民科学素质调查、开展乡村振兴种养殖培训等项目支出。项目支出与去年同期有较大增加，增幅103%，主要系增加州本级财政专项拨款科普主题文化公园建设58.8万元、人才发展专项“菁英成长计划”50万元和顶岗实习经费20.25万元等；省级科普专项资金280.16万元。</w:t>
      </w:r>
      <w:r>
        <w:rPr>
          <w:rFonts w:hint="default" w:ascii="Times New Roman" w:hAnsi="Times New Roman" w:eastAsia="仿宋_GB2312" w:cs="Times New Roman"/>
          <w:color w:val="auto"/>
          <w:kern w:val="0"/>
          <w:sz w:val="32"/>
          <w:szCs w:val="32"/>
          <w:lang w:val="zh-CN" w:eastAsia="zh-CN" w:bidi="ar-SA"/>
        </w:rPr>
        <w:t>202</w:t>
      </w:r>
      <w:r>
        <w:rPr>
          <w:rFonts w:hint="default" w:ascii="Times New Roman" w:hAnsi="Times New Roman" w:eastAsia="仿宋_GB2312" w:cs="Times New Roman"/>
          <w:color w:val="auto"/>
          <w:kern w:val="0"/>
          <w:sz w:val="32"/>
          <w:szCs w:val="32"/>
          <w:lang w:val="en-US" w:eastAsia="zh-CN" w:bidi="ar-SA"/>
        </w:rPr>
        <w:t>5</w:t>
      </w:r>
      <w:r>
        <w:rPr>
          <w:rFonts w:hint="default" w:ascii="Times New Roman" w:hAnsi="Times New Roman" w:eastAsia="仿宋_GB2312" w:cs="Times New Roman"/>
          <w:color w:val="auto"/>
          <w:kern w:val="0"/>
          <w:sz w:val="32"/>
          <w:szCs w:val="32"/>
          <w:lang w:val="zh-CN" w:eastAsia="zh-CN" w:bidi="ar-SA"/>
        </w:rPr>
        <w:t>年度</w:t>
      </w:r>
      <w:r>
        <w:rPr>
          <w:rFonts w:hint="default" w:ascii="Times New Roman" w:hAnsi="Times New Roman" w:eastAsia="仿宋_GB2312" w:cs="Times New Roman"/>
          <w:color w:val="auto"/>
          <w:kern w:val="0"/>
          <w:sz w:val="32"/>
          <w:szCs w:val="32"/>
          <w:lang w:val="en-US" w:eastAsia="zh-CN" w:bidi="ar-SA"/>
        </w:rPr>
        <w:t>政府</w:t>
      </w:r>
      <w:r>
        <w:rPr>
          <w:rFonts w:hint="default" w:ascii="Times New Roman" w:hAnsi="Times New Roman" w:eastAsia="仿宋_GB2312" w:cs="Times New Roman"/>
          <w:color w:val="auto"/>
          <w:kern w:val="0"/>
          <w:sz w:val="32"/>
          <w:szCs w:val="32"/>
          <w:lang w:val="zh-CN" w:eastAsia="zh-CN" w:bidi="ar-SA"/>
        </w:rPr>
        <w:t>采购九笔，共涉及金额</w:t>
      </w:r>
      <w:r>
        <w:rPr>
          <w:rFonts w:hint="default" w:ascii="Times New Roman" w:hAnsi="Times New Roman" w:eastAsia="仿宋_GB2312" w:cs="Times New Roman"/>
          <w:color w:val="auto"/>
          <w:kern w:val="0"/>
          <w:sz w:val="32"/>
          <w:szCs w:val="32"/>
          <w:lang w:val="en-US" w:eastAsia="zh-CN" w:bidi="ar-SA"/>
        </w:rPr>
        <w:t>290.12万元。其中</w:t>
      </w:r>
      <w:r>
        <w:rPr>
          <w:rFonts w:hint="default" w:ascii="Times New Roman" w:hAnsi="Times New Roman" w:eastAsia="仿宋_GB2312" w:cs="Times New Roman"/>
          <w:color w:val="auto"/>
          <w:kern w:val="0"/>
          <w:sz w:val="32"/>
          <w:szCs w:val="32"/>
          <w:lang w:val="zh-CN" w:eastAsia="zh-CN" w:bidi="ar-SA"/>
        </w:rPr>
        <w:t>公务用车保险、</w:t>
      </w:r>
      <w:r>
        <w:rPr>
          <w:rFonts w:hint="default" w:ascii="Times New Roman" w:hAnsi="Times New Roman" w:eastAsia="仿宋_GB2312" w:cs="Times New Roman"/>
          <w:color w:val="auto"/>
          <w:kern w:val="0"/>
          <w:sz w:val="32"/>
          <w:szCs w:val="32"/>
          <w:lang w:val="en-US" w:eastAsia="zh-CN" w:bidi="ar-SA"/>
        </w:rPr>
        <w:t>油料购置及维修4.04万元；“科创会”、“全国科普月”暨乡土人才大赛、拍摄科普纪录片科学教育影片、天府科技云、凉山州科普主题文化公园建设项目、制作特色科普作品（动画、沙画）服务项目286.08万元</w:t>
      </w:r>
      <w:r>
        <w:rPr>
          <w:rFonts w:hint="default" w:ascii="Times New Roman" w:hAnsi="Times New Roman" w:eastAsia="仿宋_GB2312" w:cs="Times New Roman"/>
          <w:color w:val="auto"/>
          <w:kern w:val="0"/>
          <w:sz w:val="32"/>
          <w:szCs w:val="32"/>
          <w:lang w:val="zh-CN" w:eastAsia="zh-CN" w:bidi="ar-SA"/>
        </w:rPr>
        <w:t>。均按照政府采购目录通过政府采购购买服务，并与中小企业签约积极支持其发展。</w:t>
      </w:r>
      <w:r>
        <w:rPr>
          <w:rFonts w:hint="default" w:ascii="Times New Roman" w:hAnsi="Times New Roman" w:eastAsia="仿宋_GB2312" w:cs="Times New Roman"/>
          <w:color w:val="auto"/>
          <w:kern w:val="0"/>
          <w:sz w:val="32"/>
          <w:szCs w:val="32"/>
          <w:lang w:val="en-US" w:eastAsia="zh-CN" w:bidi="ar-SA"/>
        </w:rPr>
        <w:t>2025年政府购买服务年初预算112.08万元，年末预算执行580.24万元。与年初预算相比增幅418%，主要系年中增拨州、省级科普专项资金，年初无预算所致。政府购买服务项目主要为全国科普日暨乡土人才大赛服务、特色科普制作（动画、沙画）服务、“天府科技云服务”服务、融媒体合作宣传《科普凉山》制作播报服务、《凉山科学发展》期刊建设服务、农技协科普科服及培训服务、青少年科学研学活动服务、凉山州科普主题文化公园建设服务、科创中国·天府科技云服务大会服务、《追光2》科普宣传片拍摄制作服务、“最美科技工作者”活动服务、“天府科普大咖说”科普宣传视频拍摄制作服务、《百褶的秘密》《漆器密码》精品科普视频拍摄制作服务、天府科技云科普创作行动服务、学会能力提升项目服务、《追光3-科学引路人》科普宣传片拍摄制作服务、科普纪录片科学教育片拍摄制作服务、“启梦·智慧科普计划 ”无人机表演服务、天府科普（研学）游工作培训服务、科普宣传印刷服务、项目调研科普宣传租车费等共26个项目。均与中小企业签订购买服务合同，积极支持中小企业发展。无政府性基金预算、无社保基金预算、无国有资本经营预算安排的常年项目、阶段项目绩效目标，无债券资金。故自评得分11分。</w:t>
      </w:r>
    </w:p>
    <w:p w14:paraId="52913E44">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楷体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（三）绩效结果应用情况</w:t>
      </w:r>
    </w:p>
    <w:p w14:paraId="63F472D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我们结合财政指标，按照州财政局工作要求，我单位2025年度本级部门预算、决算批复、整体支出和项目支出绩效评价相关报告、表格均在规定的时间内，在凉山州政府网站和州科学技术协会网站进行公开；针对2024年度整体绩效自查和财政委派第三方抽查出的问题，进行认真思考整改，一是进一步强化绩效考核意识，加强绩效中期评估工作，将绩效考核工作纳入全单位工作目标；二是绩效指标要素设置不科学合理、不细化量化的问题。如年度需要完成的项目工作任务，仅以“=15个”数量指标表述，指标设置单一，不能反映部门履职项目任务的内容、特点，限制了目标的灵活性。整改情况为2026年预算中数量指标“完成年度工作项目任务”设置为“完成科普宣传活动业务、青少年科技活动、学术交流业务活动、州级科普专项业务、天府科技云服务、科创中国天府科技云服务大会、最美科技工作者活动、凉山州全民科学素质提升、老科技工作者科普活动”。以上指标的设置，内容完整、目标完成情况能量化、项目任务明了、绩效考核清晰。三是出差未经事前审批问题。</w:t>
      </w:r>
      <w:bookmarkStart w:id="90" w:name="OLE_LINK21"/>
      <w:bookmarkStart w:id="91" w:name="OLE_LINK20"/>
      <w:r>
        <w:rPr>
          <w:rFonts w:hint="default" w:ascii="Times New Roman" w:hAnsi="Times New Roman" w:eastAsia="仿宋_GB2312" w:cs="Times New Roman"/>
          <w:color w:val="auto"/>
          <w:kern w:val="0"/>
          <w:sz w:val="32"/>
          <w:szCs w:val="32"/>
          <w:lang w:val="en-US" w:eastAsia="zh-CN" w:bidi="ar-SA"/>
        </w:rPr>
        <w:t>整改情况为</w:t>
      </w:r>
      <w:bookmarkEnd w:id="90"/>
      <w:bookmarkEnd w:id="91"/>
      <w:r>
        <w:rPr>
          <w:rFonts w:hint="default" w:ascii="Times New Roman" w:hAnsi="Times New Roman" w:eastAsia="仿宋_GB2312" w:cs="Times New Roman"/>
          <w:color w:val="auto"/>
          <w:kern w:val="0"/>
          <w:sz w:val="32"/>
          <w:szCs w:val="32"/>
          <w:lang w:val="en-US" w:eastAsia="zh-CN" w:bidi="ar-SA"/>
        </w:rPr>
        <w:t>2026年1月4日出差费用报销单显示，项目组前往盐源县调研现代科技馆体系建设，出差时间2025年12月29-30日，工作人员出差审批表分管领导审批“同意”的签批时间为2025年12月28日，纠正了出差未经事前审批的情况发生。四是招标方式与党组会议决议不符。整改情况为2025年10月20日组织全体干部职工，再次认真学习《中华人民共和国政府采购法》，对其重要意义、主要内容进行详细学习，进一步提高采购意识，严格按照采购法规范政府采购行为和采购程序。2026年3月4日费用报销单显示，项目组人员报销动画沙画制作服务费，按照《中华人民共和国政府采购法》《四川省政府集中采购目录及标准》（川财规〔2023〕9号），我单位合规合法进行了政府集中采购，规范了采购行为和采购程序。我部门对以上整改问题及时写出报告说明附佐证资料报相关部门，并归档妥善保管专卷备查。我们在单位开展部门整体支出绩效管理工作自查自评，内容完整、观点客观、建议举措具有一定价值，工作中能够对照问题立即整改。</w:t>
      </w:r>
    </w:p>
    <w:p w14:paraId="0607917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四、评价结论及建议</w:t>
      </w:r>
    </w:p>
    <w:p w14:paraId="5F5775E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楷体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（一）评价结论</w:t>
      </w:r>
    </w:p>
    <w:p w14:paraId="3E8C96FB">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我部门充分利用</w:t>
      </w:r>
      <w:r>
        <w:rPr>
          <w:rFonts w:hint="default" w:ascii="Times New Roman" w:hAnsi="Times New Roman" w:eastAsia="仿宋_GB2312" w:cs="Times New Roman"/>
          <w:color w:val="auto"/>
          <w:kern w:val="0"/>
          <w:sz w:val="32"/>
          <w:szCs w:val="32"/>
          <w:lang w:val="en-US" w:eastAsia="zh-CN" w:bidi="ar-SA"/>
        </w:rPr>
        <w:t>一般公共预算财政拨款1368.66万元,其中基本支出452.87万元，年度完成了</w:t>
      </w:r>
      <w:r>
        <w:rPr>
          <w:rFonts w:hint="default" w:ascii="Times New Roman" w:hAnsi="Times New Roman" w:eastAsia="仿宋_GB2312" w:cs="Times New Roman"/>
          <w:color w:val="auto"/>
          <w:kern w:val="0"/>
          <w:sz w:val="32"/>
          <w:szCs w:val="32"/>
          <w:lang w:val="zh-CN" w:eastAsia="zh-CN" w:bidi="ar-SA"/>
        </w:rPr>
        <w:t>每月按财政要求及时发放职工工资，按时缴纳职工五险一金，确保职工权益。保障日常公务用车运行和办公、水电、差旅、印刷、邮电等的支用，确保部门日常工作正常高效运转；</w:t>
      </w:r>
      <w:r>
        <w:rPr>
          <w:rFonts w:hint="default" w:ascii="Times New Roman" w:hAnsi="Times New Roman" w:eastAsia="仿宋_GB2312" w:cs="Times New Roman"/>
          <w:color w:val="auto"/>
          <w:kern w:val="0"/>
          <w:sz w:val="32"/>
          <w:szCs w:val="32"/>
          <w:lang w:val="en-US" w:eastAsia="zh-CN" w:bidi="ar-SA"/>
        </w:rPr>
        <w:t>项目支出915.79万元，围绕省科协重点工作天府科技云服务项目，开展科学技术普及、传播、科普阵地建设、学术交流、青少年科技创新活动、科普资源开发、全民科学素质调查、开展乡村振兴种养殖培训等项目圆满完成。因资金使用支付进度前期较缓慢、培训费支出增幅较大。</w:t>
      </w:r>
      <w:r>
        <w:rPr>
          <w:rFonts w:hint="default" w:ascii="Times New Roman" w:hAnsi="Times New Roman" w:eastAsia="仿宋_GB2312" w:cs="Times New Roman"/>
          <w:color w:val="auto"/>
          <w:kern w:val="0"/>
          <w:sz w:val="32"/>
          <w:szCs w:val="32"/>
          <w:lang w:val="zh-CN" w:eastAsia="zh-CN" w:bidi="ar-SA"/>
        </w:rPr>
        <w:t>故自评扣分</w:t>
      </w:r>
      <w:r>
        <w:rPr>
          <w:rFonts w:hint="default" w:ascii="Times New Roman" w:hAnsi="Times New Roman" w:eastAsia="仿宋_GB2312" w:cs="Times New Roman"/>
          <w:color w:val="auto"/>
          <w:kern w:val="0"/>
          <w:sz w:val="32"/>
          <w:szCs w:val="32"/>
          <w:lang w:val="en-US" w:eastAsia="zh-CN" w:bidi="ar-SA"/>
        </w:rPr>
        <w:t>2</w:t>
      </w:r>
      <w:r>
        <w:rPr>
          <w:rFonts w:hint="default" w:ascii="Times New Roman" w:hAnsi="Times New Roman" w:eastAsia="仿宋_GB2312" w:cs="Times New Roman"/>
          <w:color w:val="auto"/>
          <w:kern w:val="0"/>
          <w:sz w:val="32"/>
          <w:szCs w:val="32"/>
          <w:lang w:val="zh-CN" w:eastAsia="zh-CN" w:bidi="ar-SA"/>
        </w:rPr>
        <w:t>分，得分9</w:t>
      </w:r>
      <w:r>
        <w:rPr>
          <w:rFonts w:hint="default" w:ascii="Times New Roman" w:hAnsi="Times New Roman" w:eastAsia="仿宋_GB2312" w:cs="Times New Roman"/>
          <w:color w:val="auto"/>
          <w:kern w:val="0"/>
          <w:sz w:val="32"/>
          <w:szCs w:val="32"/>
          <w:lang w:val="en-US" w:eastAsia="zh-CN" w:bidi="ar-SA"/>
        </w:rPr>
        <w:t>8</w:t>
      </w:r>
      <w:r>
        <w:rPr>
          <w:rFonts w:hint="default" w:ascii="Times New Roman" w:hAnsi="Times New Roman" w:eastAsia="仿宋_GB2312" w:cs="Times New Roman"/>
          <w:color w:val="auto"/>
          <w:kern w:val="0"/>
          <w:sz w:val="32"/>
          <w:szCs w:val="32"/>
          <w:lang w:val="zh-CN" w:eastAsia="zh-CN" w:bidi="ar-SA"/>
        </w:rPr>
        <w:t>分。</w:t>
      </w:r>
    </w:p>
    <w:p w14:paraId="3CEE079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楷体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（二）存在问题</w:t>
      </w:r>
    </w:p>
    <w:p w14:paraId="5145590A">
      <w:pPr>
        <w:pStyle w:val="10"/>
        <w:keepNext w:val="0"/>
        <w:keepLines w:val="0"/>
        <w:pageBreakBefore w:val="0"/>
        <w:widowControl/>
        <w:tabs>
          <w:tab w:val="left" w:pos="2160"/>
        </w:tabs>
        <w:kinsoku/>
        <w:wordWrap/>
        <w:overflowPunct/>
        <w:topLinePunct w:val="0"/>
        <w:autoSpaceDE/>
        <w:autoSpaceDN/>
        <w:bidi w:val="0"/>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1.资金使用支付进度前期较缓慢。</w:t>
      </w:r>
    </w:p>
    <w:p w14:paraId="0DC098FB">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2.培训费支出增幅较大。</w:t>
      </w:r>
    </w:p>
    <w:p w14:paraId="4973FBA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Times New Roman" w:hAnsi="Times New Roman" w:eastAsia="楷体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（三）改进建议</w:t>
      </w:r>
    </w:p>
    <w:p w14:paraId="51CF5F2B">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1.相关部室提早谋划，做好多方协调沟通，合理安排部署项目实施工作，及时对接财务部门支付。着力解决资金使用支付进度前期较缓慢问题。</w:t>
      </w:r>
    </w:p>
    <w:p w14:paraId="5E1F8A7D">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2.提升全州科协系统人员履职职能和业务能力是一项重要工作。我部门一定按照厉行节约的原则，努力压减开支，提升资金使用效率。</w:t>
      </w:r>
    </w:p>
    <w:p w14:paraId="1E1E980F">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p>
    <w:p w14:paraId="145ADE6D">
      <w:pPr>
        <w:pStyle w:val="10"/>
        <w:keepNext w:val="0"/>
        <w:keepLines w:val="0"/>
        <w:pageBreakBefore w:val="0"/>
        <w:tabs>
          <w:tab w:val="left" w:pos="2160"/>
        </w:tabs>
        <w:kinsoku/>
        <w:wordWrap/>
        <w:overflowPunct/>
        <w:topLinePunct w:val="0"/>
        <w:autoSpaceDE/>
        <w:autoSpaceDN/>
        <w:bidi w:val="0"/>
        <w:spacing w:beforeLines="0" w:line="560" w:lineRule="exact"/>
        <w:ind w:firstLine="4160" w:firstLineChars="1300"/>
        <w:textAlignment w:val="auto"/>
        <w:rPr>
          <w:rFonts w:hint="default" w:ascii="Times New Roman" w:hAnsi="Times New Roman" w:eastAsia="仿宋_GB2312" w:cs="Times New Roman"/>
          <w:color w:val="auto"/>
          <w:kern w:val="0"/>
          <w:sz w:val="32"/>
          <w:szCs w:val="32"/>
          <w:lang w:val="en-US" w:eastAsia="zh-CN" w:bidi="ar-SA"/>
        </w:rPr>
      </w:pPr>
    </w:p>
    <w:p w14:paraId="1F53E790">
      <w:pPr>
        <w:pStyle w:val="10"/>
        <w:keepNext w:val="0"/>
        <w:keepLines w:val="0"/>
        <w:pageBreakBefore w:val="0"/>
        <w:tabs>
          <w:tab w:val="left" w:pos="2160"/>
        </w:tabs>
        <w:kinsoku/>
        <w:wordWrap/>
        <w:overflowPunct/>
        <w:topLinePunct w:val="0"/>
        <w:autoSpaceDE/>
        <w:autoSpaceDN/>
        <w:bidi w:val="0"/>
        <w:spacing w:beforeLines="0" w:line="560" w:lineRule="exact"/>
        <w:ind w:firstLine="4160" w:firstLineChars="1300"/>
        <w:textAlignment w:val="auto"/>
        <w:rPr>
          <w:rFonts w:hint="default" w:ascii="Times New Roman" w:hAnsi="Times New Roman" w:eastAsia="仿宋_GB2312" w:cs="Times New Roman"/>
          <w:color w:val="auto"/>
          <w:kern w:val="0"/>
          <w:sz w:val="32"/>
          <w:szCs w:val="32"/>
          <w:lang w:val="en-US" w:eastAsia="zh-CN" w:bidi="ar-SA"/>
        </w:rPr>
      </w:pPr>
    </w:p>
    <w:p w14:paraId="7873681F">
      <w:pPr>
        <w:pStyle w:val="10"/>
        <w:keepNext w:val="0"/>
        <w:keepLines w:val="0"/>
        <w:pageBreakBefore w:val="0"/>
        <w:tabs>
          <w:tab w:val="left" w:pos="2160"/>
        </w:tabs>
        <w:kinsoku/>
        <w:wordWrap/>
        <w:overflowPunct/>
        <w:topLinePunct w:val="0"/>
        <w:autoSpaceDE/>
        <w:autoSpaceDN/>
        <w:bidi w:val="0"/>
        <w:spacing w:beforeLines="0" w:line="560" w:lineRule="exact"/>
        <w:ind w:firstLine="5760" w:firstLineChars="18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凉山州科学技术协会</w:t>
      </w:r>
    </w:p>
    <w:p w14:paraId="34FC668E">
      <w:pPr>
        <w:pStyle w:val="10"/>
        <w:keepNext w:val="0"/>
        <w:keepLines w:val="0"/>
        <w:pageBreakBefore w:val="0"/>
        <w:tabs>
          <w:tab w:val="left" w:pos="2160"/>
        </w:tabs>
        <w:kinsoku/>
        <w:wordWrap/>
        <w:overflowPunct/>
        <w:topLinePunct w:val="0"/>
        <w:autoSpaceDE/>
        <w:autoSpaceDN/>
        <w:bidi w:val="0"/>
        <w:spacing w:beforeLines="0" w:line="560" w:lineRule="exact"/>
        <w:ind w:firstLine="6080" w:firstLineChars="1900"/>
        <w:textAlignment w:val="auto"/>
        <w:rPr>
          <w:rFonts w:hint="default" w:ascii="Times New Roman" w:hAnsi="Times New Roman" w:eastAsia="仿宋_GB2312" w:cs="Times New Roman"/>
          <w:b/>
          <w:bCs/>
          <w:kern w:val="0"/>
          <w:positio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2026年4月22日</w:t>
      </w:r>
      <w:r>
        <w:rPr>
          <w:rFonts w:hint="default" w:ascii="Times New Roman" w:hAnsi="Times New Roman" w:eastAsia="仿宋_GB2312" w:cs="Times New Roman"/>
          <w:color w:val="auto"/>
          <w:kern w:val="0"/>
          <w:sz w:val="32"/>
          <w:szCs w:val="32"/>
          <w:lang w:val="en-US" w:eastAsia="zh-CN" w:bidi="ar-SA"/>
        </w:rPr>
        <w:br w:type="page"/>
      </w:r>
      <w:bookmarkStart w:id="92" w:name="_Toc2561"/>
      <w:r>
        <w:rPr>
          <w:rFonts w:hint="default" w:ascii="Times New Roman" w:hAnsi="Times New Roman" w:eastAsia="仿宋_GB2312" w:cs="Times New Roman"/>
          <w:b/>
          <w:bCs/>
          <w:kern w:val="0"/>
          <w:position w:val="0"/>
          <w:sz w:val="32"/>
          <w:szCs w:val="32"/>
          <w:lang w:val="en-US" w:eastAsia="zh-CN" w:bidi="ar-SA"/>
        </w:rPr>
        <w:t>附件2-1</w:t>
      </w:r>
      <w:bookmarkEnd w:id="92"/>
    </w:p>
    <w:p w14:paraId="3AFA5975">
      <w:pPr>
        <w:pStyle w:val="38"/>
        <w:spacing w:line="780" w:lineRule="exact"/>
        <w:jc w:val="center"/>
        <w:rPr>
          <w:rFonts w:hint="default" w:ascii="Times New Roman" w:hAnsi="Times New Roman" w:eastAsia="方正小标宋简体" w:cs="Times New Roman"/>
          <w:b w:val="0"/>
          <w:bCs w:val="0"/>
          <w:color w:val="auto"/>
          <w:kern w:val="0"/>
          <w:sz w:val="44"/>
          <w:szCs w:val="44"/>
          <w:lang w:val="en-US" w:eastAsia="zh-CN" w:bidi="ar-SA"/>
        </w:rPr>
      </w:pPr>
      <w:r>
        <w:rPr>
          <w:rFonts w:hint="default" w:ascii="Times New Roman" w:hAnsi="Times New Roman" w:eastAsia="方正小标宋简体" w:cs="Times New Roman"/>
          <w:b w:val="0"/>
          <w:bCs w:val="0"/>
          <w:color w:val="auto"/>
          <w:kern w:val="0"/>
          <w:sz w:val="44"/>
          <w:szCs w:val="44"/>
          <w:lang w:val="en-US" w:eastAsia="zh-CN" w:bidi="ar-SA"/>
        </w:rPr>
        <w:t>凉山州科学技术协会</w:t>
      </w:r>
    </w:p>
    <w:p w14:paraId="668698F8">
      <w:pPr>
        <w:pStyle w:val="38"/>
        <w:spacing w:line="780" w:lineRule="exact"/>
        <w:jc w:val="center"/>
        <w:rPr>
          <w:rFonts w:hint="default" w:ascii="Times New Roman" w:hAnsi="Times New Roman" w:eastAsia="方正小标宋简体" w:cs="Times New Roman"/>
          <w:b w:val="0"/>
          <w:bCs w:val="0"/>
          <w:color w:val="auto"/>
          <w:kern w:val="0"/>
          <w:sz w:val="44"/>
          <w:szCs w:val="44"/>
          <w:lang w:val="en-US" w:eastAsia="zh-CN" w:bidi="ar-SA"/>
        </w:rPr>
      </w:pPr>
      <w:r>
        <w:rPr>
          <w:rFonts w:hint="default" w:ascii="Times New Roman" w:hAnsi="Times New Roman" w:eastAsia="方正小标宋简体" w:cs="Times New Roman"/>
          <w:b w:val="0"/>
          <w:bCs w:val="0"/>
          <w:color w:val="auto"/>
          <w:kern w:val="0"/>
          <w:sz w:val="44"/>
          <w:szCs w:val="44"/>
          <w:lang w:val="en-US" w:eastAsia="zh-CN" w:bidi="ar-SA"/>
        </w:rPr>
        <w:t>2025年凉山州级科普专项经费预算绩效自评报告</w:t>
      </w:r>
    </w:p>
    <w:p w14:paraId="53448695">
      <w:pPr>
        <w:widowControl/>
        <w:adjustRightInd w:val="0"/>
        <w:snapToGrid w:val="0"/>
        <w:spacing w:line="578" w:lineRule="exact"/>
        <w:ind w:firstLine="880" w:firstLineChars="200"/>
        <w:contextualSpacing/>
        <w:jc w:val="left"/>
        <w:rPr>
          <w:rFonts w:hint="default" w:ascii="Times New Roman" w:hAnsi="Times New Roman" w:eastAsia="方正小标宋简体" w:cs="Times New Roman"/>
          <w:b w:val="0"/>
          <w:bCs w:val="0"/>
          <w:color w:val="auto"/>
          <w:kern w:val="0"/>
          <w:sz w:val="44"/>
          <w:szCs w:val="44"/>
          <w:lang w:val="en-US" w:eastAsia="zh-CN" w:bidi="ar-SA"/>
        </w:rPr>
      </w:pPr>
    </w:p>
    <w:p w14:paraId="03AA3E7D">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凉山州科学技术协会（以下简称州科协）按照《凉山州财政局关于开展绩效评价和绩效运行监控工作的通知》（凉财绩效〔2026〕5号）文件精神及要求，州科协组织开展了2025年度绩效自评工作。现将2025年凉山州级</w:t>
      </w:r>
      <w:r>
        <w:rPr>
          <w:rFonts w:hint="default" w:ascii="Times New Roman" w:hAnsi="Times New Roman" w:eastAsia="仿宋_GB2312" w:cs="Times New Roman"/>
          <w:color w:val="auto"/>
          <w:kern w:val="0"/>
          <w:sz w:val="32"/>
          <w:szCs w:val="32"/>
          <w:lang w:val="zh-CN" w:eastAsia="zh-CN" w:bidi="ar-SA"/>
        </w:rPr>
        <w:t>科普</w:t>
      </w:r>
      <w:r>
        <w:rPr>
          <w:rFonts w:hint="default" w:ascii="Times New Roman" w:hAnsi="Times New Roman" w:eastAsia="仿宋_GB2312" w:cs="Times New Roman"/>
          <w:color w:val="auto"/>
          <w:kern w:val="0"/>
          <w:sz w:val="32"/>
          <w:szCs w:val="32"/>
          <w:lang w:val="en-US" w:eastAsia="zh-CN" w:bidi="ar-SA"/>
        </w:rPr>
        <w:t>专项经费198.93万元</w:t>
      </w:r>
      <w:r>
        <w:rPr>
          <w:rFonts w:hint="default" w:ascii="Times New Roman" w:hAnsi="Times New Roman" w:eastAsia="仿宋_GB2312" w:cs="Times New Roman"/>
          <w:color w:val="auto"/>
          <w:kern w:val="0"/>
          <w:sz w:val="32"/>
          <w:szCs w:val="32"/>
          <w:lang w:val="zh-CN" w:eastAsia="zh-CN" w:bidi="ar-SA"/>
        </w:rPr>
        <w:t>实施绩效情况自评汇报如下：</w:t>
      </w:r>
    </w:p>
    <w:p w14:paraId="24CA9C96">
      <w:pPr>
        <w:adjustRightInd w:val="0"/>
        <w:snapToGrid w:val="0"/>
        <w:spacing w:line="578" w:lineRule="exact"/>
        <w:ind w:firstLine="640" w:firstLineChars="200"/>
        <w:rPr>
          <w:rFonts w:hint="default" w:ascii="Times New Roman" w:hAnsi="Times New Roman" w:eastAsia="黑体" w:cs="Times New Roman"/>
          <w:color w:val="auto"/>
          <w:kern w:val="0"/>
          <w:sz w:val="32"/>
          <w:szCs w:val="32"/>
          <w:lang w:val="zh-CN" w:eastAsia="zh-CN" w:bidi="ar-SA"/>
        </w:rPr>
      </w:pPr>
      <w:r>
        <w:rPr>
          <w:rFonts w:hint="default" w:ascii="Times New Roman" w:hAnsi="Times New Roman" w:eastAsia="黑体" w:cs="Times New Roman"/>
          <w:color w:val="auto"/>
          <w:kern w:val="0"/>
          <w:sz w:val="32"/>
          <w:szCs w:val="32"/>
          <w:lang w:val="en-US" w:eastAsia="zh-CN" w:bidi="ar-SA"/>
        </w:rPr>
        <w:t>一、</w:t>
      </w:r>
      <w:r>
        <w:rPr>
          <w:rFonts w:hint="default" w:ascii="Times New Roman" w:hAnsi="Times New Roman" w:eastAsia="黑体" w:cs="Times New Roman"/>
          <w:color w:val="auto"/>
          <w:kern w:val="0"/>
          <w:sz w:val="32"/>
          <w:szCs w:val="32"/>
          <w:lang w:val="zh-CN" w:eastAsia="zh-CN" w:bidi="ar-SA"/>
        </w:rPr>
        <w:t>项目概况</w:t>
      </w:r>
    </w:p>
    <w:p w14:paraId="740D5AA1">
      <w:pPr>
        <w:pStyle w:val="39"/>
        <w:spacing w:line="578"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（一）设立背景及基本情况</w:t>
      </w:r>
      <w:r>
        <w:rPr>
          <w:rFonts w:hint="default" w:ascii="Times New Roman" w:hAnsi="Times New Roman" w:eastAsia="仿宋_GB2312" w:cs="Times New Roman"/>
          <w:color w:val="auto"/>
          <w:kern w:val="0"/>
          <w:sz w:val="32"/>
          <w:szCs w:val="32"/>
          <w:lang w:val="zh-CN" w:eastAsia="zh-CN" w:bidi="ar-SA"/>
        </w:rPr>
        <w:t>。州</w:t>
      </w:r>
      <w:r>
        <w:rPr>
          <w:rFonts w:hint="default" w:ascii="Times New Roman" w:hAnsi="Times New Roman" w:eastAsia="仿宋_GB2312" w:cs="Times New Roman"/>
          <w:color w:val="auto"/>
          <w:kern w:val="0"/>
          <w:sz w:val="32"/>
          <w:szCs w:val="32"/>
          <w:lang w:val="en-US" w:eastAsia="zh-CN" w:bidi="ar-SA"/>
        </w:rPr>
        <w:t>科协为提升全民科学文化素质、助力科技强国，顺应新时代科普工作高质量发展的需求，深入贯彻落实《中华人民共和国科学技术普及法》《全民科学素质行动规划纲要》等法律法规与政策部署。各科室根据自身工作特点及围绕省科协重点项目天府科技云服务工作、天府科普研学游等向党组提交本年度项目任务并测算所需工作经费，经党组研究同意后，</w:t>
      </w:r>
      <w:r>
        <w:rPr>
          <w:rFonts w:hint="default" w:ascii="Times New Roman" w:hAnsi="Times New Roman" w:eastAsia="仿宋_GB2312" w:cs="Times New Roman"/>
          <w:color w:val="auto"/>
          <w:kern w:val="0"/>
          <w:sz w:val="32"/>
          <w:szCs w:val="32"/>
          <w:lang w:val="zh-CN" w:eastAsia="zh-CN" w:bidi="ar-SA"/>
        </w:rPr>
        <w:t>州科协设立了该年度项目任务。</w:t>
      </w:r>
      <w:r>
        <w:rPr>
          <w:rFonts w:hint="default" w:ascii="Times New Roman" w:hAnsi="Times New Roman" w:eastAsia="仿宋_GB2312" w:cs="Times New Roman"/>
          <w:color w:val="auto"/>
          <w:kern w:val="0"/>
          <w:sz w:val="32"/>
          <w:szCs w:val="32"/>
          <w:lang w:val="en-US" w:eastAsia="zh-CN" w:bidi="ar-SA"/>
        </w:rPr>
        <w:t>2025年州级科普专项经费，州本级共设立项目7个，合计198.93万元。</w:t>
      </w:r>
    </w:p>
    <w:p w14:paraId="5FCE8690">
      <w:pPr>
        <w:adjustRightInd w:val="0"/>
        <w:snapToGrid w:val="0"/>
        <w:spacing w:line="578" w:lineRule="exact"/>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（二）</w:t>
      </w:r>
      <w:r>
        <w:rPr>
          <w:rFonts w:hint="default" w:ascii="Times New Roman" w:hAnsi="Times New Roman" w:eastAsia="楷体_GB2312" w:cs="Times New Roman"/>
          <w:color w:val="auto"/>
          <w:kern w:val="0"/>
          <w:sz w:val="32"/>
          <w:szCs w:val="32"/>
          <w:lang w:val="en-US" w:eastAsia="zh-CN" w:bidi="ar-SA"/>
        </w:rPr>
        <w:t>实施目的及支持方向。</w:t>
      </w:r>
      <w:r>
        <w:rPr>
          <w:rFonts w:hint="default" w:ascii="Times New Roman" w:hAnsi="Times New Roman" w:eastAsia="仿宋_GB2312" w:cs="Times New Roman"/>
          <w:color w:val="auto"/>
          <w:kern w:val="0"/>
          <w:sz w:val="32"/>
          <w:szCs w:val="32"/>
          <w:lang w:val="zh-CN" w:eastAsia="zh-CN" w:bidi="ar-SA"/>
        </w:rPr>
        <w:t>州科协始终以提升全民科学素质、推动科普事业均衡发展、履行科普工作核心职能为重点，为科技强国和切实发挥承担着全州科普宣传、学术交流、弘扬科学精神、维护科技工作者合法权益、青少年科技教育实践、提高全民科学素质、并紧扣“以科技创新为主线、以项目建设为载体、以服务三农为导向”，全力推进科普建设、科技创新，推动科技成果向现实生产力转化，为全州各级政府决策和科技工作者服务，充分发挥科技资源优势，助力乡村振兴。州科协要求所有科普项目资金，必须严格执行《四川省财政厅四川省科学技术协会关于印发&lt;中央和省级财政科普科服专项资金管理办法</w:t>
      </w:r>
      <w:r>
        <w:rPr>
          <w:rFonts w:hint="eastAsia" w:eastAsia="仿宋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zh-CN" w:eastAsia="zh-CN" w:bidi="ar-SA"/>
        </w:rPr>
        <w:t>的通知》（川财规〔2024〕7号）《凉山州科技计划项目专项资金管理办法》（凉财规〔2020〕2号）及配套科普专项资金管理办法和相关财务管理制度，按照预算绩效设定目标明细</w:t>
      </w:r>
      <w:r>
        <w:rPr>
          <w:rFonts w:hint="eastAsia" w:eastAsia="仿宋_GB2312" w:cs="Times New Roman"/>
          <w:color w:val="auto"/>
          <w:kern w:val="0"/>
          <w:sz w:val="32"/>
          <w:szCs w:val="32"/>
          <w:lang w:val="zh-CN" w:eastAsia="zh-CN" w:bidi="ar-SA"/>
        </w:rPr>
        <w:t>实施</w:t>
      </w:r>
      <w:r>
        <w:rPr>
          <w:rFonts w:hint="default" w:ascii="Times New Roman" w:hAnsi="Times New Roman" w:eastAsia="仿宋_GB2312" w:cs="Times New Roman"/>
          <w:color w:val="auto"/>
          <w:kern w:val="0"/>
          <w:sz w:val="32"/>
          <w:szCs w:val="32"/>
          <w:lang w:val="zh-CN" w:eastAsia="zh-CN" w:bidi="ar-SA"/>
        </w:rPr>
        <w:t>。项目预算支出执行中坚持专款专用，不互为挪用挤占、隐瞒、截留、虚支虚列等弄虚作假违法违规行为，做到全面完整真实反映经济业务、建立专账准确核算会计科目，公开、公正、公平、透明的使用每一笔专项资金，确保资金精准投向群众急需、覆盖面广、时效性强的科普项目，切实让科普红利惠及广大群众，最大化促进资金使用率及工作绩效的提高。</w:t>
      </w:r>
    </w:p>
    <w:p w14:paraId="072C9334">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（三）</w:t>
      </w:r>
      <w:r>
        <w:rPr>
          <w:rFonts w:hint="default" w:ascii="Times New Roman" w:hAnsi="Times New Roman" w:eastAsia="楷体_GB2312" w:cs="Times New Roman"/>
          <w:color w:val="auto"/>
          <w:kern w:val="0"/>
          <w:sz w:val="32"/>
          <w:szCs w:val="32"/>
          <w:lang w:val="en-US" w:eastAsia="zh-CN" w:bidi="ar-SA"/>
        </w:rPr>
        <w:t>预算安排及分配管理</w:t>
      </w:r>
      <w:r>
        <w:rPr>
          <w:rFonts w:hint="default" w:ascii="Times New Roman" w:hAnsi="Times New Roman" w:eastAsia="楷体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zh-CN" w:eastAsia="zh-CN" w:bidi="ar-SA"/>
        </w:rPr>
        <w:t>州科协党组对202</w:t>
      </w:r>
      <w:r>
        <w:rPr>
          <w:rFonts w:hint="default" w:ascii="Times New Roman" w:hAnsi="Times New Roman" w:eastAsia="仿宋_GB2312" w:cs="Times New Roman"/>
          <w:color w:val="auto"/>
          <w:kern w:val="0"/>
          <w:sz w:val="32"/>
          <w:szCs w:val="32"/>
          <w:lang w:val="en-US" w:eastAsia="zh-CN" w:bidi="ar-SA"/>
        </w:rPr>
        <w:t>5</w:t>
      </w:r>
      <w:r>
        <w:rPr>
          <w:rFonts w:hint="default" w:ascii="Times New Roman" w:hAnsi="Times New Roman" w:eastAsia="仿宋_GB2312" w:cs="Times New Roman"/>
          <w:color w:val="auto"/>
          <w:kern w:val="0"/>
          <w:sz w:val="32"/>
          <w:szCs w:val="32"/>
          <w:lang w:val="zh-CN" w:eastAsia="zh-CN" w:bidi="ar-SA"/>
        </w:rPr>
        <w:t>年的州级科普项目资金分配以围绕省科协重点工作“天府科技云服务”为主线，坚持统筹规划、突出重点、规范分配、专款专用原则。结合各科室具体工作，科学制定分配方案，依据项目实施内容、服务对象、覆盖范围设定项目，确保资金向基层、重点人群和实效型科普项目倾斜。</w:t>
      </w:r>
      <w:r>
        <w:rPr>
          <w:rFonts w:hint="default" w:ascii="Times New Roman" w:hAnsi="Times New Roman" w:eastAsia="仿宋_GB2312" w:cs="Times New Roman"/>
          <w:color w:val="auto"/>
          <w:kern w:val="0"/>
          <w:sz w:val="32"/>
          <w:szCs w:val="32"/>
          <w:lang w:val="en-US" w:eastAsia="zh-CN" w:bidi="ar-SA"/>
        </w:rPr>
        <w:t>2025年州级科普资金</w:t>
      </w:r>
      <w:r>
        <w:rPr>
          <w:rFonts w:hint="default" w:ascii="Times New Roman" w:hAnsi="Times New Roman" w:eastAsia="仿宋_GB2312" w:cs="Times New Roman"/>
          <w:color w:val="auto"/>
          <w:kern w:val="0"/>
          <w:sz w:val="32"/>
          <w:szCs w:val="32"/>
          <w:lang w:val="zh-CN" w:eastAsia="zh-CN" w:bidi="ar-SA"/>
        </w:rPr>
        <w:t>共设立项目</w:t>
      </w:r>
      <w:r>
        <w:rPr>
          <w:rFonts w:hint="default" w:ascii="Times New Roman" w:hAnsi="Times New Roman" w:eastAsia="仿宋_GB2312" w:cs="Times New Roman"/>
          <w:color w:val="auto"/>
          <w:kern w:val="0"/>
          <w:sz w:val="32"/>
          <w:szCs w:val="32"/>
          <w:lang w:val="en-US" w:eastAsia="zh-CN" w:bidi="ar-SA"/>
        </w:rPr>
        <w:t>7</w:t>
      </w:r>
      <w:r>
        <w:rPr>
          <w:rFonts w:hint="default" w:ascii="Times New Roman" w:hAnsi="Times New Roman" w:eastAsia="仿宋_GB2312" w:cs="Times New Roman"/>
          <w:color w:val="auto"/>
          <w:kern w:val="0"/>
          <w:sz w:val="32"/>
          <w:szCs w:val="32"/>
          <w:lang w:val="zh-CN" w:eastAsia="zh-CN" w:bidi="ar-SA"/>
        </w:rPr>
        <w:t>个，分别为公共服务及基础设施运行保障等经费</w:t>
      </w:r>
      <w:r>
        <w:rPr>
          <w:rFonts w:hint="default" w:ascii="Times New Roman" w:hAnsi="Times New Roman" w:eastAsia="仿宋_GB2312" w:cs="Times New Roman"/>
          <w:color w:val="auto"/>
          <w:kern w:val="0"/>
          <w:sz w:val="32"/>
          <w:szCs w:val="32"/>
          <w:lang w:val="en-US" w:eastAsia="zh-CN" w:bidi="ar-SA"/>
        </w:rPr>
        <w:t>65.87万元；</w:t>
      </w:r>
      <w:r>
        <w:rPr>
          <w:rFonts w:hint="default" w:ascii="Times New Roman" w:hAnsi="Times New Roman" w:eastAsia="仿宋_GB2312" w:cs="Times New Roman"/>
          <w:color w:val="auto"/>
          <w:kern w:val="0"/>
          <w:sz w:val="32"/>
          <w:szCs w:val="32"/>
          <w:lang w:val="zh-CN" w:eastAsia="zh-CN" w:bidi="ar-SA"/>
        </w:rPr>
        <w:t>“天府科技云服务”日常运维补助经费</w:t>
      </w:r>
      <w:r>
        <w:rPr>
          <w:rFonts w:hint="default" w:ascii="Times New Roman" w:hAnsi="Times New Roman" w:eastAsia="仿宋_GB2312" w:cs="Times New Roman"/>
          <w:color w:val="auto"/>
          <w:kern w:val="0"/>
          <w:sz w:val="32"/>
          <w:szCs w:val="32"/>
          <w:lang w:val="en-US" w:eastAsia="zh-CN" w:bidi="ar-SA"/>
        </w:rPr>
        <w:t>52.36</w:t>
      </w:r>
      <w:r>
        <w:rPr>
          <w:rFonts w:hint="default" w:ascii="Times New Roman" w:hAnsi="Times New Roman" w:eastAsia="仿宋_GB2312" w:cs="Times New Roman"/>
          <w:color w:val="auto"/>
          <w:kern w:val="0"/>
          <w:sz w:val="32"/>
          <w:szCs w:val="32"/>
          <w:lang w:val="zh-CN" w:eastAsia="zh-CN" w:bidi="ar-SA"/>
        </w:rPr>
        <w:t>万元；科技小院建设</w:t>
      </w:r>
      <w:r>
        <w:rPr>
          <w:rFonts w:hint="default" w:ascii="Times New Roman" w:hAnsi="Times New Roman" w:eastAsia="仿宋_GB2312" w:cs="Times New Roman"/>
          <w:color w:val="auto"/>
          <w:kern w:val="0"/>
          <w:sz w:val="32"/>
          <w:szCs w:val="32"/>
          <w:lang w:val="en-US" w:eastAsia="zh-CN" w:bidi="ar-SA"/>
        </w:rPr>
        <w:t>15万元；</w:t>
      </w:r>
      <w:r>
        <w:rPr>
          <w:rFonts w:hint="default" w:ascii="Times New Roman" w:hAnsi="Times New Roman" w:eastAsia="仿宋_GB2312" w:cs="Times New Roman"/>
          <w:color w:val="auto"/>
          <w:kern w:val="0"/>
          <w:sz w:val="32"/>
          <w:szCs w:val="32"/>
          <w:lang w:val="zh-CN" w:eastAsia="zh-CN" w:bidi="ar-SA"/>
        </w:rPr>
        <w:t>学会能力提升计划</w:t>
      </w:r>
      <w:r>
        <w:rPr>
          <w:rFonts w:hint="default" w:ascii="Times New Roman" w:hAnsi="Times New Roman" w:eastAsia="仿宋_GB2312" w:cs="Times New Roman"/>
          <w:color w:val="auto"/>
          <w:kern w:val="0"/>
          <w:sz w:val="32"/>
          <w:szCs w:val="32"/>
          <w:lang w:val="en-US" w:eastAsia="zh-CN" w:bidi="ar-SA"/>
        </w:rPr>
        <w:t>27</w:t>
      </w:r>
      <w:r>
        <w:rPr>
          <w:rFonts w:hint="default" w:ascii="Times New Roman" w:hAnsi="Times New Roman" w:eastAsia="仿宋_GB2312" w:cs="Times New Roman"/>
          <w:color w:val="auto"/>
          <w:kern w:val="0"/>
          <w:sz w:val="32"/>
          <w:szCs w:val="32"/>
          <w:lang w:val="zh-CN" w:eastAsia="zh-CN" w:bidi="ar-SA"/>
        </w:rPr>
        <w:t>万元；院士（专家）工作站及企事业科协组织建设</w:t>
      </w:r>
      <w:r>
        <w:rPr>
          <w:rFonts w:hint="default" w:ascii="Times New Roman" w:hAnsi="Times New Roman" w:eastAsia="仿宋_GB2312" w:cs="Times New Roman"/>
          <w:color w:val="auto"/>
          <w:kern w:val="0"/>
          <w:sz w:val="32"/>
          <w:szCs w:val="32"/>
          <w:lang w:val="en-US" w:eastAsia="zh-CN" w:bidi="ar-SA"/>
        </w:rPr>
        <w:t>23</w:t>
      </w:r>
      <w:r>
        <w:rPr>
          <w:rFonts w:hint="default" w:ascii="Times New Roman" w:hAnsi="Times New Roman" w:eastAsia="仿宋_GB2312" w:cs="Times New Roman"/>
          <w:color w:val="auto"/>
          <w:kern w:val="0"/>
          <w:sz w:val="32"/>
          <w:szCs w:val="32"/>
          <w:lang w:val="zh-CN" w:eastAsia="zh-CN" w:bidi="ar-SA"/>
        </w:rPr>
        <w:t>万元；青少年科技创新教育活动科学家进校园</w:t>
      </w:r>
      <w:r>
        <w:rPr>
          <w:rFonts w:hint="default" w:ascii="Times New Roman" w:hAnsi="Times New Roman" w:eastAsia="仿宋_GB2312" w:cs="Times New Roman"/>
          <w:color w:val="auto"/>
          <w:kern w:val="0"/>
          <w:sz w:val="32"/>
          <w:szCs w:val="32"/>
          <w:lang w:val="en-US" w:eastAsia="zh-CN" w:bidi="ar-SA"/>
        </w:rPr>
        <w:t>5.70</w:t>
      </w:r>
      <w:r>
        <w:rPr>
          <w:rFonts w:hint="default" w:ascii="Times New Roman" w:hAnsi="Times New Roman" w:eastAsia="仿宋_GB2312" w:cs="Times New Roman"/>
          <w:color w:val="auto"/>
          <w:kern w:val="0"/>
          <w:sz w:val="32"/>
          <w:szCs w:val="32"/>
          <w:lang w:val="zh-CN" w:eastAsia="zh-CN" w:bidi="ar-SA"/>
        </w:rPr>
        <w:t>万元；乡村振兴科普宣传培训</w:t>
      </w:r>
      <w:r>
        <w:rPr>
          <w:rFonts w:hint="default" w:ascii="Times New Roman" w:hAnsi="Times New Roman" w:eastAsia="仿宋_GB2312" w:cs="Times New Roman"/>
          <w:color w:val="auto"/>
          <w:kern w:val="0"/>
          <w:sz w:val="32"/>
          <w:szCs w:val="32"/>
          <w:lang w:val="en-US" w:eastAsia="zh-CN" w:bidi="ar-SA"/>
        </w:rPr>
        <w:t>10</w:t>
      </w:r>
      <w:r>
        <w:rPr>
          <w:rFonts w:hint="default" w:ascii="Times New Roman" w:hAnsi="Times New Roman" w:eastAsia="仿宋_GB2312" w:cs="Times New Roman"/>
          <w:color w:val="auto"/>
          <w:kern w:val="0"/>
          <w:sz w:val="32"/>
          <w:szCs w:val="32"/>
          <w:lang w:val="zh-CN" w:eastAsia="zh-CN" w:bidi="ar-SA"/>
        </w:rPr>
        <w:t>万元；共计</w:t>
      </w:r>
      <w:r>
        <w:rPr>
          <w:rFonts w:hint="default" w:ascii="Times New Roman" w:hAnsi="Times New Roman" w:eastAsia="仿宋_GB2312" w:cs="Times New Roman"/>
          <w:color w:val="auto"/>
          <w:kern w:val="0"/>
          <w:sz w:val="32"/>
          <w:szCs w:val="32"/>
          <w:lang w:val="en-US" w:eastAsia="zh-CN" w:bidi="ar-SA"/>
        </w:rPr>
        <w:t>198.93</w:t>
      </w:r>
      <w:r>
        <w:rPr>
          <w:rFonts w:hint="default" w:ascii="Times New Roman" w:hAnsi="Times New Roman" w:eastAsia="仿宋_GB2312" w:cs="Times New Roman"/>
          <w:color w:val="auto"/>
          <w:kern w:val="0"/>
          <w:sz w:val="32"/>
          <w:szCs w:val="32"/>
          <w:lang w:val="zh-CN" w:eastAsia="zh-CN" w:bidi="ar-SA"/>
        </w:rPr>
        <w:t>万元，并报</w:t>
      </w:r>
      <w:r>
        <w:rPr>
          <w:rFonts w:hint="eastAsia" w:eastAsia="仿宋_GB2312" w:cs="Times New Roman"/>
          <w:color w:val="auto"/>
          <w:kern w:val="0"/>
          <w:sz w:val="32"/>
          <w:szCs w:val="32"/>
          <w:lang w:val="zh-CN" w:eastAsia="zh-CN" w:bidi="ar-SA"/>
        </w:rPr>
        <w:t>纪检监察组</w:t>
      </w:r>
      <w:r>
        <w:rPr>
          <w:rFonts w:hint="default" w:ascii="Times New Roman" w:hAnsi="Times New Roman" w:eastAsia="仿宋_GB2312" w:cs="Times New Roman"/>
          <w:color w:val="auto"/>
          <w:kern w:val="0"/>
          <w:sz w:val="32"/>
          <w:szCs w:val="32"/>
          <w:lang w:val="zh-CN" w:eastAsia="zh-CN" w:bidi="ar-SA"/>
        </w:rPr>
        <w:t>备案。州科协以“关于</w:t>
      </w:r>
      <w:r>
        <w:rPr>
          <w:rFonts w:hint="default" w:ascii="Times New Roman" w:hAnsi="Times New Roman" w:eastAsia="仿宋_GB2312" w:cs="Times New Roman"/>
          <w:color w:val="auto"/>
          <w:kern w:val="0"/>
          <w:sz w:val="32"/>
          <w:szCs w:val="32"/>
          <w:lang w:val="en-US" w:eastAsia="zh-CN" w:bidi="ar-SA"/>
        </w:rPr>
        <w:t>2025年度州本级科普经费预算安排的通知</w:t>
      </w:r>
      <w:r>
        <w:rPr>
          <w:rFonts w:hint="default" w:ascii="Times New Roman" w:hAnsi="Times New Roman" w:eastAsia="仿宋_GB2312" w:cs="Times New Roman"/>
          <w:color w:val="auto"/>
          <w:kern w:val="0"/>
          <w:sz w:val="32"/>
          <w:szCs w:val="32"/>
          <w:lang w:val="zh-CN" w:eastAsia="zh-CN" w:bidi="ar-SA"/>
        </w:rPr>
        <w:t>”（凉科协〔</w:t>
      </w:r>
      <w:r>
        <w:rPr>
          <w:rFonts w:hint="default" w:ascii="Times New Roman" w:hAnsi="Times New Roman" w:eastAsia="仿宋_GB2312" w:cs="Times New Roman"/>
          <w:color w:val="auto"/>
          <w:kern w:val="0"/>
          <w:sz w:val="32"/>
          <w:szCs w:val="32"/>
          <w:lang w:val="en-US" w:eastAsia="zh-CN" w:bidi="ar-SA"/>
        </w:rPr>
        <w:t>2025</w:t>
      </w:r>
      <w:r>
        <w:rPr>
          <w:rFonts w:hint="default" w:ascii="Times New Roman" w:hAnsi="Times New Roman" w:eastAsia="仿宋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en-US" w:eastAsia="zh-CN" w:bidi="ar-SA"/>
        </w:rPr>
        <w:t>4号</w:t>
      </w:r>
      <w:r>
        <w:rPr>
          <w:rFonts w:hint="default" w:ascii="Times New Roman" w:hAnsi="Times New Roman" w:eastAsia="仿宋_GB2312" w:cs="Times New Roman"/>
          <w:color w:val="auto"/>
          <w:kern w:val="0"/>
          <w:sz w:val="32"/>
          <w:szCs w:val="32"/>
          <w:lang w:val="zh-CN" w:eastAsia="zh-CN" w:bidi="ar-SA"/>
        </w:rPr>
        <w:t>）正式下达经费，要求各项目组严格按照年初预算安排推进各项工作，确保年度圆满完成任务。</w:t>
      </w:r>
    </w:p>
    <w:p w14:paraId="6420B429">
      <w:pPr>
        <w:adjustRightInd w:val="0"/>
        <w:snapToGrid w:val="0"/>
        <w:spacing w:line="578" w:lineRule="exact"/>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（四）项目绩效目标设置。</w:t>
      </w:r>
      <w:bookmarkStart w:id="93" w:name="OLE_LINK24"/>
      <w:bookmarkStart w:id="94" w:name="OLE_LINK23"/>
      <w:r>
        <w:rPr>
          <w:rFonts w:hint="default" w:ascii="Times New Roman" w:hAnsi="Times New Roman" w:eastAsia="仿宋_GB2312" w:cs="Times New Roman"/>
          <w:color w:val="auto"/>
          <w:kern w:val="0"/>
          <w:sz w:val="32"/>
          <w:szCs w:val="32"/>
          <w:lang w:val="zh-CN" w:eastAsia="zh-CN" w:bidi="ar-SA"/>
        </w:rPr>
        <w:t>州科协严格落实全面绩效管理要求，围绕省级重点项目工作“天府科技云服务”，科学设置绩效目标、规范全过程管理，</w:t>
      </w:r>
      <w:bookmarkEnd w:id="93"/>
      <w:bookmarkEnd w:id="94"/>
      <w:r>
        <w:rPr>
          <w:rFonts w:hint="default" w:ascii="Times New Roman" w:hAnsi="Times New Roman" w:eastAsia="仿宋_GB2312" w:cs="Times New Roman"/>
          <w:color w:val="auto"/>
          <w:kern w:val="0"/>
          <w:sz w:val="32"/>
          <w:szCs w:val="32"/>
          <w:lang w:val="zh-CN" w:eastAsia="zh-CN" w:bidi="ar-SA"/>
        </w:rPr>
        <w:t>紧扣科学技术普及、传播、科普资源开发、公民素质提升等工作任务，将通用指标、专用指标、个性指标细化量化。目标设定贴合政策法规和部门职责，确保资金使用方向明确、绩效导向清晰。在项目决策和实施方面坚持“资金跟着项目走、项目跟着决策走”的理念，各项目组在接到通知后立即对本科室承担的项目开展自评。此次自评按照年初绩效目标设定，认真梳理年度项目工作完成情况，填写了《专项预算项目绩效自评打分表》、《专项预算项目绩效目标完成情况自评表》并撰写《专项预算项目绩效评价报告》，查找差距，为下一年项目申报绩效目标设置打下良好基础。</w:t>
      </w:r>
    </w:p>
    <w:p w14:paraId="4B91E119">
      <w:pPr>
        <w:adjustRightInd w:val="0"/>
        <w:snapToGrid w:val="0"/>
        <w:spacing w:line="578" w:lineRule="exact"/>
        <w:ind w:firstLine="640" w:firstLineChars="200"/>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二、评价实施</w:t>
      </w:r>
    </w:p>
    <w:p w14:paraId="1FF51854">
      <w:pPr>
        <w:spacing w:line="578" w:lineRule="exact"/>
        <w:ind w:firstLine="64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（一）评价目的。</w:t>
      </w:r>
      <w:r>
        <w:rPr>
          <w:rFonts w:hint="default" w:ascii="Times New Roman" w:hAnsi="Times New Roman" w:eastAsia="仿宋_GB2312" w:cs="Times New Roman"/>
          <w:color w:val="auto"/>
          <w:kern w:val="0"/>
          <w:sz w:val="32"/>
          <w:szCs w:val="32"/>
          <w:lang w:val="en-US" w:eastAsia="zh-CN" w:bidi="ar-SA"/>
        </w:rPr>
        <w:t>通</w:t>
      </w:r>
      <w:r>
        <w:rPr>
          <w:rFonts w:hint="default" w:ascii="Times New Roman" w:hAnsi="Times New Roman" w:eastAsia="仿宋_GB2312" w:cs="Times New Roman"/>
          <w:color w:val="auto"/>
          <w:kern w:val="0"/>
          <w:sz w:val="32"/>
          <w:szCs w:val="32"/>
          <w:lang w:val="zh-CN" w:eastAsia="zh-CN" w:bidi="ar-SA"/>
        </w:rPr>
        <w:t>过本次项目绩效自评，了解科普项目绩效目标完成情况、资金使用是否有效、资金管理是否规范，精准查找资金使用管理中的薄弱环节，及时总结经验，改进管理措施，提升财政资金使用效率，推动全面科学素质提升与科普工作高质量发展。</w:t>
      </w:r>
    </w:p>
    <w:p w14:paraId="589C843A">
      <w:pPr>
        <w:adjustRightInd w:val="0"/>
        <w:snapToGrid w:val="0"/>
        <w:spacing w:line="578" w:lineRule="exact"/>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（二）预设问题及评价重点。</w:t>
      </w:r>
      <w:r>
        <w:rPr>
          <w:rFonts w:hint="default" w:ascii="Times New Roman" w:hAnsi="Times New Roman" w:eastAsia="仿宋_GB2312" w:cs="Times New Roman"/>
          <w:color w:val="auto"/>
          <w:kern w:val="0"/>
          <w:sz w:val="32"/>
          <w:szCs w:val="32"/>
          <w:lang w:val="zh-CN" w:eastAsia="zh-CN" w:bidi="ar-SA"/>
        </w:rPr>
        <w:t>本次绩效自评，州科协严格围绕财政资金绩效管理要求，重点核查资金预算执行进度、使用合规性与财务管理规范性，确保专款专用；量化科普活动场次、覆盖人群、科普阵地建设等任务完成情况。州科协对项目的管理严谨、严格执行《四川省财政厅四川省科学技术协会关于印发&lt;中央和省级财政科普科服专项资金管理办法</w:t>
      </w:r>
      <w:r>
        <w:rPr>
          <w:rFonts w:hint="eastAsia" w:eastAsia="仿宋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zh-CN" w:eastAsia="zh-CN" w:bidi="ar-SA"/>
        </w:rPr>
        <w:t>的通知》（川财规〔2024〕7号）、《凉山州科技计划项目专项资金管理办法》（凉财规〔2020〕2号）等科普专项资金管理办法和相关财务管理制度，认真贯彻“用钱必问效、无效必问责”的财政资金绩效管理原则，党组按照财政要求将绩效管理的理念贯穿于项目的事前、事中、事后。党组要求项目组要事前进行调研，掌握必要的基本情况，便于党组制定项目决策；事中加强实地考察以指导项目不偏离预期计划；事后组织对项目进行验收，确保项目实现目标。因此相关管理制度机制健全、组织程序完善。</w:t>
      </w:r>
    </w:p>
    <w:p w14:paraId="65489775">
      <w:pPr>
        <w:adjustRightInd w:val="0"/>
        <w:snapToGrid w:val="0"/>
        <w:spacing w:line="578" w:lineRule="exact"/>
        <w:ind w:firstLine="640" w:firstLineChars="20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（三）评价选点。</w:t>
      </w:r>
      <w:r>
        <w:rPr>
          <w:rFonts w:hint="default" w:ascii="Times New Roman" w:hAnsi="Times New Roman" w:eastAsia="仿宋_GB2312" w:cs="Times New Roman"/>
          <w:color w:val="auto"/>
          <w:kern w:val="0"/>
          <w:sz w:val="32"/>
          <w:szCs w:val="32"/>
          <w:lang w:val="zh-CN" w:eastAsia="zh-CN" w:bidi="ar-SA"/>
        </w:rPr>
        <w:t>本次项目绩效自评采取所有项目资金全覆盖，聚焦专项资金使用“最小单元”，督促各项目组开展绩效自评工作。</w:t>
      </w:r>
    </w:p>
    <w:p w14:paraId="25EDB05D">
      <w:pPr>
        <w:spacing w:line="578"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（四）评价方法。</w:t>
      </w:r>
      <w:r>
        <w:rPr>
          <w:rFonts w:hint="default" w:ascii="Times New Roman" w:hAnsi="Times New Roman" w:eastAsia="仿宋_GB2312" w:cs="Times New Roman"/>
          <w:color w:val="auto"/>
          <w:kern w:val="0"/>
          <w:sz w:val="32"/>
          <w:szCs w:val="32"/>
          <w:lang w:val="en-US" w:eastAsia="zh-CN" w:bidi="ar-SA"/>
        </w:rPr>
        <w:t>本</w:t>
      </w:r>
      <w:r>
        <w:rPr>
          <w:rFonts w:hint="default" w:ascii="Times New Roman" w:hAnsi="Times New Roman" w:eastAsia="仿宋_GB2312" w:cs="Times New Roman"/>
          <w:color w:val="auto"/>
          <w:kern w:val="0"/>
          <w:sz w:val="32"/>
          <w:szCs w:val="32"/>
          <w:lang w:val="zh-CN" w:eastAsia="zh-CN" w:bidi="ar-SA"/>
        </w:rPr>
        <w:t>次项目绩效自评评价方法采取单位自评法，结合设定的绩效指标体系，对照指标完成情况逐项打分。</w:t>
      </w:r>
    </w:p>
    <w:p w14:paraId="529EB317">
      <w:pPr>
        <w:spacing w:line="578" w:lineRule="exact"/>
        <w:ind w:firstLine="64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（五）评价组织。</w:t>
      </w:r>
      <w:r>
        <w:rPr>
          <w:rFonts w:hint="default" w:ascii="Times New Roman" w:hAnsi="Times New Roman" w:eastAsia="仿宋_GB2312" w:cs="Times New Roman"/>
          <w:color w:val="auto"/>
          <w:kern w:val="0"/>
          <w:sz w:val="32"/>
          <w:szCs w:val="32"/>
          <w:lang w:val="zh-CN" w:eastAsia="zh-CN" w:bidi="ar-SA"/>
        </w:rPr>
        <w:t>根据《凉山州财政局关于开展绩效评价和绩效运行监控工作的通知》（凉财绩效〔202</w:t>
      </w:r>
      <w:r>
        <w:rPr>
          <w:rFonts w:hint="default" w:ascii="Times New Roman" w:hAnsi="Times New Roman" w:eastAsia="仿宋_GB2312" w:cs="Times New Roman"/>
          <w:color w:val="auto"/>
          <w:kern w:val="0"/>
          <w:sz w:val="32"/>
          <w:szCs w:val="32"/>
          <w:lang w:val="en-US" w:eastAsia="zh-CN" w:bidi="ar-SA"/>
        </w:rPr>
        <w:t>6</w:t>
      </w:r>
      <w:r>
        <w:rPr>
          <w:rFonts w:hint="default" w:ascii="Times New Roman" w:hAnsi="Times New Roman" w:eastAsia="仿宋_GB2312" w:cs="Times New Roman"/>
          <w:color w:val="auto"/>
          <w:kern w:val="0"/>
          <w:sz w:val="32"/>
          <w:szCs w:val="32"/>
          <w:lang w:val="zh-CN" w:eastAsia="zh-CN" w:bidi="ar-SA"/>
        </w:rPr>
        <w:t>〕5号）文件精神及要求，州科协党组高度重视，组织职工认真学习领会文件精神。秉承“谁用钱，谁负责”的原则，把此项任务落实到每个科室项目组，压实工作责任。</w:t>
      </w:r>
    </w:p>
    <w:p w14:paraId="44076222">
      <w:pPr>
        <w:adjustRightInd w:val="0"/>
        <w:snapToGrid w:val="0"/>
        <w:spacing w:line="578" w:lineRule="exact"/>
        <w:ind w:firstLine="640" w:firstLineChars="200"/>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三、绩效分析</w:t>
      </w:r>
      <w:r>
        <w:rPr>
          <w:rFonts w:hint="default" w:ascii="Times New Roman" w:hAnsi="Times New Roman" w:eastAsia="黑体" w:cs="Times New Roman"/>
          <w:color w:val="auto"/>
          <w:kern w:val="0"/>
          <w:sz w:val="32"/>
          <w:szCs w:val="32"/>
          <w:lang w:val="zh-CN" w:eastAsia="zh-CN" w:bidi="ar-SA"/>
        </w:rPr>
        <w:tab/>
      </w:r>
    </w:p>
    <w:p w14:paraId="78DF29A3">
      <w:pPr>
        <w:spacing w:line="578" w:lineRule="exact"/>
        <w:ind w:firstLine="640"/>
        <w:rPr>
          <w:rFonts w:hint="default" w:ascii="Times New Roman" w:hAnsi="Times New Roman" w:eastAsia="楷体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zh-CN" w:eastAsia="zh-CN" w:bidi="ar-SA"/>
        </w:rPr>
        <w:t>（一）</w:t>
      </w:r>
      <w:r>
        <w:rPr>
          <w:rFonts w:hint="default" w:ascii="Times New Roman" w:hAnsi="Times New Roman" w:eastAsia="楷体_GB2312" w:cs="Times New Roman"/>
          <w:color w:val="auto"/>
          <w:kern w:val="0"/>
          <w:sz w:val="32"/>
          <w:szCs w:val="32"/>
          <w:lang w:val="en-US" w:eastAsia="zh-CN" w:bidi="ar-SA"/>
        </w:rPr>
        <w:t>通用指标</w:t>
      </w:r>
      <w:r>
        <w:rPr>
          <w:rFonts w:hint="default" w:ascii="Times New Roman" w:hAnsi="Times New Roman" w:eastAsia="楷体_GB2312" w:cs="Times New Roman"/>
          <w:color w:val="auto"/>
          <w:kern w:val="0"/>
          <w:sz w:val="32"/>
          <w:szCs w:val="32"/>
          <w:lang w:val="zh-CN" w:eastAsia="zh-CN" w:bidi="ar-SA"/>
        </w:rPr>
        <w:t>绩效分析。自评得分5</w:t>
      </w:r>
      <w:r>
        <w:rPr>
          <w:rFonts w:hint="default" w:ascii="Times New Roman" w:hAnsi="Times New Roman" w:eastAsia="楷体_GB2312" w:cs="Times New Roman"/>
          <w:color w:val="auto"/>
          <w:kern w:val="0"/>
          <w:sz w:val="32"/>
          <w:szCs w:val="32"/>
          <w:lang w:val="en-US" w:eastAsia="zh-CN" w:bidi="ar-SA"/>
        </w:rPr>
        <w:t>4</w:t>
      </w:r>
      <w:r>
        <w:rPr>
          <w:rFonts w:hint="default" w:ascii="Times New Roman" w:hAnsi="Times New Roman" w:eastAsia="楷体_GB2312" w:cs="Times New Roman"/>
          <w:color w:val="auto"/>
          <w:kern w:val="0"/>
          <w:sz w:val="32"/>
          <w:szCs w:val="32"/>
          <w:lang w:val="zh-CN" w:eastAsia="zh-CN" w:bidi="ar-SA"/>
        </w:rPr>
        <w:t>分。</w:t>
      </w:r>
    </w:p>
    <w:p w14:paraId="51CC28BB">
      <w:pPr>
        <w:spacing w:line="578" w:lineRule="exact"/>
        <w:ind w:firstLine="640"/>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1.项目决策。</w:t>
      </w:r>
      <w:r>
        <w:rPr>
          <w:rFonts w:hint="default" w:ascii="Times New Roman" w:hAnsi="Times New Roman" w:eastAsia="仿宋_GB2312" w:cs="Times New Roman"/>
          <w:color w:val="auto"/>
          <w:kern w:val="0"/>
          <w:sz w:val="32"/>
          <w:szCs w:val="32"/>
          <w:lang w:val="zh-CN" w:eastAsia="zh-CN" w:bidi="ar-SA"/>
        </w:rPr>
        <w:t>在专项资金的分配上，州科协在接到州财政局年度预算通知后，即刻组织各项目组进行分配安排。在项目决策过程中，州科协党组按照省科协的重点项目计划和州委州政府重点工作安排，结合各项目组申报年度工作计划，逐项进行分配，将分配结果报备</w:t>
      </w:r>
      <w:r>
        <w:rPr>
          <w:rFonts w:hint="eastAsia" w:eastAsia="仿宋_GB2312" w:cs="Times New Roman"/>
          <w:color w:val="auto"/>
          <w:kern w:val="0"/>
          <w:sz w:val="32"/>
          <w:szCs w:val="32"/>
          <w:lang w:val="zh-CN" w:eastAsia="zh-CN" w:bidi="ar-SA"/>
        </w:rPr>
        <w:t>纪检监察组</w:t>
      </w:r>
      <w:r>
        <w:rPr>
          <w:rFonts w:hint="default" w:ascii="Times New Roman" w:hAnsi="Times New Roman" w:eastAsia="仿宋_GB2312" w:cs="Times New Roman"/>
          <w:color w:val="auto"/>
          <w:kern w:val="0"/>
          <w:sz w:val="32"/>
          <w:szCs w:val="32"/>
          <w:lang w:val="zh-CN" w:eastAsia="zh-CN" w:bidi="ar-SA"/>
        </w:rPr>
        <w:t>。并要求项目资金使用科室按照要求提供明确项目立项依据和目的、项目主要内容、项目绩效目标及预期成果、项目实施条件、项目执行进度及阶段目标等，严格划分资金使用科室的责、权、利，最大限度提高项目资金的使用效率。分配依据科学充分、审批程序完整严谨，项目决策透明。故自评得分18分。</w:t>
      </w:r>
    </w:p>
    <w:p w14:paraId="1774EF69">
      <w:pPr>
        <w:spacing w:line="578" w:lineRule="exact"/>
        <w:ind w:firstLine="64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2.项目管理。</w:t>
      </w:r>
      <w:r>
        <w:rPr>
          <w:rFonts w:hint="default" w:ascii="Times New Roman" w:hAnsi="Times New Roman" w:eastAsia="仿宋_GB2312" w:cs="Times New Roman"/>
          <w:color w:val="auto"/>
          <w:kern w:val="0"/>
          <w:sz w:val="32"/>
          <w:szCs w:val="32"/>
          <w:lang w:val="zh-CN" w:eastAsia="zh-CN" w:bidi="ar-SA"/>
        </w:rPr>
        <w:t>州科协对项目管理严谨，严格执行《四川省财政厅四川省科学技术协会关于印发&lt;中央和省级财政科普科服专项资金管理办法</w:t>
      </w:r>
      <w:r>
        <w:rPr>
          <w:rFonts w:hint="eastAsia" w:eastAsia="仿宋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zh-CN" w:eastAsia="zh-CN" w:bidi="ar-SA"/>
        </w:rPr>
        <w:t>的通知》（川财规〔2024〕7号）《凉山州科技计划项目专项资金管理办法》（凉财规〔2020〕2号）以及其他科普专项资金管理办法和相关财务管理制度。严格执行国库集中支付制度，项目资金全部通过财政零余额账户或单位基本账户规范核算，专款专用，不存在挤占、挪用、截留项目资金的情况，无违规转移资金、虚列支出等问题。资金支付严格遵循审批流程，按照“先申请、后审批、再支付”的原则，每笔支出均有完整的审批手续，资金拨付及时、支付流程规范。认真贯彻“用钱必问效、无效必问责”的绩效管理原则，党组按照财政要求将绩效管理的理念贯穿于项目的事前、事中、事后。故自评得分18分。</w:t>
      </w:r>
    </w:p>
    <w:p w14:paraId="0256BE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en-US" w:eastAsia="zh-CN" w:bidi="ar-SA"/>
        </w:rPr>
        <w:t>3.项目实施。各项目组按照年初申报的阶段目标有序开展工作。年度完成了组织全州科协系统干部能力提升培训；继续推进档案整理数字化建设；前往甘洛、越西、喜德等县（市）科协调研天府科技云工作；开展天府科技云科普创作行动；推动国家级科技小院、州级科技小院建设；完成木里科技馆筹备、盐源科技馆建设及金阳流动科技馆布展；组织开展“天府科普（研学）游”培训；积极开展院士（专家）工作站评审工作；开展</w:t>
      </w:r>
      <w:r>
        <w:rPr>
          <w:rFonts w:hint="default" w:ascii="Times New Roman" w:hAnsi="Times New Roman" w:eastAsia="仿宋_GB2312" w:cs="Times New Roman"/>
          <w:color w:val="auto"/>
          <w:kern w:val="0"/>
          <w:sz w:val="32"/>
          <w:szCs w:val="32"/>
          <w:lang w:val="zh-CN" w:eastAsia="zh-CN" w:bidi="ar-SA"/>
        </w:rPr>
        <w:t>“科学家（精神）进校园”</w:t>
      </w:r>
      <w:r>
        <w:rPr>
          <w:rFonts w:hint="default" w:ascii="Times New Roman" w:hAnsi="Times New Roman" w:eastAsia="仿宋_GB2312" w:cs="Times New Roman"/>
          <w:color w:val="auto"/>
          <w:kern w:val="0"/>
          <w:sz w:val="32"/>
          <w:szCs w:val="32"/>
          <w:lang w:val="en-US" w:eastAsia="zh-CN" w:bidi="ar-SA"/>
        </w:rPr>
        <w:t>活动；</w:t>
      </w:r>
      <w:r>
        <w:rPr>
          <w:rFonts w:hint="default" w:ascii="Times New Roman" w:hAnsi="Times New Roman" w:eastAsia="仿宋_GB2312" w:cs="Times New Roman"/>
          <w:color w:val="auto"/>
          <w:kern w:val="0"/>
          <w:sz w:val="32"/>
          <w:szCs w:val="32"/>
          <w:lang w:val="zh-CN" w:eastAsia="zh-CN" w:bidi="ar-SA"/>
        </w:rPr>
        <w:t>乡村振兴驻村第一书记牵头完成养殖技术培训等工作。所有项目资金财政拨付及时，支出审批流程符合规定，</w:t>
      </w:r>
      <w:r>
        <w:rPr>
          <w:rFonts w:hint="default" w:ascii="Times New Roman" w:hAnsi="Times New Roman" w:eastAsia="仿宋_GB2312" w:cs="Times New Roman"/>
          <w:color w:val="auto"/>
          <w:kern w:val="0"/>
          <w:sz w:val="32"/>
          <w:szCs w:val="32"/>
          <w:lang w:val="en-US" w:eastAsia="zh-CN" w:bidi="ar-SA"/>
        </w:rPr>
        <w:t>故</w:t>
      </w:r>
      <w:r>
        <w:rPr>
          <w:rFonts w:hint="default" w:ascii="Times New Roman" w:hAnsi="Times New Roman" w:eastAsia="仿宋_GB2312" w:cs="Times New Roman"/>
          <w:color w:val="auto"/>
          <w:kern w:val="0"/>
          <w:sz w:val="32"/>
          <w:szCs w:val="32"/>
          <w:lang w:val="zh-CN" w:eastAsia="zh-CN" w:bidi="ar-SA"/>
        </w:rPr>
        <w:t>自评得分</w:t>
      </w:r>
      <w:r>
        <w:rPr>
          <w:rFonts w:hint="default" w:ascii="Times New Roman" w:hAnsi="Times New Roman" w:eastAsia="仿宋_GB2312" w:cs="Times New Roman"/>
          <w:color w:val="auto"/>
          <w:kern w:val="0"/>
          <w:sz w:val="32"/>
          <w:szCs w:val="32"/>
          <w:lang w:val="en-US" w:eastAsia="zh-CN" w:bidi="ar-SA"/>
        </w:rPr>
        <w:t>9</w:t>
      </w:r>
      <w:r>
        <w:rPr>
          <w:rFonts w:hint="default" w:ascii="Times New Roman" w:hAnsi="Times New Roman" w:eastAsia="仿宋_GB2312" w:cs="Times New Roman"/>
          <w:color w:val="auto"/>
          <w:kern w:val="0"/>
          <w:sz w:val="32"/>
          <w:szCs w:val="32"/>
          <w:lang w:val="zh-CN" w:eastAsia="zh-CN" w:bidi="ar-SA"/>
        </w:rPr>
        <w:t>分。</w:t>
      </w:r>
    </w:p>
    <w:p w14:paraId="50E82A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4.项目结果。按照年初项目计划，有序开展各项工作。其中（1）公共服务及基础设施运行保障，组织全州科协系统干部50余人前往上海交大参加干部能力提升培训；到甘洛、越西、喜德等县（市）科协调研天府科技云工作；完成木里科技馆筹备、盐源科技馆建设及金阳流动科技馆布展；完成档案整理数字化建设；召开州科协五届四次常委会和五届三次全委会；完成网络网站运维。（2）“天府科技云服务”日常运维补助经费。完成天府科技云科普创作行动，在电梯、商场等公共场所投放科普视频，提高公民科学素质；到甘洛、越西、喜德等县（市）科协调研天府科技云工作，进行技术指导；用户拓展、服务提质、活动增效上实现突破，用户规模稳步扩大。新增注册个人用户18262人、企事业单位73家，创建科创工作室117家，累计提供精准科普服务438万人次。（3）科技小院建设。新增国家级科技小院2家、州级科技小院5家。（4）学会能力提升计划。围绕“服务科技工作者、服务创新发展”主线，强化学协会能力提升与人才队伍建设，为科技创新提供智力支撑。向凉山州兰花协会、水利电力协会、心理咨询师协会、州应急安全科技协会、凉山州营养协会、农村专业技术协会等7个协会学会实施了学会能力提升计划，打造重点学会协会，努力提升学术交流、科技创新与服务能力。（5）院士（专家）工作站建设及企事业科协建设。联合州委组织部等单位开展第九批州级院士（专家）工作站评审，共评出1家州级院士工作站、5家州级专家工作站，进一步促进科技成果转化，积极推动企业自主创新和产业化转型升级；元旦、春节期间慰问优秀科技工作者23人。（6）青少年科技教育经费。开展“科学家（精神）进校园”活动，与州关工委联合组织中国科学院老科学家科普演讲团8位专家深入27所学校开展科普报告54场次，惠及1.3万余名青少年；“人民科学家”叶培建院士走进普格县附城小学开展“航天精神大讲堂”，刘勇研究员开展航天主题科普宣讲，向广大青少年展示科技成就、传播科学知识，培养科学兴趣，激发科学梦想，培养造就具有科学潜质的青少年，推动公民素质整体提高，实现可持续发展社会效益；（7）科普科服乡村振兴。驻村工作组为提高村民生产生活水平，促进乡村经济发展和文明进步，举办养殖技术培训捐赠鸡苗1400只，覆盖185户家庭，提升村民科学素养建设科普阵地，向102户群众发放暖冬物资。故自评得分9分。</w:t>
      </w:r>
    </w:p>
    <w:p w14:paraId="4AB3D4BA">
      <w:pPr>
        <w:spacing w:line="578" w:lineRule="exact"/>
        <w:ind w:firstLine="640"/>
        <w:rPr>
          <w:rFonts w:hint="default" w:ascii="Times New Roman" w:hAnsi="Times New Roman" w:eastAsia="楷体_GB2312" w:cs="Times New Roman"/>
          <w:color w:val="auto"/>
          <w:kern w:val="0"/>
          <w:sz w:val="32"/>
          <w:szCs w:val="32"/>
          <w:lang w:val="zh-CN" w:eastAsia="zh-CN" w:bidi="ar-SA"/>
        </w:rPr>
      </w:pPr>
      <w:r>
        <w:rPr>
          <w:rFonts w:hint="default" w:ascii="Times New Roman" w:hAnsi="Times New Roman" w:eastAsia="楷体_GB2312" w:cs="Times New Roman"/>
          <w:color w:val="auto"/>
          <w:kern w:val="0"/>
          <w:sz w:val="32"/>
          <w:szCs w:val="32"/>
          <w:lang w:val="zh-CN" w:eastAsia="zh-CN" w:bidi="ar-SA"/>
        </w:rPr>
        <w:t>（二）</w:t>
      </w:r>
      <w:r>
        <w:rPr>
          <w:rFonts w:hint="default" w:ascii="Times New Roman" w:hAnsi="Times New Roman" w:eastAsia="楷体_GB2312" w:cs="Times New Roman"/>
          <w:color w:val="auto"/>
          <w:kern w:val="0"/>
          <w:sz w:val="32"/>
          <w:szCs w:val="32"/>
          <w:lang w:val="en-US" w:eastAsia="zh-CN" w:bidi="ar-SA"/>
        </w:rPr>
        <w:t>专用指标</w:t>
      </w:r>
      <w:r>
        <w:rPr>
          <w:rFonts w:hint="default" w:ascii="Times New Roman" w:hAnsi="Times New Roman" w:eastAsia="楷体_GB2312" w:cs="Times New Roman"/>
          <w:color w:val="auto"/>
          <w:kern w:val="0"/>
          <w:sz w:val="32"/>
          <w:szCs w:val="32"/>
          <w:lang w:val="zh-CN" w:eastAsia="zh-CN" w:bidi="ar-SA"/>
        </w:rPr>
        <w:t>绩效分析。自评得分29分。</w:t>
      </w:r>
    </w:p>
    <w:p w14:paraId="3CFC6535">
      <w:pPr>
        <w:spacing w:line="578" w:lineRule="exact"/>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zh-CN" w:eastAsia="zh-CN" w:bidi="ar-SA"/>
        </w:rPr>
        <w:t>民生保障。</w:t>
      </w:r>
      <w:r>
        <w:rPr>
          <w:rFonts w:hint="default" w:ascii="Times New Roman" w:hAnsi="Times New Roman" w:eastAsia="仿宋_GB2312" w:cs="Times New Roman"/>
          <w:color w:val="auto"/>
          <w:kern w:val="0"/>
          <w:sz w:val="32"/>
          <w:szCs w:val="32"/>
          <w:lang w:val="en-US" w:eastAsia="zh-CN" w:bidi="ar-SA"/>
        </w:rPr>
        <w:t>凉山州科协以承担全州科学技术普及、传播、科普资源开发、公民素质提升等任务为整体体目标。聚焦青少年、专家人才、社区居民、农村群众等群体精准施策。为全面提升人民群众科学素养，州科协积极打造重点学会协会，利用人才举荐、院士（专家）工作站评审树立标杆，通过青少年科技创新教育系列活动，引导青少年爱科学、学科学、用科学。通过对乡村农民种养殖技能培训和科普宣传，促进农民增产增收，推动公民素质整体提高，助推凉山经济高质量发展，实现可持续发展社会效益。项目资金的分配均衡，科普资源配置持续向基层及薄弱地区倾斜，资金的支持对象符合管理要求，资金的管理使用做到程序规范、支出合规。因受资金限制，受益群众有限，满意度不能达预期目的。故自评扣分1分、得分29分。</w:t>
      </w:r>
    </w:p>
    <w:p w14:paraId="2617BA4F">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楷体_GB2312" w:cs="Times New Roman"/>
          <w:color w:val="auto"/>
          <w:kern w:val="0"/>
          <w:sz w:val="32"/>
          <w:szCs w:val="32"/>
          <w:lang w:val="en-US" w:eastAsia="zh-CN" w:bidi="ar-SA"/>
        </w:rPr>
      </w:pPr>
      <w:r>
        <w:rPr>
          <w:rFonts w:hint="default" w:ascii="Times New Roman" w:hAnsi="Times New Roman" w:eastAsia="楷体_GB2312" w:cs="Times New Roman"/>
          <w:color w:val="auto"/>
          <w:kern w:val="0"/>
          <w:sz w:val="32"/>
          <w:szCs w:val="32"/>
          <w:lang w:val="en-US" w:eastAsia="zh-CN" w:bidi="ar-SA"/>
        </w:rPr>
        <w:t>（三）个性指标绩效分析。自评得分14分。</w:t>
      </w:r>
    </w:p>
    <w:p w14:paraId="5B5D29F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凉山州科协依托“天府科技云服务”平台，对广大科技工作者、企事业单位、人民群众开展精准科技，为供需双方提供平台，得到了双方一致好评。项目通过公共服务及基础设施运行、“天府科技云服务”日常工作推进、学会能力提升计划、人才举荐院士（专家）工作站评审、青少年科技创新教育活动和乡村振兴科普宣传培训。组织开展科协干部（含基层科协干部）前往上海交大开展业务能力培训，实现了工作人员业务能力提升，传播科学发展理念。在帮扶村昭觉县巴尔村村小举办科普活动，建成科普阵地，使基层科普服务条件得到改善。通过“天府科技云”科普创作行动，在小区电梯间、户外大屏等公共场所投放科普短视频，群众覆盖率稳步提升。由于基层科普队伍薄弱，重点人群覆盖广度与预期目标存在小幅差距，故自评扣分2分、得分14分。</w:t>
      </w:r>
    </w:p>
    <w:p w14:paraId="611B7AA5">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四、评价结论</w:t>
      </w:r>
    </w:p>
    <w:p w14:paraId="468A0BD4">
      <w:pPr>
        <w:pStyle w:val="10"/>
        <w:keepNext w:val="0"/>
        <w:keepLines w:val="0"/>
        <w:pageBreakBefore w:val="0"/>
        <w:widowControl/>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凉山州科协充分利用州级科普项目资金完成了以下项目任务：通过公共服务及基础设施运行，</w:t>
      </w:r>
      <w:r>
        <w:rPr>
          <w:rFonts w:hint="default" w:ascii="Times New Roman" w:hAnsi="Times New Roman" w:eastAsia="仿宋_GB2312" w:cs="Times New Roman"/>
          <w:color w:val="auto"/>
          <w:kern w:val="0"/>
          <w:sz w:val="32"/>
          <w:szCs w:val="32"/>
          <w:lang w:val="en-US" w:eastAsia="zh-CN" w:bidi="ar-SA"/>
        </w:rPr>
        <w:t>提升了工作人员业务能力，提高公众科学素养，数字化档案提高科技资料利用效率，</w:t>
      </w:r>
      <w:r>
        <w:rPr>
          <w:rFonts w:hint="default" w:ascii="Times New Roman" w:hAnsi="Times New Roman" w:eastAsia="仿宋_GB2312" w:cs="Times New Roman"/>
          <w:color w:val="auto"/>
          <w:kern w:val="0"/>
          <w:sz w:val="32"/>
          <w:szCs w:val="32"/>
          <w:lang w:val="zh-CN" w:eastAsia="zh-CN" w:bidi="ar-SA"/>
        </w:rPr>
        <w:t>“天府科技云服务”日常工作推进，为实现整体工作位居全省前列打下了坚实基础；学会能力提升计划，</w:t>
      </w:r>
      <w:r>
        <w:rPr>
          <w:rFonts w:hint="default" w:ascii="Times New Roman" w:hAnsi="Times New Roman" w:eastAsia="仿宋_GB2312" w:cs="Times New Roman"/>
          <w:color w:val="auto"/>
          <w:kern w:val="0"/>
          <w:sz w:val="32"/>
          <w:szCs w:val="32"/>
          <w:lang w:val="en-US" w:eastAsia="zh-CN" w:bidi="ar-SA"/>
        </w:rPr>
        <w:t>打造重点学会协会，提升学术交流、科技创新与服务能力；</w:t>
      </w:r>
      <w:r>
        <w:rPr>
          <w:rFonts w:hint="default" w:ascii="Times New Roman" w:hAnsi="Times New Roman" w:eastAsia="仿宋_GB2312" w:cs="Times New Roman"/>
          <w:color w:val="auto"/>
          <w:kern w:val="0"/>
          <w:sz w:val="32"/>
          <w:szCs w:val="32"/>
          <w:lang w:val="zh-CN" w:eastAsia="zh-CN" w:bidi="ar-SA"/>
        </w:rPr>
        <w:t>人才举荐和院士（专家）工作站评审、激励科技工作者为我州科技发展做出更大贡献，促进技术攻关和科技成果转移转化；青少年科技创新教育活动，开展“科学家（精神）进校园”活动，</w:t>
      </w:r>
      <w:r>
        <w:rPr>
          <w:rFonts w:hint="default" w:ascii="Times New Roman" w:hAnsi="Times New Roman" w:eastAsia="仿宋_GB2312" w:cs="Times New Roman"/>
          <w:color w:val="auto"/>
          <w:kern w:val="0"/>
          <w:sz w:val="32"/>
          <w:szCs w:val="32"/>
          <w:lang w:val="en-US" w:eastAsia="zh-CN" w:bidi="ar-SA"/>
        </w:rPr>
        <w:t>传播科学知识，培养科学兴趣，造就具有科学潜质的青少年；</w:t>
      </w:r>
      <w:r>
        <w:rPr>
          <w:rFonts w:hint="default" w:ascii="Times New Roman" w:hAnsi="Times New Roman" w:eastAsia="仿宋_GB2312" w:cs="Times New Roman"/>
          <w:color w:val="auto"/>
          <w:kern w:val="0"/>
          <w:sz w:val="32"/>
          <w:szCs w:val="32"/>
          <w:lang w:val="zh-CN" w:eastAsia="zh-CN" w:bidi="ar-SA"/>
        </w:rPr>
        <w:t>乡村振兴科普宣传培训，提升村民科学素养，促进乡村产</w:t>
      </w:r>
      <w:r>
        <w:rPr>
          <w:rFonts w:hint="default" w:ascii="Times New Roman" w:hAnsi="Times New Roman" w:eastAsia="仿宋_GB2312" w:cs="Times New Roman"/>
          <w:color w:val="auto"/>
          <w:kern w:val="0"/>
          <w:sz w:val="32"/>
          <w:szCs w:val="32"/>
          <w:lang w:val="en-US" w:eastAsia="zh-CN" w:bidi="ar-SA"/>
        </w:rPr>
        <w:t>业发展和文明建设。因受资金短缺</w:t>
      </w:r>
      <w:r>
        <w:rPr>
          <w:rFonts w:hint="default" w:ascii="Times New Roman" w:hAnsi="Times New Roman" w:eastAsia="仿宋_GB2312" w:cs="Times New Roman"/>
          <w:color w:val="auto"/>
          <w:kern w:val="0"/>
          <w:sz w:val="32"/>
          <w:szCs w:val="32"/>
          <w:lang w:val="zh-CN" w:eastAsia="zh-CN" w:bidi="ar-SA"/>
        </w:rPr>
        <w:t>制约，受益群众有限，满意度不能达预期目的，</w:t>
      </w:r>
      <w:r>
        <w:rPr>
          <w:rFonts w:hint="default" w:ascii="Times New Roman" w:hAnsi="Times New Roman" w:eastAsia="仿宋_GB2312" w:cs="Times New Roman"/>
          <w:color w:val="auto"/>
          <w:kern w:val="0"/>
          <w:sz w:val="32"/>
          <w:szCs w:val="32"/>
          <w:lang w:val="en-US" w:eastAsia="zh-CN" w:bidi="ar-SA"/>
        </w:rPr>
        <w:t>基层科普队伍薄弱</w:t>
      </w:r>
      <w:r>
        <w:rPr>
          <w:rFonts w:hint="default" w:ascii="Times New Roman" w:hAnsi="Times New Roman" w:eastAsia="仿宋_GB2312" w:cs="Times New Roman"/>
          <w:color w:val="auto"/>
          <w:kern w:val="0"/>
          <w:sz w:val="32"/>
          <w:szCs w:val="32"/>
          <w:lang w:val="zh-CN" w:eastAsia="zh-CN" w:bidi="ar-SA"/>
        </w:rPr>
        <w:t>。故自评扣分</w:t>
      </w:r>
      <w:r>
        <w:rPr>
          <w:rFonts w:hint="default" w:ascii="Times New Roman" w:hAnsi="Times New Roman" w:eastAsia="仿宋_GB2312" w:cs="Times New Roman"/>
          <w:color w:val="auto"/>
          <w:kern w:val="0"/>
          <w:sz w:val="32"/>
          <w:szCs w:val="32"/>
          <w:lang w:val="en-US" w:eastAsia="zh-CN" w:bidi="ar-SA"/>
        </w:rPr>
        <w:t>3</w:t>
      </w:r>
      <w:r>
        <w:rPr>
          <w:rFonts w:hint="default" w:ascii="Times New Roman" w:hAnsi="Times New Roman" w:eastAsia="仿宋_GB2312" w:cs="Times New Roman"/>
          <w:color w:val="auto"/>
          <w:kern w:val="0"/>
          <w:sz w:val="32"/>
          <w:szCs w:val="32"/>
          <w:lang w:val="zh-CN" w:eastAsia="zh-CN" w:bidi="ar-SA"/>
        </w:rPr>
        <w:t>分，得分9</w:t>
      </w:r>
      <w:r>
        <w:rPr>
          <w:rFonts w:hint="default" w:ascii="Times New Roman" w:hAnsi="Times New Roman" w:eastAsia="仿宋_GB2312" w:cs="Times New Roman"/>
          <w:color w:val="auto"/>
          <w:kern w:val="0"/>
          <w:sz w:val="32"/>
          <w:szCs w:val="32"/>
          <w:lang w:val="en-US" w:eastAsia="zh-CN" w:bidi="ar-SA"/>
        </w:rPr>
        <w:t>7</w:t>
      </w:r>
      <w:r>
        <w:rPr>
          <w:rFonts w:hint="default" w:ascii="Times New Roman" w:hAnsi="Times New Roman" w:eastAsia="仿宋_GB2312" w:cs="Times New Roman"/>
          <w:color w:val="auto"/>
          <w:kern w:val="0"/>
          <w:sz w:val="32"/>
          <w:szCs w:val="32"/>
          <w:lang w:val="zh-CN" w:eastAsia="zh-CN" w:bidi="ar-SA"/>
        </w:rPr>
        <w:t>分。</w:t>
      </w:r>
    </w:p>
    <w:p w14:paraId="0B51352B">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黑体"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bidi="ar-SA"/>
        </w:rPr>
        <w:t>五、存在主要问题</w:t>
      </w:r>
    </w:p>
    <w:p w14:paraId="4E4241F8">
      <w:pPr>
        <w:pStyle w:val="10"/>
        <w:keepNext w:val="0"/>
        <w:keepLines w:val="0"/>
        <w:pageBreakBefore w:val="0"/>
        <w:widowControl/>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1.受资金短缺制约，受益群众有限，满意度不能达预期目的。</w:t>
      </w:r>
    </w:p>
    <w:p w14:paraId="28F04A7E">
      <w:pPr>
        <w:pStyle w:val="10"/>
        <w:keepNext w:val="0"/>
        <w:keepLines w:val="0"/>
        <w:pageBreakBefore w:val="0"/>
        <w:widowControl/>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2.重点人群覆盖广度与预期目标存在一定差距。</w:t>
      </w:r>
    </w:p>
    <w:p w14:paraId="1B5753D9">
      <w:pPr>
        <w:keepNext w:val="0"/>
        <w:keepLines w:val="0"/>
        <w:pageBreakBefore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黑体" w:cs="Times New Roman"/>
          <w:color w:val="auto"/>
          <w:kern w:val="0"/>
          <w:sz w:val="32"/>
          <w:szCs w:val="32"/>
          <w:lang w:val="zh-CN" w:eastAsia="zh-CN" w:bidi="ar-SA"/>
        </w:rPr>
      </w:pPr>
      <w:r>
        <w:rPr>
          <w:rFonts w:hint="default" w:ascii="Times New Roman" w:hAnsi="Times New Roman" w:eastAsia="黑体" w:cs="Times New Roman"/>
          <w:color w:val="auto"/>
          <w:kern w:val="0"/>
          <w:sz w:val="32"/>
          <w:szCs w:val="32"/>
          <w:lang w:val="zh-CN" w:eastAsia="zh-CN" w:bidi="ar-SA"/>
        </w:rPr>
        <w:t>六、改进建议</w:t>
      </w:r>
    </w:p>
    <w:p w14:paraId="7185C316">
      <w:pPr>
        <w:pStyle w:val="10"/>
        <w:keepNext w:val="0"/>
        <w:keepLines w:val="0"/>
        <w:pageBreakBefore w:val="0"/>
        <w:widowControl/>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1.广泛吸纳社会力量，强化培训赋能，持续壮大基层科普队伍。</w:t>
      </w:r>
    </w:p>
    <w:p w14:paraId="7351B0D2">
      <w:pPr>
        <w:pStyle w:val="10"/>
        <w:keepNext w:val="0"/>
        <w:keepLines w:val="0"/>
        <w:pageBreakBefore w:val="0"/>
        <w:widowControl/>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2.合理争取项目资金投入，让更多的群众受益，提高预期目的。</w:t>
      </w:r>
    </w:p>
    <w:p w14:paraId="31004B0F">
      <w:pPr>
        <w:pStyle w:val="10"/>
        <w:keepNext w:val="0"/>
        <w:keepLines w:val="0"/>
        <w:pageBreakBefore w:val="0"/>
        <w:widowControl/>
        <w:tabs>
          <w:tab w:val="left" w:pos="2160"/>
        </w:tabs>
        <w:kinsoku/>
        <w:wordWrap/>
        <w:overflowPunct/>
        <w:topLinePunct w:val="0"/>
        <w:autoSpaceDE/>
        <w:autoSpaceDN/>
        <w:bidi w:val="0"/>
        <w:adjustRightInd/>
        <w:snapToGrid/>
        <w:spacing w:beforeLines="0" w:line="560"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3.扩大重点群众覆盖率，优化科普活动方案，针对老年人群体开展科普宣传活动。</w:t>
      </w:r>
    </w:p>
    <w:p w14:paraId="15CD5717">
      <w:pPr>
        <w:pStyle w:val="10"/>
        <w:keepNext w:val="0"/>
        <w:keepLines w:val="0"/>
        <w:pageBreakBefore w:val="0"/>
        <w:widowControl/>
        <w:tabs>
          <w:tab w:val="left" w:pos="2160"/>
        </w:tabs>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kern w:val="0"/>
          <w:sz w:val="32"/>
          <w:szCs w:val="32"/>
          <w:lang w:val="en-US" w:eastAsia="zh-CN" w:bidi="ar-SA"/>
        </w:rPr>
      </w:pPr>
    </w:p>
    <w:p w14:paraId="4654A428">
      <w:pPr>
        <w:pStyle w:val="10"/>
        <w:keepNext w:val="0"/>
        <w:keepLines w:val="0"/>
        <w:pageBreakBefore w:val="0"/>
        <w:widowControl/>
        <w:tabs>
          <w:tab w:val="left" w:pos="2160"/>
        </w:tabs>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kern w:val="0"/>
          <w:position w:val="0"/>
          <w:sz w:val="32"/>
          <w:szCs w:val="32"/>
          <w:shd w:val="clear" w:color="auto" w:fill="FFFFFF"/>
          <w:lang w:val="en-US" w:eastAsia="zh-CN" w:bidi="ar-SA"/>
        </w:rPr>
      </w:pPr>
      <w:r>
        <w:rPr>
          <w:rFonts w:hint="default" w:ascii="Times New Roman" w:hAnsi="Times New Roman" w:eastAsia="仿宋_GB2312" w:cs="Times New Roman"/>
          <w:kern w:val="0"/>
          <w:position w:val="0"/>
          <w:sz w:val="32"/>
          <w:szCs w:val="32"/>
          <w:shd w:val="clear" w:color="auto" w:fill="FFFFFF"/>
          <w:lang w:val="en-US" w:eastAsia="zh-CN" w:bidi="ar-SA"/>
        </w:rPr>
        <w:t xml:space="preserve">     </w:t>
      </w:r>
    </w:p>
    <w:p w14:paraId="4A9DFF25">
      <w:pPr>
        <w:pStyle w:val="10"/>
        <w:keepNext w:val="0"/>
        <w:keepLines w:val="0"/>
        <w:pageBreakBefore w:val="0"/>
        <w:widowControl/>
        <w:tabs>
          <w:tab w:val="left" w:pos="2160"/>
        </w:tabs>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FF0000"/>
          <w:kern w:val="0"/>
          <w:position w:val="0"/>
          <w:sz w:val="32"/>
          <w:szCs w:val="32"/>
          <w:shd w:val="clear" w:color="auto" w:fill="FFFFFF"/>
          <w:lang w:val="en-US" w:eastAsia="zh-CN" w:bidi="ar-SA"/>
        </w:rPr>
      </w:pPr>
    </w:p>
    <w:p w14:paraId="35F3996B">
      <w:pPr>
        <w:snapToGrid w:val="0"/>
        <w:spacing w:line="578" w:lineRule="exact"/>
        <w:rPr>
          <w:rFonts w:hint="default" w:ascii="Times New Roman" w:hAnsi="Times New Roman" w:cs="Times New Roman"/>
          <w:color w:val="000000"/>
          <w:kern w:val="0"/>
          <w:shd w:val="clear" w:color="auto" w:fill="FFFFFF"/>
        </w:rPr>
      </w:pPr>
    </w:p>
    <w:p w14:paraId="65E08FEC">
      <w:pPr>
        <w:snapToGrid w:val="0"/>
        <w:spacing w:line="578" w:lineRule="exact"/>
        <w:rPr>
          <w:rFonts w:hint="default" w:ascii="Times New Roman" w:hAnsi="Times New Roman" w:cs="Times New Roman"/>
          <w:color w:val="000000"/>
          <w:kern w:val="0"/>
          <w:shd w:val="clear" w:color="auto" w:fill="FFFFFF"/>
        </w:rPr>
      </w:pPr>
    </w:p>
    <w:p w14:paraId="0BD7EFF7">
      <w:pPr>
        <w:snapToGrid w:val="0"/>
        <w:spacing w:line="578" w:lineRule="exact"/>
        <w:rPr>
          <w:rFonts w:hint="default" w:ascii="Times New Roman" w:hAnsi="Times New Roman" w:cs="Times New Roman"/>
          <w:color w:val="000000"/>
          <w:kern w:val="0"/>
          <w:shd w:val="clear" w:color="auto" w:fill="FFFFFF"/>
        </w:rPr>
      </w:pPr>
    </w:p>
    <w:p w14:paraId="3729F77A">
      <w:pPr>
        <w:snapToGrid w:val="0"/>
        <w:spacing w:line="578" w:lineRule="exact"/>
        <w:rPr>
          <w:rFonts w:hint="default" w:ascii="Times New Roman" w:hAnsi="Times New Roman" w:cs="Times New Roman"/>
          <w:color w:val="000000"/>
          <w:kern w:val="0"/>
          <w:shd w:val="clear" w:color="auto" w:fill="FFFFFF"/>
        </w:rPr>
      </w:pPr>
    </w:p>
    <w:p w14:paraId="6B3ABE97">
      <w:pPr>
        <w:snapToGrid w:val="0"/>
        <w:spacing w:line="578" w:lineRule="exact"/>
        <w:rPr>
          <w:rFonts w:hint="default" w:ascii="Times New Roman" w:hAnsi="Times New Roman" w:cs="Times New Roman"/>
          <w:color w:val="000000"/>
          <w:kern w:val="0"/>
          <w:shd w:val="clear" w:color="auto" w:fill="FFFFFF"/>
          <w:lang w:val="zh-CN"/>
        </w:rPr>
      </w:pPr>
    </w:p>
    <w:p w14:paraId="1E1FF42E">
      <w:pPr>
        <w:pStyle w:val="38"/>
        <w:spacing w:line="578" w:lineRule="exact"/>
        <w:jc w:val="both"/>
        <w:outlineLvl w:val="0"/>
        <w:rPr>
          <w:rFonts w:hint="default" w:ascii="Times New Roman" w:hAnsi="Times New Roman" w:eastAsia="仿宋_GB2312" w:cs="Times New Roman"/>
          <w:b/>
          <w:bCs/>
          <w:color w:val="auto"/>
          <w:kern w:val="2"/>
          <w:sz w:val="32"/>
          <w:szCs w:val="32"/>
          <w:lang w:val="zh-CN" w:eastAsia="zh-CN" w:bidi="ar-SA"/>
        </w:rPr>
      </w:pPr>
      <w:bookmarkStart w:id="95" w:name="_Toc6840"/>
    </w:p>
    <w:p w14:paraId="223CB00F">
      <w:pPr>
        <w:pStyle w:val="38"/>
        <w:spacing w:line="578" w:lineRule="exact"/>
        <w:jc w:val="both"/>
        <w:outlineLvl w:val="0"/>
        <w:rPr>
          <w:rFonts w:hint="default" w:ascii="Times New Roman" w:hAnsi="Times New Roman" w:eastAsia="仿宋_GB2312" w:cs="Times New Roman"/>
          <w:b/>
          <w:bCs/>
          <w:color w:val="auto"/>
          <w:kern w:val="2"/>
          <w:sz w:val="32"/>
          <w:szCs w:val="32"/>
          <w:lang w:val="zh-CN" w:eastAsia="zh-CN" w:bidi="ar-SA"/>
        </w:rPr>
      </w:pPr>
    </w:p>
    <w:p w14:paraId="13DB1505">
      <w:pPr>
        <w:pStyle w:val="38"/>
        <w:spacing w:line="578" w:lineRule="exact"/>
        <w:jc w:val="both"/>
        <w:outlineLvl w:val="0"/>
        <w:rPr>
          <w:rFonts w:hint="default" w:ascii="Times New Roman" w:hAnsi="Times New Roman" w:eastAsia="仿宋_GB2312" w:cs="Times New Roman"/>
          <w:b/>
          <w:bCs/>
          <w:color w:val="auto"/>
          <w:kern w:val="2"/>
          <w:sz w:val="32"/>
          <w:szCs w:val="32"/>
          <w:lang w:val="zh-CN" w:eastAsia="zh-CN" w:bidi="ar-SA"/>
        </w:rPr>
      </w:pPr>
    </w:p>
    <w:p w14:paraId="19AC18F9">
      <w:pPr>
        <w:pStyle w:val="38"/>
        <w:spacing w:line="578" w:lineRule="exact"/>
        <w:jc w:val="both"/>
        <w:outlineLvl w:val="0"/>
        <w:rPr>
          <w:rFonts w:hint="default" w:ascii="Times New Roman" w:hAnsi="Times New Roman" w:eastAsia="仿宋_GB2312" w:cs="Times New Roman"/>
          <w:b/>
          <w:bCs/>
          <w:color w:val="auto"/>
          <w:kern w:val="2"/>
          <w:sz w:val="32"/>
          <w:szCs w:val="32"/>
          <w:lang w:val="zh-CN" w:eastAsia="zh-CN" w:bidi="ar-SA"/>
        </w:rPr>
      </w:pPr>
    </w:p>
    <w:p w14:paraId="7FECEE34">
      <w:pPr>
        <w:pStyle w:val="38"/>
        <w:spacing w:line="578" w:lineRule="exact"/>
        <w:jc w:val="both"/>
        <w:outlineLvl w:val="0"/>
        <w:rPr>
          <w:rFonts w:hint="default" w:ascii="Times New Roman" w:hAnsi="Times New Roman" w:eastAsia="仿宋_GB2312" w:cs="Times New Roman"/>
          <w:b/>
          <w:bCs/>
          <w:color w:val="auto"/>
          <w:kern w:val="2"/>
          <w:sz w:val="32"/>
          <w:szCs w:val="32"/>
          <w:lang w:val="zh-CN" w:eastAsia="zh-CN" w:bidi="ar-SA"/>
        </w:rPr>
      </w:pPr>
    </w:p>
    <w:p w14:paraId="0EBBA686">
      <w:pPr>
        <w:pStyle w:val="38"/>
        <w:spacing w:line="578" w:lineRule="exact"/>
        <w:jc w:val="both"/>
        <w:outlineLvl w:val="0"/>
        <w:rPr>
          <w:rFonts w:hint="default" w:ascii="Times New Roman" w:hAnsi="Times New Roman" w:eastAsia="仿宋_GB2312" w:cs="Times New Roman"/>
          <w:b/>
          <w:bCs/>
          <w:color w:val="auto"/>
          <w:kern w:val="2"/>
          <w:sz w:val="32"/>
          <w:szCs w:val="32"/>
          <w:lang w:val="zh-CN" w:eastAsia="zh-CN" w:bidi="ar-SA"/>
        </w:rPr>
      </w:pPr>
    </w:p>
    <w:p w14:paraId="1B338E09">
      <w:pPr>
        <w:pStyle w:val="38"/>
        <w:spacing w:line="578" w:lineRule="exact"/>
        <w:jc w:val="both"/>
        <w:outlineLvl w:val="0"/>
        <w:rPr>
          <w:rFonts w:hint="default" w:ascii="Times New Roman" w:hAnsi="Times New Roman" w:eastAsia="黑体" w:cs="Times New Roman"/>
          <w:b w:val="0"/>
          <w:bCs w:val="0"/>
          <w:color w:val="auto"/>
          <w:kern w:val="2"/>
          <w:sz w:val="32"/>
          <w:szCs w:val="32"/>
          <w:lang w:val="en-US" w:eastAsia="zh-CN" w:bidi="ar-SA"/>
        </w:rPr>
      </w:pPr>
      <w:r>
        <w:rPr>
          <w:rFonts w:hint="default" w:ascii="Times New Roman" w:hAnsi="Times New Roman" w:eastAsia="黑体" w:cs="Times New Roman"/>
          <w:b w:val="0"/>
          <w:bCs w:val="0"/>
          <w:color w:val="auto"/>
          <w:kern w:val="2"/>
          <w:sz w:val="32"/>
          <w:szCs w:val="32"/>
          <w:lang w:val="zh-CN" w:eastAsia="zh-CN" w:bidi="ar-SA"/>
        </w:rPr>
        <w:t>附件</w:t>
      </w:r>
      <w:r>
        <w:rPr>
          <w:rFonts w:hint="default" w:ascii="Times New Roman" w:hAnsi="Times New Roman" w:eastAsia="黑体" w:cs="Times New Roman"/>
          <w:b w:val="0"/>
          <w:bCs w:val="0"/>
          <w:color w:val="auto"/>
          <w:kern w:val="2"/>
          <w:sz w:val="32"/>
          <w:szCs w:val="32"/>
          <w:lang w:val="en-US" w:eastAsia="zh-CN" w:bidi="ar-SA"/>
        </w:rPr>
        <w:t>2-2</w:t>
      </w:r>
      <w:bookmarkEnd w:id="95"/>
    </w:p>
    <w:p w14:paraId="4C9CDF28">
      <w:pPr>
        <w:pStyle w:val="38"/>
        <w:spacing w:line="578" w:lineRule="exact"/>
        <w:jc w:val="center"/>
        <w:rPr>
          <w:rFonts w:hint="default" w:ascii="Times New Roman" w:hAnsi="Times New Roman" w:eastAsia="方正小标宋简体" w:cs="Times New Roman"/>
          <w:color w:val="auto"/>
          <w:kern w:val="2"/>
          <w:sz w:val="44"/>
          <w:szCs w:val="44"/>
          <w:lang w:val="en-US" w:eastAsia="zh-CN"/>
        </w:rPr>
      </w:pPr>
    </w:p>
    <w:p w14:paraId="3EF44355">
      <w:pPr>
        <w:pStyle w:val="38"/>
        <w:keepNext w:val="0"/>
        <w:keepLines w:val="0"/>
        <w:pageBreakBefore w:val="0"/>
        <w:kinsoku/>
        <w:wordWrap/>
        <w:overflowPunct/>
        <w:topLinePunct w:val="0"/>
        <w:autoSpaceDE/>
        <w:autoSpaceDN/>
        <w:bidi w:val="0"/>
        <w:spacing w:line="560" w:lineRule="exact"/>
        <w:jc w:val="center"/>
        <w:rPr>
          <w:rFonts w:hint="default" w:ascii="Times New Roman" w:hAnsi="Times New Roman" w:eastAsia="方正小标宋简体" w:cs="Times New Roman"/>
          <w:bCs/>
          <w:color w:val="auto"/>
          <w:kern w:val="2"/>
          <w:sz w:val="44"/>
          <w:szCs w:val="44"/>
        </w:rPr>
      </w:pPr>
      <w:r>
        <w:rPr>
          <w:rFonts w:hint="default" w:ascii="Times New Roman" w:hAnsi="Times New Roman" w:eastAsia="方正小标宋简体" w:cs="Times New Roman"/>
          <w:bCs/>
          <w:color w:val="auto"/>
          <w:kern w:val="2"/>
          <w:sz w:val="44"/>
          <w:szCs w:val="44"/>
        </w:rPr>
        <w:t>凉山州科学技术协会</w:t>
      </w:r>
    </w:p>
    <w:p w14:paraId="74268F29">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方正小标宋简体" w:cs="Times New Roman"/>
          <w:color w:val="000000"/>
          <w:sz w:val="44"/>
          <w:szCs w:val="44"/>
        </w:rPr>
      </w:pPr>
      <w:r>
        <w:rPr>
          <w:rFonts w:hint="default" w:ascii="Times New Roman" w:hAnsi="Times New Roman" w:eastAsia="方正小标宋简体" w:cs="Times New Roman"/>
          <w:sz w:val="44"/>
          <w:szCs w:val="44"/>
        </w:rPr>
        <w:t>2025年</w:t>
      </w:r>
      <w:r>
        <w:rPr>
          <w:rFonts w:hint="default" w:ascii="Times New Roman" w:hAnsi="Times New Roman" w:eastAsia="方正小标宋简体" w:cs="Times New Roman"/>
          <w:color w:val="000000"/>
          <w:sz w:val="44"/>
          <w:szCs w:val="44"/>
        </w:rPr>
        <w:t>“科创中国·天府科技云服务大会”</w:t>
      </w:r>
    </w:p>
    <w:p w14:paraId="052937F2">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绩效自评报告</w:t>
      </w:r>
    </w:p>
    <w:p w14:paraId="21B95FD7">
      <w:pPr>
        <w:keepNext w:val="0"/>
        <w:keepLines w:val="0"/>
        <w:pageBreakBefore w:val="0"/>
        <w:kinsoku/>
        <w:wordWrap/>
        <w:overflowPunct/>
        <w:topLinePunct w:val="0"/>
        <w:autoSpaceDE/>
        <w:autoSpaceDN/>
        <w:bidi w:val="0"/>
        <w:spacing w:line="560" w:lineRule="exact"/>
        <w:ind w:firstLine="880" w:firstLineChars="200"/>
        <w:jc w:val="center"/>
        <w:rPr>
          <w:rFonts w:hint="default" w:ascii="Times New Roman" w:hAnsi="Times New Roman" w:eastAsia="方正公文小标宋" w:cs="Times New Roman"/>
          <w:sz w:val="44"/>
          <w:szCs w:val="44"/>
        </w:rPr>
      </w:pPr>
    </w:p>
    <w:p w14:paraId="485819F0">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zh-CN"/>
        </w:rPr>
        <w:t>项目概况</w:t>
      </w:r>
    </w:p>
    <w:p w14:paraId="0FF675D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（一）设立背景及基本情况</w:t>
      </w:r>
    </w:p>
    <w:p w14:paraId="60089FB3">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bCs/>
          <w:color w:val="000000"/>
          <w:sz w:val="32"/>
          <w:szCs w:val="32"/>
          <w:lang w:eastAsia="zh-CN" w:bidi="ar"/>
        </w:rPr>
      </w:pPr>
      <w:r>
        <w:rPr>
          <w:rFonts w:hint="default" w:ascii="Times New Roman" w:hAnsi="Times New Roman" w:eastAsia="仿宋_GB2312" w:cs="Times New Roman"/>
          <w:sz w:val="32"/>
          <w:szCs w:val="32"/>
        </w:rPr>
        <w:t>根据省科协《“科创会·市（州）”实施方案》和《“云上科创会”实施方案》要求，2025年“科创会”50万元主要用于开展2025年</w:t>
      </w:r>
      <w:r>
        <w:rPr>
          <w:rFonts w:hint="default" w:ascii="Times New Roman" w:hAnsi="Times New Roman" w:eastAsia="仿宋_GB2312" w:cs="Times New Roman"/>
          <w:color w:val="000000"/>
          <w:sz w:val="32"/>
          <w:szCs w:val="32"/>
        </w:rPr>
        <w:t>“科创会”活动，包括线上“云上科创会”和线下“科创会·凉山行”、“科创会·市（州）行”活动的技术服务、会务服务等工作。</w:t>
      </w:r>
    </w:p>
    <w:p w14:paraId="758D10B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（二）实施目的及支持方向</w:t>
      </w:r>
    </w:p>
    <w:p w14:paraId="3E20B850">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为贯彻落实省科协十届二次常委会和全委会关于“科创会·市（州）行”活动的工作部署，进一步创新“科创会”模式，通过线上线下相结合的方式实现项目对接撮合，支持在线下单达成交易；组织意向企业前往各市（州）参加活动，促进多元化对接，解决企业科技难题，推广高新技术和成果，多维度推动天府科技云高质量发展。</w:t>
      </w:r>
    </w:p>
    <w:p w14:paraId="3B0E13C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（三）预算安排及分配管理</w:t>
      </w:r>
    </w:p>
    <w:p w14:paraId="5A0F50B3">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2025年“科创会”经费50万元，主要用于委托第三方服务公司办好2025年</w:t>
      </w:r>
      <w:r>
        <w:rPr>
          <w:rFonts w:hint="default" w:ascii="Times New Roman" w:hAnsi="Times New Roman" w:eastAsia="仿宋_GB2312" w:cs="Times New Roman"/>
          <w:color w:val="000000"/>
          <w:sz w:val="32"/>
          <w:szCs w:val="32"/>
        </w:rPr>
        <w:t>“科创会”活动，包括线上“云上科创会”和线下“科创会·凉山行”、“科创会·市（州）行”活动的技术服务、会务服务等工作。</w:t>
      </w:r>
      <w:r>
        <w:rPr>
          <w:rFonts w:hint="default" w:ascii="Times New Roman" w:hAnsi="Times New Roman" w:eastAsia="仿宋_GB2312" w:cs="Times New Roman"/>
          <w:kern w:val="0"/>
          <w:sz w:val="32"/>
          <w:szCs w:val="32"/>
        </w:rPr>
        <w:t>项目应实现的绩效目标包括数量指标、质量指标、时效指标、成本指标、效果指标、社会效益指标、服务对象满意度指标和资金使用等指标。项目的实施进度均按预算执行进度完成资金支付。</w:t>
      </w:r>
    </w:p>
    <w:p w14:paraId="68B89E68">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二、评价实施</w:t>
      </w:r>
    </w:p>
    <w:p w14:paraId="05CE78AD">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sz w:val="32"/>
          <w:szCs w:val="32"/>
          <w:lang w:val="zh-CN"/>
        </w:rPr>
        <w:t>（一）评价目的。</w:t>
      </w:r>
      <w:r>
        <w:rPr>
          <w:rFonts w:hint="default" w:ascii="Times New Roman" w:hAnsi="Times New Roman" w:eastAsia="仿宋_GB2312" w:cs="Times New Roman"/>
          <w:sz w:val="32"/>
          <w:szCs w:val="32"/>
        </w:rPr>
        <w:t>通过项目绩效自评，切实体现“用钱必问效、无效必问责”的财政项目资金绩效目标原则。</w:t>
      </w:r>
      <w:bookmarkStart w:id="96" w:name="OLE_LINK46"/>
      <w:r>
        <w:rPr>
          <w:rFonts w:hint="default" w:ascii="Times New Roman" w:hAnsi="Times New Roman" w:eastAsia="仿宋_GB2312" w:cs="Times New Roman"/>
          <w:sz w:val="32"/>
          <w:szCs w:val="32"/>
        </w:rPr>
        <w:t>监督项目资金是否遵守相关法律法规专款专用、有无偏离度、是否超范围超标准使用、项目实施是</w:t>
      </w:r>
      <w:bookmarkStart w:id="97" w:name="OLE_LINK28"/>
      <w:r>
        <w:rPr>
          <w:rFonts w:hint="default" w:ascii="Times New Roman" w:hAnsi="Times New Roman" w:eastAsia="仿宋_GB2312" w:cs="Times New Roman"/>
          <w:sz w:val="32"/>
          <w:szCs w:val="32"/>
        </w:rPr>
        <w:t>否</w:t>
      </w:r>
      <w:bookmarkEnd w:id="97"/>
      <w:r>
        <w:rPr>
          <w:rFonts w:hint="default" w:ascii="Times New Roman" w:hAnsi="Times New Roman" w:eastAsia="仿宋_GB2312" w:cs="Times New Roman"/>
          <w:sz w:val="32"/>
          <w:szCs w:val="32"/>
        </w:rPr>
        <w:t>及时、资金使用是否高效、资金支付流程是否合法合规等情况，以及取得的社会效益和经济效益，了解项目实施过程中的群众满意值和获得感、服务对象满意度等情况，为后期确保中央及省级科普科服专项资金使用安全高效提供决策依据，不断推进财政资金科学化、精细化管理。</w:t>
      </w:r>
      <w:bookmarkEnd w:id="96"/>
    </w:p>
    <w:p w14:paraId="4D02236F">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（二）预设问题及评价重点</w:t>
      </w:r>
    </w:p>
    <w:p w14:paraId="65E11F68">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1.预设问题：</w:t>
      </w:r>
    </w:p>
    <w:p w14:paraId="7D9E488B">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（1）项目目标是否明确、具体、可衡量？</w:t>
      </w:r>
    </w:p>
    <w:p w14:paraId="0DB8EB3E">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（2）项目是否按照预定的计划和时间表执行？</w:t>
      </w:r>
    </w:p>
    <w:p w14:paraId="05B62408">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（3）预算的使用是否合理、合规，有无超支或结余情况？</w:t>
      </w:r>
    </w:p>
    <w:p w14:paraId="1F102E1F">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（4）项目所产生的成果是否达到预期的质量标准？</w:t>
      </w:r>
    </w:p>
    <w:p w14:paraId="12315E99">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（5）项目的实施是否对社会公众产生了积极的影响？</w:t>
      </w:r>
    </w:p>
    <w:p w14:paraId="34ABFB5B">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（6）项目是否有可持续性，即项目成果能否在未来持续发挥作用？</w:t>
      </w:r>
    </w:p>
    <w:p w14:paraId="5EFF0B2D">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2.评价重点：</w:t>
      </w:r>
    </w:p>
    <w:p w14:paraId="3CD8496A">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（1）对比项目设定的目标和实际完成的情况，评估目标实现程度。</w:t>
      </w:r>
    </w:p>
    <w:p w14:paraId="2093DBE6">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（2）考评项目按照预定的计划和时间表执行、资金支付一致性情况。</w:t>
      </w:r>
    </w:p>
    <w:p w14:paraId="3E7F70B9">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bookmarkStart w:id="98" w:name="OLE_LINK47"/>
      <w:r>
        <w:rPr>
          <w:rFonts w:hint="default" w:ascii="Times New Roman" w:hAnsi="Times New Roman" w:eastAsia="仿宋_GB2312" w:cs="Times New Roman"/>
          <w:sz w:val="32"/>
          <w:szCs w:val="32"/>
        </w:rPr>
        <w:t>考核预算资金的使用合法、合规、合理，专款专用情况。</w:t>
      </w:r>
    </w:p>
    <w:bookmarkEnd w:id="98"/>
    <w:p w14:paraId="7E97AD69">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（4）考核项目产生的社会效益、经济效益、可持续影响等绩效目标实现情况。</w:t>
      </w:r>
    </w:p>
    <w:p w14:paraId="5D1E5802">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（5）评价服务对象获得感和幸福感及满意度情况。</w:t>
      </w:r>
    </w:p>
    <w:p w14:paraId="037360DD">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sz w:val="32"/>
          <w:szCs w:val="32"/>
          <w:lang w:val="zh-CN"/>
        </w:rPr>
        <w:t>（三）评价选点。</w:t>
      </w:r>
      <w:r>
        <w:rPr>
          <w:rFonts w:hint="default" w:ascii="Times New Roman" w:hAnsi="Times New Roman" w:eastAsia="仿宋_GB2312" w:cs="Times New Roman"/>
          <w:kern w:val="0"/>
          <w:sz w:val="32"/>
          <w:szCs w:val="32"/>
          <w:lang w:val="zh-CN"/>
        </w:rPr>
        <w:t>在项目实施过程中，严格划分</w:t>
      </w:r>
      <w:r>
        <w:rPr>
          <w:rFonts w:hint="default" w:ascii="Times New Roman" w:hAnsi="Times New Roman" w:eastAsia="仿宋_GB2312" w:cs="Times New Roman"/>
          <w:kern w:val="0"/>
          <w:sz w:val="32"/>
          <w:szCs w:val="32"/>
        </w:rPr>
        <w:t>单位的责、权、利，最大限度提高项目资金的使用效率。</w:t>
      </w:r>
      <w:r>
        <w:rPr>
          <w:rFonts w:hint="default" w:ascii="Times New Roman" w:hAnsi="Times New Roman" w:eastAsia="仿宋_GB2312" w:cs="Times New Roman"/>
          <w:kern w:val="0"/>
          <w:sz w:val="32"/>
          <w:szCs w:val="32"/>
          <w:lang w:val="zh-CN"/>
        </w:rPr>
        <w:t>项目资金的使用符合国家财经法规和财务管理制度及有关专项资金管理办法规定、符合项目预算批复和合同规定用途，审批程序完整严谨；项目实施遵守相关法律法规，无截留、挤占、挪用、虚列支出等情况；项目完成后合同签订、验收报告、技术鉴定等资料齐全并及时归档。</w:t>
      </w:r>
      <w:r>
        <w:rPr>
          <w:rFonts w:hint="default" w:ascii="Times New Roman" w:hAnsi="Times New Roman" w:eastAsia="仿宋_GB2312" w:cs="Times New Roman"/>
          <w:kern w:val="0"/>
          <w:sz w:val="32"/>
          <w:szCs w:val="32"/>
        </w:rPr>
        <w:t>确保州级科普专项资金使用安全、透明。预算执行率100%。</w:t>
      </w:r>
    </w:p>
    <w:p w14:paraId="4ABF6C9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sz w:val="32"/>
          <w:szCs w:val="32"/>
          <w:lang w:val="zh-CN"/>
        </w:rPr>
        <w:t>（四）评价方法。</w:t>
      </w:r>
      <w:r>
        <w:rPr>
          <w:rFonts w:hint="default" w:ascii="Times New Roman" w:hAnsi="Times New Roman" w:eastAsia="仿宋_GB2312" w:cs="Times New Roman"/>
          <w:kern w:val="0"/>
          <w:sz w:val="32"/>
          <w:szCs w:val="32"/>
        </w:rPr>
        <w:t>凉山州科学技术协会是项目组织、实施和监管的主管单位。办公室依照凉山州科学技术协会的工作布置和州财政局的“谁用钱、谁自评”和要求，对照“专项预算项目绩效目标完成情况自评表”和“专项预算绩效自评打分表”，按照表中项目</w:t>
      </w:r>
      <w:r>
        <w:rPr>
          <w:rFonts w:hint="eastAsia" w:eastAsia="仿宋_GB2312" w:cs="Times New Roman"/>
          <w:kern w:val="0"/>
          <w:sz w:val="32"/>
          <w:szCs w:val="32"/>
          <w:lang w:eastAsia="zh-CN"/>
        </w:rPr>
        <w:t>概况</w:t>
      </w:r>
      <w:r>
        <w:rPr>
          <w:rFonts w:hint="default" w:ascii="Times New Roman" w:hAnsi="Times New Roman" w:eastAsia="仿宋_GB2312" w:cs="Times New Roman"/>
          <w:kern w:val="0"/>
          <w:sz w:val="32"/>
          <w:szCs w:val="32"/>
        </w:rPr>
        <w:t>、项目总体目标，绩效指标等内容，结合项目决策、项目管理、项目实施、项目结果、民生保障、自设个性指标等特点逐项进行自评打分，较客观公正的对财政资金进行全面绩效评价。确保州级科普专项资金使用安全、透明、高速、效益化。</w:t>
      </w:r>
    </w:p>
    <w:p w14:paraId="48E486D1">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Cs/>
        </w:rPr>
      </w:pPr>
      <w:r>
        <w:rPr>
          <w:rFonts w:hint="default" w:ascii="Times New Roman" w:hAnsi="Times New Roman" w:eastAsia="楷体_GB2312" w:cs="Times New Roman"/>
          <w:b w:val="0"/>
          <w:bCs/>
          <w:sz w:val="32"/>
          <w:szCs w:val="32"/>
          <w:lang w:val="zh-CN"/>
        </w:rPr>
        <w:t>（五）评价组织。</w:t>
      </w:r>
      <w:r>
        <w:rPr>
          <w:rFonts w:hint="default" w:ascii="Times New Roman" w:hAnsi="Times New Roman" w:eastAsia="仿宋_GB2312" w:cs="Times New Roman"/>
          <w:kern w:val="0"/>
          <w:sz w:val="32"/>
          <w:szCs w:val="32"/>
        </w:rPr>
        <w:t>州科协党组负责该项目的制定与监督，办公室负责该项目的具体实施。</w:t>
      </w:r>
    </w:p>
    <w:p w14:paraId="5D75B3BD">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cs="Times New Roman"/>
          <w:sz w:val="32"/>
          <w:szCs w:val="32"/>
          <w:lang w:val="zh-CN"/>
        </w:rPr>
      </w:pPr>
      <w:r>
        <w:rPr>
          <w:rFonts w:hint="default" w:ascii="Times New Roman" w:hAnsi="Times New Roman" w:eastAsia="黑体" w:cs="Times New Roman"/>
          <w:sz w:val="32"/>
          <w:szCs w:val="32"/>
        </w:rPr>
        <w:t>三、绩效分析</w:t>
      </w:r>
      <w:r>
        <w:rPr>
          <w:rFonts w:hint="default" w:ascii="Times New Roman" w:hAnsi="Times New Roman" w:cs="Times New Roman"/>
          <w:sz w:val="32"/>
          <w:szCs w:val="32"/>
          <w:lang w:val="zh-CN"/>
        </w:rPr>
        <w:tab/>
      </w:r>
    </w:p>
    <w:p w14:paraId="050C0F53">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（一）通用指标绩效分析。（自评得分：54分）</w:t>
      </w:r>
    </w:p>
    <w:p w14:paraId="0E6E844F">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1.项目决策。本项目是</w:t>
      </w:r>
      <w:r>
        <w:rPr>
          <w:rFonts w:hint="default" w:ascii="Times New Roman" w:hAnsi="Times New Roman" w:eastAsia="仿宋_GB2312" w:cs="Times New Roman"/>
          <w:sz w:val="32"/>
          <w:szCs w:val="32"/>
        </w:rPr>
        <w:t>为贯彻落实省科协十届二次常委会和全委会关于“科创会·市（州）行”活动的工作部署，推动天府科技云高质量发展而开展的工作。</w:t>
      </w:r>
      <w:r>
        <w:rPr>
          <w:rFonts w:hint="default" w:ascii="Times New Roman" w:hAnsi="Times New Roman" w:eastAsia="仿宋_GB2312" w:cs="Times New Roman"/>
          <w:kern w:val="0"/>
          <w:sz w:val="32"/>
          <w:szCs w:val="32"/>
        </w:rPr>
        <w:t>项目由州科协办公室纳入年度工作计划，并经州科协党组认真研究后同意实施。</w:t>
      </w:r>
      <w:r>
        <w:rPr>
          <w:rFonts w:hint="default" w:ascii="Times New Roman" w:hAnsi="Times New Roman" w:eastAsia="仿宋_GB2312" w:cs="Times New Roman"/>
          <w:kern w:val="0"/>
          <w:sz w:val="32"/>
          <w:szCs w:val="32"/>
          <w:lang w:val="zh-CN"/>
        </w:rPr>
        <w:t>故此项自评得分</w:t>
      </w:r>
      <w:r>
        <w:rPr>
          <w:rFonts w:hint="default" w:ascii="Times New Roman" w:hAnsi="Times New Roman" w:eastAsia="仿宋_GB2312" w:cs="Times New Roman"/>
          <w:kern w:val="0"/>
          <w:sz w:val="32"/>
          <w:szCs w:val="32"/>
        </w:rPr>
        <w:t>18分。</w:t>
      </w:r>
    </w:p>
    <w:p w14:paraId="03DA374D">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2.项目管理。凉山州</w:t>
      </w:r>
      <w:r>
        <w:rPr>
          <w:rFonts w:hint="eastAsia" w:eastAsia="仿宋_GB2312" w:cs="Times New Roman"/>
          <w:kern w:val="0"/>
          <w:sz w:val="32"/>
          <w:szCs w:val="32"/>
          <w:lang w:eastAsia="zh-CN"/>
        </w:rPr>
        <w:t>科学技术协会</w:t>
      </w:r>
      <w:r>
        <w:rPr>
          <w:rFonts w:hint="default" w:ascii="Times New Roman" w:hAnsi="Times New Roman" w:eastAsia="仿宋_GB2312" w:cs="Times New Roman"/>
          <w:kern w:val="0"/>
          <w:sz w:val="32"/>
          <w:szCs w:val="32"/>
        </w:rPr>
        <w:t>在项目决策和实施方面坚持“资金跟着项目走、项目跟着决策走”的理念，按照各级财政项目资金绩效管理的程序和要求，专项项目设立均经过事前评估。</w:t>
      </w:r>
      <w:r>
        <w:rPr>
          <w:rFonts w:hint="default" w:ascii="Times New Roman" w:hAnsi="Times New Roman" w:eastAsia="仿宋_GB2312" w:cs="Times New Roman"/>
          <w:kern w:val="0"/>
          <w:sz w:val="32"/>
          <w:szCs w:val="32"/>
          <w:lang w:val="zh-CN"/>
        </w:rPr>
        <w:t>州本级</w:t>
      </w:r>
      <w:r>
        <w:rPr>
          <w:rFonts w:hint="default" w:ascii="Times New Roman" w:hAnsi="Times New Roman" w:eastAsia="仿宋_GB2312" w:cs="Times New Roman"/>
          <w:kern w:val="0"/>
          <w:sz w:val="32"/>
          <w:szCs w:val="32"/>
        </w:rPr>
        <w:t>对</w:t>
      </w:r>
      <w:r>
        <w:rPr>
          <w:rFonts w:hint="default" w:ascii="Times New Roman" w:hAnsi="Times New Roman" w:eastAsia="仿宋_GB2312" w:cs="Times New Roman"/>
          <w:kern w:val="0"/>
          <w:sz w:val="32"/>
          <w:szCs w:val="32"/>
          <w:lang w:val="zh-CN"/>
        </w:rPr>
        <w:t>项目的管理严谨，</w:t>
      </w:r>
      <w:r>
        <w:rPr>
          <w:rFonts w:hint="default" w:ascii="Times New Roman" w:hAnsi="Times New Roman" w:eastAsia="仿宋_GB2312" w:cs="Times New Roman"/>
          <w:kern w:val="0"/>
          <w:sz w:val="32"/>
          <w:szCs w:val="32"/>
        </w:rPr>
        <w:t>严格执行</w:t>
      </w:r>
      <w:r>
        <w:rPr>
          <w:rFonts w:hint="default" w:ascii="Times New Roman" w:hAnsi="Times New Roman" w:eastAsia="仿宋_GB2312" w:cs="Times New Roman"/>
          <w:color w:val="000000"/>
          <w:kern w:val="0"/>
          <w:sz w:val="32"/>
          <w:szCs w:val="32"/>
        </w:rPr>
        <w:t>《中央和省级财政科普科服专项资金管理办法》（川财规〔2024〕7号）。</w:t>
      </w:r>
      <w:r>
        <w:rPr>
          <w:rFonts w:hint="default" w:ascii="Times New Roman" w:hAnsi="Times New Roman" w:eastAsia="仿宋_GB2312" w:cs="Times New Roman"/>
          <w:kern w:val="0"/>
          <w:sz w:val="32"/>
          <w:szCs w:val="32"/>
        </w:rPr>
        <w:t>党组要求各</w:t>
      </w:r>
      <w:r>
        <w:rPr>
          <w:rFonts w:hint="default" w:ascii="Times New Roman" w:hAnsi="Times New Roman" w:eastAsia="仿宋_GB2312" w:cs="Times New Roman"/>
          <w:kern w:val="0"/>
          <w:sz w:val="32"/>
          <w:szCs w:val="32"/>
          <w:lang w:val="zh-CN"/>
        </w:rPr>
        <w:t>项目组</w:t>
      </w:r>
      <w:r>
        <w:rPr>
          <w:rFonts w:hint="default" w:ascii="Times New Roman" w:hAnsi="Times New Roman" w:eastAsia="仿宋_GB2312" w:cs="Times New Roman"/>
          <w:kern w:val="0"/>
          <w:sz w:val="32"/>
          <w:szCs w:val="32"/>
        </w:rPr>
        <w:t>要事前进行调研，掌握必要的基本情况；事中加强实地考察以指导项目不偏离预期计划；事后组织对项目进行验收，确保项目实现目标。</w:t>
      </w:r>
      <w:r>
        <w:rPr>
          <w:rFonts w:hint="default" w:ascii="Times New Roman" w:hAnsi="Times New Roman" w:eastAsia="仿宋_GB2312" w:cs="Times New Roman"/>
          <w:kern w:val="0"/>
          <w:sz w:val="32"/>
          <w:szCs w:val="32"/>
          <w:lang w:val="zh-CN"/>
        </w:rPr>
        <w:t>因此相关管理制度机制健全、组织程序完善。故此项自评得分</w:t>
      </w:r>
      <w:r>
        <w:rPr>
          <w:rFonts w:hint="default" w:ascii="Times New Roman" w:hAnsi="Times New Roman" w:eastAsia="仿宋_GB2312" w:cs="Times New Roman"/>
          <w:kern w:val="0"/>
          <w:sz w:val="32"/>
          <w:szCs w:val="32"/>
        </w:rPr>
        <w:t>18分。</w:t>
      </w:r>
    </w:p>
    <w:p w14:paraId="599CAFC0">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3.项目实施。</w:t>
      </w:r>
      <w:bookmarkStart w:id="99" w:name="OLE_LINK5"/>
      <w:r>
        <w:rPr>
          <w:rFonts w:hint="default" w:ascii="Times New Roman" w:hAnsi="Times New Roman" w:eastAsia="仿宋_GB2312" w:cs="Times New Roman"/>
          <w:kern w:val="0"/>
          <w:sz w:val="32"/>
          <w:szCs w:val="32"/>
        </w:rPr>
        <w:t>经费纳入年初预算，工作纳入年度重点任务，按计划实施和完成。资金足额拨付到位，在项目圆满完成后，按协议及时支付。本次项目经政府采购落地，采购价为46.8万元，剩余3.2万元上缴财政。</w:t>
      </w:r>
      <w:r>
        <w:rPr>
          <w:rFonts w:hint="default" w:ascii="Times New Roman" w:hAnsi="Times New Roman" w:eastAsia="仿宋_GB2312" w:cs="Times New Roman"/>
          <w:kern w:val="0"/>
          <w:sz w:val="32"/>
          <w:szCs w:val="32"/>
          <w:lang w:val="zh-CN"/>
        </w:rPr>
        <w:t>故此项自评得分</w:t>
      </w:r>
      <w:r>
        <w:rPr>
          <w:rFonts w:hint="default" w:ascii="Times New Roman" w:hAnsi="Times New Roman" w:eastAsia="仿宋_GB2312" w:cs="Times New Roman"/>
          <w:kern w:val="0"/>
          <w:sz w:val="32"/>
          <w:szCs w:val="32"/>
        </w:rPr>
        <w:t>9分。</w:t>
      </w:r>
    </w:p>
    <w:p w14:paraId="6523C154">
      <w:pPr>
        <w:pStyle w:val="42"/>
        <w:keepNext w:val="0"/>
        <w:keepLines w:val="0"/>
        <w:pageBreakBefore w:val="0"/>
        <w:kinsoku/>
        <w:wordWrap/>
        <w:overflowPunct/>
        <w:topLinePunct w:val="0"/>
        <w:autoSpaceDE/>
        <w:autoSpaceDN/>
        <w:bidi w:val="0"/>
        <w:spacing w:before="0" w:after="0" w:line="560" w:lineRule="exact"/>
        <w:ind w:firstLine="640" w:firstLineChars="200"/>
        <w:rPr>
          <w:rFonts w:hint="default" w:ascii="Times New Roman" w:hAnsi="Times New Roman" w:eastAsia="楷体_GB2312" w:cs="Times New Roman"/>
          <w:b/>
          <w:sz w:val="32"/>
          <w:szCs w:val="32"/>
          <w:lang w:val="zh-CN"/>
        </w:rPr>
      </w:pPr>
      <w:r>
        <w:rPr>
          <w:rFonts w:hint="default" w:ascii="Times New Roman" w:hAnsi="Times New Roman" w:eastAsia="仿宋_GB2312" w:cs="Times New Roman"/>
          <w:sz w:val="32"/>
          <w:szCs w:val="32"/>
        </w:rPr>
        <w:t>4.项目结果。活动前期累计征集遴选75个优质科创项目参会，9月以来，州科协依托天府科技云平台建设专栏并开展长期宣介推广，在州内外进行全方位宣推。并建设“云展厅”，将项目上传到“云展厅”，不定期开展云上直播宣推。根据省科协安排，组织有关企业到成都、南充、绵阳等地参加市（州）交流活动以及省级专场活动。9月29日，“科创会·凉山行”低空经济+现代农业专场活动在凉山州西昌市科普主题文化公园成功举办。活动现场汇聚低空经济领域企业、农业产业化龙头企业、科研机构40余家，围绕“技术落地、项目合作、产业升级”三大核心议题开展深度交流，凝聚发展共识。活动现场6个重点项目达成合作意向并签订协议，合作内容涵盖青年创业贷款支持、低空农业植保服务、山区农产品无人机物流配送、专项法律咨询服务等多个领域。活动特别设置科创沙龙访谈环节，邀请低空经济企业代表、农业企业负责人及行业专家，围绕“低空技术如何精准适配凉山山区农业场景”“现代农业智能化升级路径探索”“科技成果转化落地难点破解策略”等关键话题展开探讨。沙龙吸引多家本地企业主动表达合作意向，成功构建起“项目推介—现场交流—意向对接”的良性互动闭环。</w:t>
      </w:r>
      <w:bookmarkEnd w:id="99"/>
      <w:r>
        <w:rPr>
          <w:rFonts w:hint="default" w:ascii="Times New Roman" w:hAnsi="Times New Roman" w:eastAsia="仿宋_GB2312" w:cs="Times New Roman"/>
          <w:sz w:val="32"/>
          <w:szCs w:val="32"/>
        </w:rPr>
        <w:t>故</w:t>
      </w:r>
      <w:r>
        <w:rPr>
          <w:rFonts w:hint="default" w:ascii="Times New Roman" w:hAnsi="Times New Roman" w:eastAsia="仿宋_GB2312" w:cs="Times New Roman"/>
          <w:sz w:val="32"/>
          <w:szCs w:val="32"/>
          <w:lang w:val="zh-CN"/>
        </w:rPr>
        <w:t>此项自评得分</w:t>
      </w:r>
      <w:r>
        <w:rPr>
          <w:rFonts w:hint="default" w:ascii="Times New Roman" w:hAnsi="Times New Roman" w:eastAsia="仿宋_GB2312" w:cs="Times New Roman"/>
          <w:sz w:val="32"/>
          <w:szCs w:val="32"/>
        </w:rPr>
        <w:t>9分。</w:t>
      </w:r>
    </w:p>
    <w:p w14:paraId="4A09760F">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（二）专用指标绩效分析。（此项自评得分：</w:t>
      </w:r>
      <w:r>
        <w:rPr>
          <w:rFonts w:hint="default" w:ascii="Times New Roman" w:hAnsi="Times New Roman" w:eastAsia="楷体_GB2312" w:cs="Times New Roman"/>
          <w:b w:val="0"/>
          <w:bCs/>
          <w:sz w:val="32"/>
          <w:szCs w:val="32"/>
          <w:lang w:val="en"/>
        </w:rPr>
        <w:t>30</w:t>
      </w:r>
      <w:r>
        <w:rPr>
          <w:rFonts w:hint="default" w:ascii="Times New Roman" w:hAnsi="Times New Roman" w:eastAsia="楷体_GB2312" w:cs="Times New Roman"/>
          <w:b w:val="0"/>
          <w:bCs/>
          <w:sz w:val="32"/>
          <w:szCs w:val="32"/>
          <w:lang w:val="zh-CN"/>
        </w:rPr>
        <w:t>分）</w:t>
      </w:r>
    </w:p>
    <w:p w14:paraId="3F23D5A4">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rPr>
          <w:rFonts w:hint="default" w:ascii="Times New Roman" w:hAnsi="Times New Roman" w:eastAsia="仿宋_GB2312" w:cs="Times New Roman"/>
          <w:position w:val="0"/>
          <w:sz w:val="32"/>
          <w:szCs w:val="32"/>
          <w:lang w:val="zh-CN" w:eastAsia="zh-CN"/>
        </w:rPr>
      </w:pPr>
      <w:r>
        <w:rPr>
          <w:rFonts w:hint="default" w:ascii="Times New Roman" w:hAnsi="Times New Roman" w:eastAsia="仿宋_GB2312" w:cs="Times New Roman"/>
          <w:sz w:val="32"/>
          <w:szCs w:val="32"/>
          <w:lang w:val="zh-CN" w:eastAsia="zh-CN"/>
        </w:rPr>
        <w:t>民生保障。</w:t>
      </w:r>
      <w:r>
        <w:rPr>
          <w:rFonts w:hint="default" w:ascii="Times New Roman" w:hAnsi="Times New Roman" w:eastAsia="仿宋_GB2312" w:cs="Times New Roman"/>
          <w:sz w:val="32"/>
          <w:szCs w:val="32"/>
          <w:lang w:eastAsia="zh-CN"/>
        </w:rPr>
        <w:t>州科协高度重视，相关项目科室认真制定工作方案，主席办公会对经费预算、工作方案上会研究。项目实施阶段：精心征集遴选优质科创项目、精心组织意向企业参会，确保项目落地转化效果；本次活动广泛宣介凉山本地高新技术、科技成果，解决企业技术难题，</w:t>
      </w:r>
      <w:r>
        <w:rPr>
          <w:rFonts w:hint="default" w:ascii="Times New Roman" w:hAnsi="Times New Roman" w:eastAsia="仿宋_GB2312" w:cs="Times New Roman"/>
          <w:sz w:val="32"/>
          <w:szCs w:val="32"/>
        </w:rPr>
        <w:t>吸引多家本地企业主动表达合作意向，</w:t>
      </w:r>
      <w:r>
        <w:rPr>
          <w:rFonts w:hint="default" w:ascii="Times New Roman" w:hAnsi="Times New Roman" w:eastAsia="仿宋_GB2312" w:cs="Times New Roman"/>
          <w:sz w:val="32"/>
          <w:szCs w:val="32"/>
          <w:lang w:eastAsia="zh-CN"/>
        </w:rPr>
        <w:t>提高了企业的积极性，</w:t>
      </w:r>
      <w:r>
        <w:rPr>
          <w:rFonts w:hint="default" w:ascii="Times New Roman" w:hAnsi="Times New Roman" w:eastAsia="仿宋_GB2312" w:cs="Times New Roman"/>
          <w:position w:val="0"/>
          <w:sz w:val="32"/>
          <w:szCs w:val="32"/>
          <w:lang w:eastAsia="zh-CN"/>
        </w:rPr>
        <w:t>故</w:t>
      </w:r>
      <w:r>
        <w:rPr>
          <w:rFonts w:hint="default" w:ascii="Times New Roman" w:hAnsi="Times New Roman" w:eastAsia="仿宋_GB2312" w:cs="Times New Roman"/>
          <w:position w:val="0"/>
          <w:sz w:val="32"/>
          <w:szCs w:val="32"/>
          <w:lang w:val="zh-CN" w:eastAsia="zh-CN"/>
        </w:rPr>
        <w:t>该项自评得分</w:t>
      </w:r>
      <w:r>
        <w:rPr>
          <w:rFonts w:hint="default" w:ascii="Times New Roman" w:hAnsi="Times New Roman" w:eastAsia="仿宋_GB2312" w:cs="Times New Roman"/>
          <w:position w:val="0"/>
          <w:sz w:val="32"/>
          <w:szCs w:val="32"/>
          <w:lang w:val="en" w:eastAsia="zh-CN"/>
        </w:rPr>
        <w:t>30</w:t>
      </w:r>
      <w:r>
        <w:rPr>
          <w:rFonts w:hint="default" w:ascii="Times New Roman" w:hAnsi="Times New Roman" w:eastAsia="仿宋_GB2312" w:cs="Times New Roman"/>
          <w:position w:val="0"/>
          <w:sz w:val="32"/>
          <w:szCs w:val="32"/>
          <w:lang w:eastAsia="zh-CN"/>
        </w:rPr>
        <w:t>分。</w:t>
      </w:r>
    </w:p>
    <w:p w14:paraId="4FFBBCCC">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 w:val="0"/>
          <w:bCs/>
          <w:sz w:val="32"/>
          <w:szCs w:val="32"/>
          <w:lang w:val="zh-CN" w:eastAsia="zh-CN"/>
        </w:rPr>
      </w:pPr>
      <w:r>
        <w:rPr>
          <w:rFonts w:hint="default" w:ascii="Times New Roman" w:hAnsi="Times New Roman" w:eastAsia="楷体_GB2312" w:cs="Times New Roman"/>
          <w:b w:val="0"/>
          <w:bCs/>
          <w:sz w:val="32"/>
          <w:szCs w:val="32"/>
          <w:lang w:val="zh-CN"/>
        </w:rPr>
        <w:t>（三）</w:t>
      </w:r>
      <w:r>
        <w:rPr>
          <w:rFonts w:hint="default" w:ascii="Times New Roman" w:hAnsi="Times New Roman" w:eastAsia="楷体_GB2312" w:cs="Times New Roman"/>
          <w:b w:val="0"/>
          <w:bCs/>
          <w:sz w:val="32"/>
          <w:szCs w:val="32"/>
          <w:lang w:val="zh-CN" w:eastAsia="zh-CN"/>
        </w:rPr>
        <w:t>个性指标绩效分析。（该项自评得分14分）</w:t>
      </w:r>
    </w:p>
    <w:p w14:paraId="60356331">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eastAsia="zh-CN"/>
        </w:rPr>
        <w:t>由于活动持续时间较短，活动主题单一，没有全覆盖州内各个行业和企业，产生的效果和影响不够长远，活动的宣传力度不够，在影响力方面扣2分。故</w:t>
      </w:r>
      <w:r>
        <w:rPr>
          <w:rFonts w:hint="default" w:ascii="Times New Roman" w:hAnsi="Times New Roman" w:eastAsia="仿宋_GB2312" w:cs="Times New Roman"/>
          <w:sz w:val="32"/>
          <w:szCs w:val="32"/>
          <w:lang w:val="zh-CN" w:eastAsia="zh-CN"/>
        </w:rPr>
        <w:t>该项自评得分</w:t>
      </w:r>
      <w:r>
        <w:rPr>
          <w:rFonts w:hint="default" w:ascii="Times New Roman" w:hAnsi="Times New Roman" w:eastAsia="仿宋_GB2312" w:cs="Times New Roman"/>
          <w:sz w:val="32"/>
          <w:szCs w:val="32"/>
          <w:lang w:eastAsia="zh-CN"/>
        </w:rPr>
        <w:t>14分。</w:t>
      </w:r>
    </w:p>
    <w:p w14:paraId="3F8027C8">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、评价结论</w:t>
      </w:r>
    </w:p>
    <w:p w14:paraId="380CB2E1">
      <w:pPr>
        <w:keepNext w:val="0"/>
        <w:keepLines w:val="0"/>
        <w:pageBreakBefore w:val="0"/>
        <w:kinsoku/>
        <w:wordWrap/>
        <w:overflowPunct/>
        <w:topLinePunct w:val="0"/>
        <w:autoSpaceDE/>
        <w:autoSpaceDN/>
        <w:bidi w:val="0"/>
        <w:adjustRightInd w:val="0"/>
        <w:snapToGrid w:val="0"/>
        <w:spacing w:line="560" w:lineRule="exact"/>
        <w:ind w:firstLine="720"/>
        <w:rPr>
          <w:rFonts w:hint="default" w:ascii="Times New Roman" w:hAnsi="Times New Roman" w:eastAsia="仿宋_GB2312" w:cs="Times New Roman"/>
          <w:color w:val="0000FF"/>
          <w:kern w:val="0"/>
          <w:sz w:val="32"/>
          <w:szCs w:val="32"/>
          <w:lang w:val="zh-CN"/>
        </w:rPr>
      </w:pPr>
      <w:r>
        <w:rPr>
          <w:rFonts w:hint="default" w:ascii="Times New Roman" w:hAnsi="Times New Roman" w:eastAsia="仿宋_GB2312" w:cs="Times New Roman"/>
          <w:kern w:val="0"/>
          <w:sz w:val="32"/>
          <w:szCs w:val="32"/>
          <w:lang w:val="zh-CN"/>
        </w:rPr>
        <w:t>项目实施过程中，我部门高度重视，精心组织，确保了各项任务的顺利完成。本次项目实施过程规范、有序，取得了显著成效，达到了预期目标。我们从产出、效益、满意度指标等进行了逐项认真的打分，预算执行率100%，执行情况良好。但</w:t>
      </w:r>
      <w:r>
        <w:rPr>
          <w:rFonts w:hint="default" w:ascii="Times New Roman" w:hAnsi="Times New Roman" w:eastAsia="仿宋_GB2312" w:cs="Times New Roman"/>
          <w:kern w:val="0"/>
          <w:position w:val="3"/>
          <w:sz w:val="32"/>
          <w:szCs w:val="32"/>
          <w:lang w:val="zh-CN"/>
        </w:rPr>
        <w:t>因</w:t>
      </w:r>
      <w:r>
        <w:rPr>
          <w:rFonts w:hint="default" w:ascii="Times New Roman" w:hAnsi="Times New Roman" w:eastAsia="仿宋_GB2312" w:cs="Times New Roman"/>
          <w:kern w:val="0"/>
          <w:position w:val="3"/>
          <w:sz w:val="32"/>
          <w:szCs w:val="32"/>
        </w:rPr>
        <w:t>活动持续时间较短，活动主题单一，没有全覆盖州内各个行业和企业，产生的效果和影响不够长远，活动的宣传力度不够，</w:t>
      </w:r>
      <w:r>
        <w:rPr>
          <w:rFonts w:hint="default" w:ascii="Times New Roman" w:hAnsi="Times New Roman" w:eastAsia="仿宋_GB2312" w:cs="Times New Roman"/>
          <w:kern w:val="0"/>
          <w:position w:val="3"/>
          <w:sz w:val="32"/>
          <w:szCs w:val="32"/>
          <w:lang w:val="zh-CN"/>
        </w:rPr>
        <w:t>满意度和影响力方面不能达到预期目的，故自评扣分</w:t>
      </w:r>
      <w:r>
        <w:rPr>
          <w:rFonts w:hint="default" w:ascii="Times New Roman" w:hAnsi="Times New Roman" w:eastAsia="仿宋_GB2312" w:cs="Times New Roman"/>
          <w:kern w:val="0"/>
          <w:position w:val="3"/>
          <w:sz w:val="32"/>
          <w:szCs w:val="32"/>
        </w:rPr>
        <w:t>2分、</w:t>
      </w:r>
      <w:r>
        <w:rPr>
          <w:rFonts w:hint="default" w:ascii="Times New Roman" w:hAnsi="Times New Roman" w:eastAsia="仿宋_GB2312" w:cs="Times New Roman"/>
          <w:kern w:val="0"/>
          <w:position w:val="3"/>
          <w:sz w:val="32"/>
          <w:szCs w:val="32"/>
          <w:lang w:val="zh-CN"/>
        </w:rPr>
        <w:t>得分</w:t>
      </w:r>
      <w:r>
        <w:rPr>
          <w:rFonts w:hint="default" w:ascii="Times New Roman" w:hAnsi="Times New Roman" w:eastAsia="仿宋_GB2312" w:cs="Times New Roman"/>
          <w:kern w:val="0"/>
          <w:position w:val="3"/>
          <w:sz w:val="32"/>
          <w:szCs w:val="32"/>
        </w:rPr>
        <w:t>98</w:t>
      </w:r>
      <w:r>
        <w:rPr>
          <w:rFonts w:hint="default" w:ascii="Times New Roman" w:hAnsi="Times New Roman" w:eastAsia="仿宋_GB2312" w:cs="Times New Roman"/>
          <w:kern w:val="0"/>
          <w:position w:val="3"/>
          <w:sz w:val="32"/>
          <w:szCs w:val="32"/>
          <w:lang w:val="zh-CN"/>
        </w:rPr>
        <w:t>分。</w:t>
      </w:r>
    </w:p>
    <w:p w14:paraId="35834ED4">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78637E32">
      <w:pPr>
        <w:keepNext w:val="0"/>
        <w:keepLines w:val="0"/>
        <w:pageBreakBefore w:val="0"/>
        <w:kinsoku/>
        <w:wordWrap/>
        <w:overflowPunct/>
        <w:topLinePunct w:val="0"/>
        <w:autoSpaceDE/>
        <w:autoSpaceDN/>
        <w:bidi w:val="0"/>
        <w:adjustRightInd w:val="0"/>
        <w:snapToGrid w:val="0"/>
        <w:spacing w:line="560" w:lineRule="exact"/>
        <w:ind w:firstLine="720"/>
        <w:rPr>
          <w:rFonts w:hint="default" w:ascii="Times New Roman" w:hAnsi="Times New Roman" w:eastAsia="仿宋_GB2312" w:cs="Times New Roman"/>
          <w:kern w:val="0"/>
          <w:position w:val="3"/>
          <w:sz w:val="32"/>
          <w:szCs w:val="32"/>
          <w:lang w:val="zh-CN"/>
        </w:rPr>
      </w:pPr>
      <w:r>
        <w:rPr>
          <w:rFonts w:hint="default" w:ascii="Times New Roman" w:hAnsi="Times New Roman" w:eastAsia="仿宋_GB2312" w:cs="Times New Roman"/>
          <w:kern w:val="0"/>
          <w:position w:val="3"/>
          <w:sz w:val="32"/>
          <w:szCs w:val="32"/>
        </w:rPr>
        <w:t>由于活动持续时间较短，活动主题单一，没有全覆盖州内各个行业和企业，产生的效果和影响不够长远，活动的宣传力度不够</w:t>
      </w:r>
      <w:r>
        <w:rPr>
          <w:rFonts w:hint="default" w:ascii="Times New Roman" w:hAnsi="Times New Roman" w:eastAsia="仿宋_GB2312" w:cs="Times New Roman"/>
          <w:kern w:val="0"/>
          <w:position w:val="3"/>
          <w:sz w:val="32"/>
          <w:szCs w:val="32"/>
          <w:lang w:val="zh-CN"/>
        </w:rPr>
        <w:t>。</w:t>
      </w:r>
    </w:p>
    <w:p w14:paraId="36C3DC4E">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2DD167CF">
      <w:pPr>
        <w:keepNext w:val="0"/>
        <w:keepLines w:val="0"/>
        <w:pageBreakBefore w:val="0"/>
        <w:tabs>
          <w:tab w:val="left" w:pos="1911"/>
        </w:tabs>
        <w:kinsoku/>
        <w:wordWrap/>
        <w:overflowPunct/>
        <w:topLinePunct w:val="0"/>
        <w:autoSpaceDE/>
        <w:autoSpaceDN/>
        <w:bidi w:val="0"/>
        <w:spacing w:line="560" w:lineRule="exact"/>
        <w:ind w:firstLine="640"/>
        <w:jc w:val="left"/>
        <w:rPr>
          <w:rFonts w:hint="default" w:ascii="Times New Roman" w:hAnsi="Times New Roman" w:eastAsia="仿宋_GB2312" w:cs="Times New Roman"/>
          <w:kern w:val="0"/>
          <w:sz w:val="32"/>
          <w:szCs w:val="32"/>
        </w:rPr>
      </w:pPr>
      <w:bookmarkStart w:id="100" w:name="_Hlk110546638"/>
      <w:r>
        <w:rPr>
          <w:rFonts w:hint="default" w:ascii="Times New Roman" w:hAnsi="Times New Roman" w:eastAsia="仿宋_GB2312" w:cs="Times New Roman"/>
          <w:kern w:val="0"/>
          <w:sz w:val="32"/>
          <w:szCs w:val="32"/>
        </w:rPr>
        <w:t>根据工作部署安排，在年初开展政府采购，确定好第三方服务团队，开展好各项工作，扩大影响力和影响面。</w:t>
      </w:r>
    </w:p>
    <w:bookmarkEnd w:id="100"/>
    <w:p w14:paraId="158CC791">
      <w:pPr>
        <w:snapToGrid w:val="0"/>
        <w:spacing w:line="578" w:lineRule="exact"/>
        <w:outlineLvl w:val="0"/>
        <w:rPr>
          <w:rFonts w:hint="default" w:ascii="Times New Roman" w:hAnsi="Times New Roman" w:eastAsia="黑体" w:cs="Times New Roman"/>
          <w:b w:val="0"/>
          <w:bCs w:val="0"/>
          <w:kern w:val="0"/>
          <w:sz w:val="32"/>
          <w:szCs w:val="32"/>
          <w:shd w:val="clear" w:color="auto" w:fill="FFFFFF"/>
          <w:lang w:val="en-US" w:eastAsia="zh-CN"/>
        </w:rPr>
      </w:pPr>
      <w:r>
        <w:rPr>
          <w:rFonts w:hint="default" w:ascii="Times New Roman" w:hAnsi="Times New Roman" w:eastAsia="黑体" w:cs="Times New Roman"/>
          <w:b w:val="0"/>
          <w:bCs w:val="0"/>
          <w:color w:val="auto"/>
          <w:kern w:val="2"/>
          <w:sz w:val="32"/>
          <w:szCs w:val="32"/>
          <w:lang w:val="en-US" w:eastAsia="zh-CN"/>
        </w:rPr>
        <w:t xml:space="preserve"> </w:t>
      </w:r>
      <w:bookmarkStart w:id="101" w:name="_Toc21915"/>
      <w:r>
        <w:rPr>
          <w:rFonts w:hint="default" w:ascii="Times New Roman" w:hAnsi="Times New Roman" w:eastAsia="黑体" w:cs="Times New Roman"/>
          <w:b w:val="0"/>
          <w:bCs w:val="0"/>
          <w:kern w:val="0"/>
          <w:sz w:val="32"/>
          <w:szCs w:val="32"/>
          <w:shd w:val="clear" w:color="auto" w:fill="FFFFFF"/>
          <w:lang w:val="zh-CN" w:eastAsia="zh-CN"/>
        </w:rPr>
        <w:t>附件</w:t>
      </w:r>
      <w:r>
        <w:rPr>
          <w:rFonts w:hint="default" w:ascii="Times New Roman" w:hAnsi="Times New Roman" w:eastAsia="黑体" w:cs="Times New Roman"/>
          <w:b w:val="0"/>
          <w:bCs w:val="0"/>
          <w:kern w:val="0"/>
          <w:sz w:val="32"/>
          <w:szCs w:val="32"/>
          <w:shd w:val="clear" w:color="auto" w:fill="FFFFFF"/>
          <w:lang w:val="en-US" w:eastAsia="zh-CN"/>
        </w:rPr>
        <w:t>2-3</w:t>
      </w:r>
      <w:bookmarkEnd w:id="101"/>
    </w:p>
    <w:p w14:paraId="402C1A8B">
      <w:pPr>
        <w:keepNext w:val="0"/>
        <w:keepLines w:val="0"/>
        <w:pageBreakBefore w:val="0"/>
        <w:wordWrap/>
        <w:overflowPunct/>
        <w:topLinePunct w:val="0"/>
        <w:bidi w:val="0"/>
        <w:adjustRightInd w:val="0"/>
        <w:snapToGrid w:val="0"/>
        <w:spacing w:line="560" w:lineRule="exact"/>
        <w:jc w:val="both"/>
        <w:rPr>
          <w:rFonts w:hint="default" w:ascii="Times New Roman" w:hAnsi="Times New Roman" w:eastAsia="方正小标宋简体" w:cs="Times New Roman"/>
          <w:spacing w:val="-18"/>
          <w:sz w:val="36"/>
          <w:szCs w:val="36"/>
          <w:lang w:eastAsia="zh-CN"/>
        </w:rPr>
      </w:pPr>
    </w:p>
    <w:p w14:paraId="4B24180E">
      <w:pPr>
        <w:pStyle w:val="38"/>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bCs/>
          <w:color w:val="auto"/>
          <w:kern w:val="2"/>
          <w:sz w:val="44"/>
          <w:szCs w:val="44"/>
          <w:lang w:eastAsia="zh-CN"/>
        </w:rPr>
      </w:pPr>
      <w:r>
        <w:rPr>
          <w:rFonts w:hint="default" w:ascii="Times New Roman" w:hAnsi="Times New Roman" w:eastAsia="方正小标宋简体" w:cs="Times New Roman"/>
          <w:bCs/>
          <w:color w:val="auto"/>
          <w:kern w:val="2"/>
          <w:sz w:val="44"/>
          <w:szCs w:val="44"/>
          <w:lang w:eastAsia="zh-CN"/>
        </w:rPr>
        <w:t>凉山州科学技术协会</w:t>
      </w:r>
    </w:p>
    <w:p w14:paraId="3A10DB41">
      <w:pPr>
        <w:pStyle w:val="38"/>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bCs/>
          <w:color w:val="auto"/>
          <w:kern w:val="2"/>
          <w:sz w:val="44"/>
          <w:szCs w:val="44"/>
          <w:lang w:eastAsia="zh-CN"/>
        </w:rPr>
      </w:pPr>
      <w:r>
        <w:rPr>
          <w:rFonts w:hint="default" w:ascii="Times New Roman" w:hAnsi="Times New Roman" w:eastAsia="方正小标宋简体" w:cs="Times New Roman"/>
          <w:bCs/>
          <w:color w:val="auto"/>
          <w:kern w:val="2"/>
          <w:sz w:val="44"/>
          <w:szCs w:val="44"/>
          <w:lang w:eastAsia="zh-CN"/>
        </w:rPr>
        <w:t>2025年度省级科普</w:t>
      </w:r>
      <w:r>
        <w:rPr>
          <w:rFonts w:hint="default" w:ascii="Times New Roman" w:hAnsi="Times New Roman" w:eastAsia="方正小标宋简体" w:cs="Times New Roman"/>
          <w:bCs/>
          <w:color w:val="auto"/>
          <w:kern w:val="2"/>
          <w:sz w:val="44"/>
          <w:szCs w:val="44"/>
        </w:rPr>
        <w:t>专项绩效评价报告</w:t>
      </w:r>
    </w:p>
    <w:p w14:paraId="129EE5F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cs="Times New Roman"/>
        </w:rPr>
      </w:pPr>
    </w:p>
    <w:p w14:paraId="1DF3FA7E">
      <w:pPr>
        <w:pStyle w:val="38"/>
        <w:keepNext w:val="0"/>
        <w:keepLines w:val="0"/>
        <w:pageBreakBefore w:val="0"/>
        <w:widowControl w:val="0"/>
        <w:kinsoku/>
        <w:wordWrap/>
        <w:overflowPunct/>
        <w:topLinePunct w:val="0"/>
        <w:autoSpaceDE/>
        <w:autoSpaceDN/>
        <w:bidi w:val="0"/>
        <w:adjustRightInd w:val="0"/>
        <w:snapToGrid w:val="0"/>
        <w:spacing w:line="560" w:lineRule="exact"/>
        <w:ind w:firstLine="640"/>
        <w:jc w:val="both"/>
        <w:textAlignment w:val="auto"/>
        <w:rPr>
          <w:rFonts w:hint="default" w:ascii="Times New Roman" w:hAnsi="Times New Roman" w:cs="Times New Roman"/>
        </w:rPr>
      </w:pPr>
      <w:r>
        <w:rPr>
          <w:rFonts w:hint="default" w:ascii="Times New Roman" w:hAnsi="Times New Roman" w:eastAsia="仿宋_GB2312" w:cs="Times New Roman"/>
          <w:color w:val="auto"/>
          <w:spacing w:val="6"/>
          <w:sz w:val="32"/>
          <w:szCs w:val="32"/>
          <w:shd w:val="clear" w:color="auto" w:fill="FFFFFF"/>
          <w:lang w:val="en-US" w:eastAsia="zh-CN"/>
        </w:rPr>
        <w:t>凉山州科学技术协会（以下简称州科协）按照《四川省科学技术协会关于开展专项预算项目绩效自评工作的通知》（川科协发〔2026〕10号）文件精神及要求，对</w:t>
      </w:r>
      <w:r>
        <w:rPr>
          <w:rFonts w:hint="default" w:ascii="Times New Roman" w:hAnsi="Times New Roman" w:eastAsia="仿宋_GB2312" w:cs="Times New Roman"/>
          <w:color w:val="auto"/>
          <w:spacing w:val="6"/>
          <w:sz w:val="32"/>
          <w:szCs w:val="32"/>
          <w:shd w:val="clear" w:color="auto" w:fill="FFFFFF"/>
          <w:lang w:eastAsia="zh-CN"/>
        </w:rPr>
        <w:t>202</w:t>
      </w:r>
      <w:r>
        <w:rPr>
          <w:rFonts w:hint="default" w:ascii="Times New Roman" w:hAnsi="Times New Roman" w:eastAsia="仿宋_GB2312" w:cs="Times New Roman"/>
          <w:color w:val="auto"/>
          <w:spacing w:val="6"/>
          <w:sz w:val="32"/>
          <w:szCs w:val="32"/>
          <w:shd w:val="clear" w:color="auto" w:fill="FFFFFF"/>
          <w:lang w:val="en-US" w:eastAsia="zh-CN"/>
        </w:rPr>
        <w:t>5</w:t>
      </w:r>
      <w:r>
        <w:rPr>
          <w:rFonts w:hint="default" w:ascii="Times New Roman" w:hAnsi="Times New Roman" w:eastAsia="仿宋_GB2312" w:cs="Times New Roman"/>
          <w:color w:val="auto"/>
          <w:spacing w:val="6"/>
          <w:sz w:val="32"/>
          <w:szCs w:val="32"/>
          <w:shd w:val="clear" w:color="auto" w:fill="FFFFFF"/>
          <w:lang w:eastAsia="zh-CN"/>
        </w:rPr>
        <w:t>年度中央和</w:t>
      </w:r>
      <w:r>
        <w:rPr>
          <w:rFonts w:hint="default" w:ascii="Times New Roman" w:hAnsi="Times New Roman" w:eastAsia="仿宋_GB2312" w:cs="Times New Roman"/>
          <w:color w:val="auto"/>
          <w:spacing w:val="6"/>
          <w:sz w:val="32"/>
          <w:szCs w:val="32"/>
          <w:shd w:val="clear" w:color="auto" w:fill="FFFFFF"/>
          <w:lang w:val="en-US" w:eastAsia="zh-CN"/>
        </w:rPr>
        <w:t>省级财政</w:t>
      </w:r>
      <w:r>
        <w:rPr>
          <w:rFonts w:hint="default" w:ascii="Times New Roman" w:hAnsi="Times New Roman" w:eastAsia="仿宋_GB2312" w:cs="Times New Roman"/>
          <w:color w:val="auto"/>
          <w:spacing w:val="6"/>
          <w:sz w:val="32"/>
          <w:szCs w:val="32"/>
          <w:shd w:val="clear" w:color="auto" w:fill="FFFFFF"/>
          <w:lang w:eastAsia="zh-CN"/>
        </w:rPr>
        <w:t>科普科服</w:t>
      </w:r>
      <w:r>
        <w:rPr>
          <w:rFonts w:hint="default" w:ascii="Times New Roman" w:hAnsi="Times New Roman" w:eastAsia="仿宋_GB2312" w:cs="Times New Roman"/>
          <w:color w:val="auto"/>
          <w:spacing w:val="6"/>
          <w:sz w:val="32"/>
          <w:szCs w:val="32"/>
          <w:shd w:val="clear" w:color="auto" w:fill="FFFFFF"/>
          <w:lang w:val="en-US" w:eastAsia="zh-CN"/>
        </w:rPr>
        <w:t>专项资金预算501.52万元的实施情况进行全面评价，现将评价情况汇报如下：</w:t>
      </w:r>
    </w:p>
    <w:p w14:paraId="5846C5A9">
      <w:pPr>
        <w:keepNext w:val="0"/>
        <w:keepLines w:val="0"/>
        <w:pageBreakBefore w:val="0"/>
        <w:widowControl w:val="0"/>
        <w:kinsoku/>
        <w:wordWrap/>
        <w:overflowPunct/>
        <w:topLinePunct w:val="0"/>
        <w:autoSpaceDE/>
        <w:autoSpaceDN/>
        <w:bidi w:val="0"/>
        <w:adjustRightInd w:val="0"/>
        <w:snapToGrid w:val="0"/>
        <w:spacing w:line="560" w:lineRule="exact"/>
        <w:ind w:firstLine="556" w:firstLineChars="200"/>
        <w:textAlignment w:val="auto"/>
        <w:outlineLvl w:val="2"/>
        <w:rPr>
          <w:rFonts w:hint="default" w:ascii="Times New Roman" w:hAnsi="Times New Roman" w:eastAsia="黑体" w:cs="Times New Roman"/>
          <w:spacing w:val="-21"/>
          <w:sz w:val="32"/>
          <w:szCs w:val="32"/>
        </w:rPr>
      </w:pPr>
      <w:r>
        <w:rPr>
          <w:rFonts w:hint="default" w:ascii="Times New Roman" w:hAnsi="Times New Roman" w:eastAsia="黑体" w:cs="Times New Roman"/>
          <w:spacing w:val="-21"/>
          <w:sz w:val="32"/>
          <w:szCs w:val="32"/>
        </w:rPr>
        <w:t>一</w:t>
      </w:r>
      <w:r>
        <w:rPr>
          <w:rFonts w:hint="default" w:ascii="Times New Roman" w:hAnsi="Times New Roman" w:eastAsia="黑体" w:cs="Times New Roman"/>
          <w:spacing w:val="-70"/>
          <w:sz w:val="32"/>
          <w:szCs w:val="32"/>
        </w:rPr>
        <w:t xml:space="preserve"> </w:t>
      </w:r>
      <w:r>
        <w:rPr>
          <w:rFonts w:hint="default" w:ascii="Times New Roman" w:hAnsi="Times New Roman" w:eastAsia="黑体" w:cs="Times New Roman"/>
          <w:spacing w:val="-21"/>
          <w:sz w:val="32"/>
          <w:szCs w:val="32"/>
        </w:rPr>
        <w:t>、项目概况</w:t>
      </w:r>
    </w:p>
    <w:p w14:paraId="76B9BF74">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outlineLvl w:val="2"/>
        <w:rPr>
          <w:rFonts w:hint="default" w:ascii="Times New Roman" w:hAnsi="Times New Roman" w:eastAsia="仿宋" w:cs="Times New Roman"/>
          <w:bCs/>
          <w:color w:val="FF0000"/>
          <w:spacing w:val="6"/>
          <w:sz w:val="32"/>
          <w:szCs w:val="32"/>
          <w:shd w:val="clear" w:color="auto" w:fill="FFFFFF"/>
          <w:lang w:val="zh-CN" w:eastAsia="zh-CN"/>
        </w:rPr>
      </w:pPr>
      <w:r>
        <w:rPr>
          <w:rFonts w:hint="default" w:ascii="Times New Roman" w:hAnsi="Times New Roman" w:eastAsia="楷体_GB2312" w:cs="Times New Roman"/>
          <w:b w:val="0"/>
          <w:bCs w:val="0"/>
          <w:color w:val="auto"/>
          <w:spacing w:val="6"/>
          <w:sz w:val="32"/>
          <w:szCs w:val="32"/>
          <w:shd w:val="clear" w:color="auto" w:fill="FFFFFF"/>
          <w:lang w:val="en-US" w:eastAsia="zh-CN"/>
        </w:rPr>
        <w:t>（一）</w:t>
      </w:r>
      <w:r>
        <w:rPr>
          <w:rFonts w:hint="default" w:ascii="Times New Roman" w:hAnsi="Times New Roman" w:eastAsia="楷体_GB2312" w:cs="Times New Roman"/>
          <w:b w:val="0"/>
          <w:bCs w:val="0"/>
          <w:color w:val="auto"/>
          <w:spacing w:val="6"/>
          <w:sz w:val="32"/>
          <w:szCs w:val="32"/>
          <w:shd w:val="clear" w:color="auto" w:fill="FFFFFF"/>
          <w:lang w:val="zh-CN" w:eastAsia="zh-CN"/>
        </w:rPr>
        <w:t>设立背景及基本情况</w:t>
      </w:r>
    </w:p>
    <w:p w14:paraId="0D6D0413">
      <w:pPr>
        <w:pStyle w:val="39"/>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cs="Times New Roman"/>
          <w:color w:val="auto"/>
          <w:spacing w:val="6"/>
          <w:szCs w:val="32"/>
          <w:shd w:val="clear" w:color="auto" w:fill="FFFFFF"/>
          <w:lang w:eastAsia="zh-CN"/>
        </w:rPr>
      </w:pPr>
      <w:r>
        <w:rPr>
          <w:rFonts w:hint="default" w:ascii="Times New Roman" w:hAnsi="Times New Roman" w:cs="Times New Roman"/>
          <w:b w:val="0"/>
          <w:bCs/>
          <w:color w:val="auto"/>
          <w:spacing w:val="6"/>
          <w:szCs w:val="32"/>
          <w:shd w:val="clear" w:color="auto" w:fill="FFFFFF"/>
          <w:lang w:eastAsia="zh-CN"/>
        </w:rPr>
        <w:t>1.主管部门职能：</w:t>
      </w:r>
      <w:r>
        <w:rPr>
          <w:rFonts w:hint="default" w:ascii="Times New Roman" w:hAnsi="Times New Roman" w:cs="Times New Roman"/>
          <w:color w:val="auto"/>
          <w:spacing w:val="6"/>
          <w:szCs w:val="32"/>
          <w:shd w:val="clear" w:color="auto" w:fill="FFFFFF"/>
          <w:lang w:eastAsia="zh-CN"/>
        </w:rPr>
        <w:t>凉山州科协承担着全州科普宣传、学术交流、青少年科技教育实践、提高全民科学素质、并紧扣“以科技创新为主线、以项目建设为载体、以服务三农为导向”，全力推进科普建设、科技创新，为全州各级政府决策和科研工作者服好务。</w:t>
      </w:r>
    </w:p>
    <w:p w14:paraId="10DD7BB6">
      <w:pPr>
        <w:pStyle w:val="39"/>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cs="Times New Roman"/>
          <w:color w:val="auto"/>
          <w:spacing w:val="6"/>
          <w:szCs w:val="32"/>
          <w:shd w:val="clear" w:color="auto" w:fill="FFFFFF"/>
          <w:lang w:eastAsia="zh-CN"/>
        </w:rPr>
      </w:pPr>
      <w:r>
        <w:rPr>
          <w:rFonts w:hint="default" w:ascii="Times New Roman" w:hAnsi="Times New Roman" w:cs="Times New Roman"/>
          <w:b w:val="0"/>
          <w:bCs/>
          <w:color w:val="auto"/>
          <w:spacing w:val="6"/>
          <w:szCs w:val="32"/>
          <w:shd w:val="clear" w:color="auto" w:fill="FFFFFF"/>
          <w:lang w:eastAsia="zh-CN"/>
        </w:rPr>
        <w:t>2.项目设立原因及背景：</w:t>
      </w:r>
      <w:r>
        <w:rPr>
          <w:rFonts w:hint="default" w:ascii="Times New Roman" w:hAnsi="Times New Roman" w:cs="Times New Roman"/>
          <w:color w:val="auto"/>
          <w:spacing w:val="6"/>
          <w:szCs w:val="32"/>
          <w:shd w:val="clear" w:color="auto" w:fill="FFFFFF"/>
          <w:lang w:eastAsia="zh-CN"/>
        </w:rPr>
        <w:t>为贯彻落实习近平总书记重要指示精神和党中央决策部署，坚持为科技工作者服务、为创新驱动发展服务、为提升全民科学素质服务、为党和政府科学决策服务，根据《中华人民共和国科学技术普及法》、《四川省科学技术普及条例》、《全民科学素质行动计划纲要》，按照省委省政府制定的发展规划和重点工作任务，省科协《四川省科协开展“天府科技云服务”总体方案》、“四川省科学技术协会关于印发《省科协2025年重点项目（任务）》的通知”（川科协发〔2025〕</w:t>
      </w:r>
      <w:r>
        <w:rPr>
          <w:rFonts w:hint="default" w:ascii="Times New Roman" w:hAnsi="Times New Roman" w:cs="Times New Roman"/>
          <w:color w:val="auto"/>
          <w:spacing w:val="6"/>
          <w:szCs w:val="32"/>
          <w:shd w:val="clear" w:color="auto" w:fill="FFFFFF"/>
          <w:lang w:val="en-US" w:eastAsia="zh-CN"/>
        </w:rPr>
        <w:t>10</w:t>
      </w:r>
      <w:r>
        <w:rPr>
          <w:rFonts w:hint="default" w:ascii="Times New Roman" w:hAnsi="Times New Roman" w:cs="Times New Roman"/>
          <w:color w:val="auto"/>
          <w:spacing w:val="6"/>
          <w:szCs w:val="32"/>
          <w:shd w:val="clear" w:color="auto" w:fill="FFFFFF"/>
          <w:lang w:eastAsia="zh-CN"/>
        </w:rPr>
        <w:t>号）等文件精神，州科协设立了该年度项目任务。</w:t>
      </w:r>
    </w:p>
    <w:p w14:paraId="12F15A3E">
      <w:pPr>
        <w:pStyle w:val="10"/>
        <w:keepNext w:val="0"/>
        <w:keepLines w:val="0"/>
        <w:pageBreakBefore w:val="0"/>
        <w:widowControl w:val="0"/>
        <w:kinsoku/>
        <w:wordWrap/>
        <w:overflowPunct/>
        <w:topLinePunct w:val="0"/>
        <w:autoSpaceDE/>
        <w:autoSpaceDN/>
        <w:bidi w:val="0"/>
        <w:adjustRightInd w:val="0"/>
        <w:snapToGrid w:val="0"/>
        <w:spacing w:beforeLines="0"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3.项目立项、资金申报依据：</w:t>
      </w:r>
      <w:r>
        <w:rPr>
          <w:rFonts w:hint="default" w:ascii="Times New Roman" w:hAnsi="Times New Roman" w:eastAsia="仿宋_GB2312" w:cs="Times New Roman"/>
          <w:color w:val="auto"/>
          <w:spacing w:val="6"/>
          <w:sz w:val="32"/>
          <w:szCs w:val="32"/>
          <w:shd w:val="clear" w:color="auto" w:fill="FFFFFF"/>
          <w:lang w:eastAsia="zh-CN"/>
        </w:rPr>
        <w:t>州科协党组按照《四川省财政厅四川省科学技术协会关于提前下达2025年中央和省级财政科普科服专项资金预算的通知》（川财教〔2025〕156号）、《四川省财政厅四川省科学技术协会关于下达2025年中央和省级财政科普科服专项资金预算的通知》（川财教〔2025〕91号）等文件精神及要求，围绕省</w:t>
      </w:r>
      <w:r>
        <w:rPr>
          <w:rFonts w:hint="default" w:ascii="Times New Roman" w:hAnsi="Times New Roman" w:eastAsia="仿宋_GB2312" w:cs="Times New Roman"/>
          <w:color w:val="auto"/>
          <w:spacing w:val="6"/>
          <w:sz w:val="32"/>
          <w:szCs w:val="32"/>
          <w:shd w:val="clear" w:color="auto" w:fill="FFFFFF"/>
          <w:lang w:val="zh-CN" w:eastAsia="zh-CN"/>
        </w:rPr>
        <w:t>“天府科技云服务”重点工作主线，结合工作实际，明确各部室项目工作任务和应履行的职责，进行了资金分配。</w:t>
      </w:r>
    </w:p>
    <w:p w14:paraId="5E5BE63E">
      <w:pPr>
        <w:pStyle w:val="10"/>
        <w:keepNext w:val="0"/>
        <w:keepLines w:val="0"/>
        <w:pageBreakBefore w:val="0"/>
        <w:widowControl w:val="0"/>
        <w:kinsoku/>
        <w:wordWrap/>
        <w:overflowPunct/>
        <w:topLinePunct w:val="0"/>
        <w:autoSpaceDE/>
        <w:autoSpaceDN/>
        <w:bidi w:val="0"/>
        <w:adjustRightInd w:val="0"/>
        <w:snapToGrid w:val="0"/>
        <w:spacing w:beforeLines="0" w:line="560" w:lineRule="exact"/>
        <w:ind w:firstLine="664" w:firstLineChars="200"/>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4.项目主要内容：</w:t>
      </w:r>
      <w:r>
        <w:rPr>
          <w:rFonts w:hint="default" w:ascii="Times New Roman" w:hAnsi="Times New Roman" w:eastAsia="仿宋_GB2312" w:cs="Times New Roman"/>
          <w:color w:val="auto"/>
          <w:spacing w:val="6"/>
          <w:sz w:val="32"/>
          <w:szCs w:val="32"/>
          <w:shd w:val="clear" w:color="auto" w:fill="FFFFFF"/>
          <w:lang w:eastAsia="zh-CN"/>
        </w:rPr>
        <w:t>州科协围绕</w:t>
      </w:r>
      <w:r>
        <w:rPr>
          <w:rFonts w:hint="default" w:ascii="Times New Roman" w:hAnsi="Times New Roman" w:eastAsia="仿宋_GB2312" w:cs="Times New Roman"/>
          <w:color w:val="auto"/>
          <w:spacing w:val="6"/>
          <w:sz w:val="32"/>
          <w:szCs w:val="32"/>
          <w:shd w:val="clear" w:color="auto" w:fill="FFFFFF"/>
          <w:lang w:val="zh-CN" w:eastAsia="zh-CN"/>
        </w:rPr>
        <w:t>省重点工作主线，结合州政府重点工作规划，深化开展“天府科技云服务”项目“保姆式”服务、运维工作、科普侧答题活动、科普研学游活动、实施科技供需精准对接等工作；创新特色科普资源制作、通过构建大联合、大协作的工作新格局，开展全国科普日暨乡土人才大赛活动、全国科技周、“科普进彝家、大</w:t>
      </w:r>
      <w:r>
        <w:rPr>
          <w:rFonts w:hint="eastAsia" w:ascii="Times New Roman" w:cs="Times New Roman"/>
          <w:color w:val="auto"/>
          <w:spacing w:val="6"/>
          <w:sz w:val="32"/>
          <w:szCs w:val="32"/>
          <w:shd w:val="clear" w:color="auto" w:fill="FFFFFF"/>
          <w:lang w:val="zh-CN" w:eastAsia="zh-CN"/>
        </w:rPr>
        <w:t>篷车</w:t>
      </w:r>
      <w:r>
        <w:rPr>
          <w:rFonts w:hint="default" w:ascii="Times New Roman" w:hAnsi="Times New Roman" w:eastAsia="仿宋_GB2312" w:cs="Times New Roman"/>
          <w:color w:val="auto"/>
          <w:spacing w:val="6"/>
          <w:sz w:val="32"/>
          <w:szCs w:val="32"/>
          <w:shd w:val="clear" w:color="auto" w:fill="FFFFFF"/>
          <w:lang w:val="zh-CN" w:eastAsia="zh-CN"/>
        </w:rPr>
        <w:t>进校园、进彝区”流动科技馆巡展、科技“三下乡”、科普“七进”、科普集市等活动进行科普宣传；开展科普示范基地、科普阵地创建、科技小院建设、农技人员科普科服及培训等项目工作，努力提升全民科学素质高质量发展。</w:t>
      </w:r>
    </w:p>
    <w:p w14:paraId="1930F037">
      <w:pPr>
        <w:pStyle w:val="10"/>
        <w:keepNext w:val="0"/>
        <w:keepLines w:val="0"/>
        <w:pageBreakBefore w:val="0"/>
        <w:widowControl w:val="0"/>
        <w:kinsoku/>
        <w:wordWrap/>
        <w:overflowPunct/>
        <w:topLinePunct w:val="0"/>
        <w:autoSpaceDE/>
        <w:autoSpaceDN/>
        <w:bidi w:val="0"/>
        <w:adjustRightInd w:val="0"/>
        <w:snapToGrid w:val="0"/>
        <w:spacing w:beforeLines="0" w:line="560" w:lineRule="exact"/>
        <w:ind w:firstLine="498" w:firstLineChars="150"/>
        <w:textAlignment w:val="auto"/>
        <w:rPr>
          <w:rFonts w:hint="default" w:ascii="Times New Roman" w:hAnsi="Times New Roman" w:eastAsia="仿宋_GB2312" w:cs="Times New Roman"/>
          <w:bCs/>
          <w:color w:val="FF0000"/>
          <w:spacing w:val="6"/>
          <w:sz w:val="32"/>
          <w:szCs w:val="32"/>
          <w:shd w:val="clear" w:color="auto" w:fill="FFFFFF"/>
          <w:lang w:val="zh-CN" w:eastAsia="zh-CN"/>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（二）</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实施目的及支持方向</w:t>
      </w:r>
    </w:p>
    <w:p w14:paraId="0A76BC37">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1.项目资金管理办法制定情况：</w:t>
      </w:r>
      <w:r>
        <w:rPr>
          <w:rFonts w:hint="default" w:ascii="Times New Roman" w:hAnsi="Times New Roman" w:eastAsia="仿宋_GB2312" w:cs="Times New Roman"/>
          <w:color w:val="auto"/>
          <w:spacing w:val="6"/>
          <w:sz w:val="32"/>
          <w:szCs w:val="32"/>
          <w:shd w:val="clear" w:color="auto" w:fill="FFFFFF"/>
          <w:lang w:eastAsia="zh-CN"/>
        </w:rPr>
        <w:t>州科协是科普专项资金项目组织和实施的主管单位，在该项目管理中具有审查、指导、验收、监管的职能。要求全州科普项目资金，必须严格执行“四川省财政厅 四川省科学技术协会关于印发《中央和省级财政科普科服专项资金管理办法》的通知（川财规〔2024〕7号）”、《凉山州科技计划项目专项资金管理办法》（凉财规〔2020〕2号）以及地方配套科普专项资金管理办法和本部门（单位）财务管理制度、《四川省科学技术协会关于2025年度科普科服专项资金规范使用及项目备案书的通知》（川科协发〔2025〕122号），对绩效目标预算明细实施管理。</w:t>
      </w:r>
    </w:p>
    <w:p w14:paraId="72BA377F">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2.项目实施目的及主要任务：</w:t>
      </w:r>
      <w:r>
        <w:rPr>
          <w:rFonts w:hint="default" w:ascii="Times New Roman" w:hAnsi="Times New Roman" w:eastAsia="仿宋_GB2312" w:cs="Times New Roman"/>
          <w:color w:val="auto"/>
          <w:spacing w:val="6"/>
          <w:sz w:val="32"/>
          <w:szCs w:val="32"/>
          <w:shd w:val="clear" w:color="auto" w:fill="FFFFFF"/>
          <w:lang w:eastAsia="zh-CN"/>
        </w:rPr>
        <w:t>通过项目实施，依托</w:t>
      </w:r>
      <w:r>
        <w:rPr>
          <w:rFonts w:hint="default" w:ascii="Times New Roman" w:hAnsi="Times New Roman" w:eastAsia="仿宋_GB2312" w:cs="Times New Roman"/>
          <w:color w:val="auto"/>
          <w:spacing w:val="6"/>
          <w:sz w:val="32"/>
          <w:szCs w:val="32"/>
          <w:shd w:val="clear" w:color="auto" w:fill="FFFFFF"/>
          <w:lang w:val="zh-CN" w:eastAsia="zh-CN"/>
        </w:rPr>
        <w:t>“天府科技云服务”平台，</w:t>
      </w:r>
      <w:r>
        <w:rPr>
          <w:rFonts w:hint="default" w:ascii="Times New Roman" w:hAnsi="Times New Roman" w:eastAsia="仿宋_GB2312" w:cs="Times New Roman"/>
          <w:color w:val="auto"/>
          <w:spacing w:val="6"/>
          <w:sz w:val="32"/>
          <w:szCs w:val="32"/>
          <w:shd w:val="clear" w:color="auto" w:fill="FFFFFF"/>
          <w:lang w:eastAsia="zh-CN"/>
        </w:rPr>
        <w:t>加快面向科技工作者、企事业单位、广大人民群众提供精准科技服务，提供直达科普，为科技供需双方提供更优质、更便捷的服务，全力推进科普建设、科技创新、提高全民科学素质。继续</w:t>
      </w:r>
      <w:r>
        <w:rPr>
          <w:rFonts w:hint="default" w:ascii="Times New Roman" w:hAnsi="Times New Roman" w:eastAsia="仿宋_GB2312" w:cs="Times New Roman"/>
          <w:color w:val="auto"/>
          <w:spacing w:val="6"/>
          <w:sz w:val="32"/>
          <w:szCs w:val="32"/>
          <w:shd w:val="clear" w:color="auto" w:fill="FFFFFF"/>
          <w:lang w:val="zh-CN" w:eastAsia="zh-CN"/>
        </w:rPr>
        <w:t>深化开展</w:t>
      </w:r>
      <w:bookmarkStart w:id="102" w:name="OLE_LINK30"/>
      <w:r>
        <w:rPr>
          <w:rFonts w:hint="default" w:ascii="Times New Roman" w:hAnsi="Times New Roman" w:eastAsia="仿宋_GB2312" w:cs="Times New Roman"/>
          <w:color w:val="auto"/>
          <w:spacing w:val="6"/>
          <w:sz w:val="32"/>
          <w:szCs w:val="32"/>
          <w:shd w:val="clear" w:color="auto" w:fill="FFFFFF"/>
          <w:lang w:val="zh-CN" w:eastAsia="zh-CN"/>
        </w:rPr>
        <w:t>“天府科技云服务”项目“保姆式”服务、运维工作、科普侧答题活动、实施科技供需精准对接等工作；完成创新特色科普资源制作、通过构建大联合、大协作的工作新格局，大力推进科普研学游活动、打造各地区科普旅游精品线路；开展全国科普日暨乡土人才大赛活动、全国科技周、“科普进彝家、大</w:t>
      </w:r>
      <w:r>
        <w:rPr>
          <w:rFonts w:hint="eastAsia" w:eastAsia="仿宋_GB2312" w:cs="Times New Roman"/>
          <w:color w:val="auto"/>
          <w:spacing w:val="6"/>
          <w:sz w:val="32"/>
          <w:szCs w:val="32"/>
          <w:shd w:val="clear" w:color="auto" w:fill="FFFFFF"/>
          <w:lang w:val="zh-CN" w:eastAsia="zh-CN"/>
        </w:rPr>
        <w:t>篷车</w:t>
      </w:r>
      <w:r>
        <w:rPr>
          <w:rFonts w:hint="default" w:ascii="Times New Roman" w:hAnsi="Times New Roman" w:eastAsia="仿宋_GB2312" w:cs="Times New Roman"/>
          <w:color w:val="auto"/>
          <w:spacing w:val="6"/>
          <w:sz w:val="32"/>
          <w:szCs w:val="32"/>
          <w:shd w:val="clear" w:color="auto" w:fill="FFFFFF"/>
          <w:lang w:val="zh-CN" w:eastAsia="zh-CN"/>
        </w:rPr>
        <w:t>进校园、进彝区”流动科技馆巡展、科技“三下乡”、科普“七进”、科普集市等活动进行科普宣传；开展科技小院建设、科普示范基地、科普阵地创建、农技人员科普科服及培训等项目工作，</w:t>
      </w:r>
      <w:bookmarkEnd w:id="102"/>
      <w:r>
        <w:rPr>
          <w:rFonts w:hint="default" w:ascii="Times New Roman" w:hAnsi="Times New Roman" w:eastAsia="仿宋_GB2312" w:cs="Times New Roman"/>
          <w:color w:val="auto"/>
          <w:spacing w:val="6"/>
          <w:sz w:val="32"/>
          <w:szCs w:val="32"/>
          <w:shd w:val="clear" w:color="auto" w:fill="FFFFFF"/>
          <w:lang w:val="zh-CN" w:eastAsia="zh-CN"/>
        </w:rPr>
        <w:t>努力提升全民科学素质高质量发展</w:t>
      </w:r>
      <w:r>
        <w:rPr>
          <w:rFonts w:hint="default" w:ascii="Times New Roman" w:hAnsi="Times New Roman" w:eastAsia="仿宋_GB2312" w:cs="Times New Roman"/>
          <w:color w:val="auto"/>
          <w:spacing w:val="6"/>
          <w:sz w:val="32"/>
          <w:szCs w:val="32"/>
          <w:shd w:val="clear" w:color="auto" w:fill="FFFFFF"/>
          <w:lang w:eastAsia="zh-CN"/>
        </w:rPr>
        <w:t>等主要工作任务。</w:t>
      </w:r>
    </w:p>
    <w:p w14:paraId="41C65BB3">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3.项目支持方向：</w:t>
      </w:r>
      <w:r>
        <w:rPr>
          <w:rFonts w:hint="default" w:ascii="Times New Roman" w:hAnsi="Times New Roman" w:eastAsia="仿宋_GB2312" w:cs="Times New Roman"/>
          <w:color w:val="auto"/>
          <w:spacing w:val="6"/>
          <w:sz w:val="32"/>
          <w:szCs w:val="32"/>
          <w:shd w:val="clear" w:color="auto" w:fill="FFFFFF"/>
          <w:lang w:eastAsia="zh-CN"/>
        </w:rPr>
        <w:t>项目符合国家科技强国大政方针政策，契合省委省政府及州委州政府依托科技力量全力搞好经济建设、协调区域发展、提升产业层次、明显改善人民生活等重点工作规划。项目主要投向科学技术普及、科技创新方面，竭力为科技工作者、企事业单位、广大人民群众提供精准科技服务，提供直达科普，为科技供需双方提供更优质、更便捷的服务，全力推进科普建设，提高全民科学素质。</w:t>
      </w:r>
    </w:p>
    <w:p w14:paraId="7B8081C2">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 w:cs="Times New Roman"/>
          <w:color w:val="FF0000"/>
          <w:spacing w:val="6"/>
          <w:sz w:val="32"/>
          <w:szCs w:val="32"/>
          <w:shd w:val="clear" w:color="auto" w:fill="FFFFFF"/>
          <w:lang w:eastAsia="zh-CN"/>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（三）</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预算安排及分配管理</w:t>
      </w:r>
    </w:p>
    <w:p w14:paraId="7C7C72EB">
      <w:pPr>
        <w:pStyle w:val="10"/>
        <w:keepNext w:val="0"/>
        <w:keepLines w:val="0"/>
        <w:pageBreakBefore w:val="0"/>
        <w:widowControl w:val="0"/>
        <w:kinsoku/>
        <w:wordWrap/>
        <w:overflowPunct/>
        <w:topLinePunct w:val="0"/>
        <w:autoSpaceDE/>
        <w:autoSpaceDN/>
        <w:bidi w:val="0"/>
        <w:adjustRightInd w:val="0"/>
        <w:snapToGrid w:val="0"/>
        <w:spacing w:beforeLines="0"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val="zh-CN"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1.项目预算安排情况：</w:t>
      </w:r>
      <w:r>
        <w:rPr>
          <w:rFonts w:hint="default" w:ascii="Times New Roman" w:hAnsi="Times New Roman" w:eastAsia="仿宋_GB2312" w:cs="Times New Roman"/>
          <w:color w:val="auto"/>
          <w:spacing w:val="6"/>
          <w:sz w:val="32"/>
          <w:szCs w:val="32"/>
          <w:shd w:val="clear" w:color="auto" w:fill="FFFFFF"/>
          <w:lang w:eastAsia="zh-CN"/>
        </w:rPr>
        <w:t>州科协坚持以“资金跟着项目走、项目跟着决策走”为理念，</w:t>
      </w:r>
      <w:r>
        <w:rPr>
          <w:rFonts w:hint="default" w:ascii="Times New Roman" w:hAnsi="Times New Roman" w:eastAsia="仿宋_GB2312" w:cs="Times New Roman"/>
          <w:color w:val="auto"/>
          <w:sz w:val="32"/>
          <w:szCs w:val="32"/>
          <w:lang w:eastAsia="zh-CN"/>
        </w:rPr>
        <w:t>项目以省科协 “天府科技云服务”为重点工作，为保障天府云平台正常高效运转预算了开展宣传推广、举办培训、调研等专职保姆及平台运维专项经费；同时</w:t>
      </w:r>
      <w:r>
        <w:rPr>
          <w:rFonts w:hint="default" w:ascii="Times New Roman" w:hAnsi="Times New Roman" w:eastAsia="仿宋_GB2312" w:cs="Times New Roman"/>
          <w:color w:val="auto"/>
          <w:sz w:val="32"/>
          <w:szCs w:val="32"/>
          <w:lang w:val="zh-CN" w:eastAsia="zh-CN"/>
        </w:rPr>
        <w:t>结合州政府重点工作规划，</w:t>
      </w:r>
      <w:r>
        <w:rPr>
          <w:rFonts w:hint="default" w:ascii="Times New Roman" w:hAnsi="Times New Roman" w:eastAsia="仿宋_GB2312" w:cs="Times New Roman"/>
          <w:color w:val="auto"/>
          <w:spacing w:val="6"/>
          <w:sz w:val="32"/>
          <w:szCs w:val="32"/>
          <w:shd w:val="clear" w:color="auto" w:fill="FFFFFF"/>
          <w:lang w:val="zh-CN" w:eastAsia="zh-CN"/>
        </w:rPr>
        <w:t>创新开展特色科普资源制作、科普研学游活动、青少年科技创新活动等；通过构建大联合、大协作的工作新格局，开展全国科技工作者日暨乡土人才大赛、全国科普日、全国科技周、“大</w:t>
      </w:r>
      <w:r>
        <w:rPr>
          <w:rFonts w:hint="eastAsia" w:ascii="Times New Roman" w:cs="Times New Roman"/>
          <w:color w:val="auto"/>
          <w:spacing w:val="6"/>
          <w:sz w:val="32"/>
          <w:szCs w:val="32"/>
          <w:shd w:val="clear" w:color="auto" w:fill="FFFFFF"/>
          <w:lang w:val="zh-CN" w:eastAsia="zh-CN"/>
        </w:rPr>
        <w:t>篷车</w:t>
      </w:r>
      <w:r>
        <w:rPr>
          <w:rFonts w:hint="default" w:ascii="Times New Roman" w:hAnsi="Times New Roman" w:eastAsia="仿宋_GB2312" w:cs="Times New Roman"/>
          <w:color w:val="auto"/>
          <w:spacing w:val="6"/>
          <w:sz w:val="32"/>
          <w:szCs w:val="32"/>
          <w:shd w:val="clear" w:color="auto" w:fill="FFFFFF"/>
          <w:lang w:val="zh-CN" w:eastAsia="zh-CN"/>
        </w:rPr>
        <w:t>进校园进社区进彝区”等大力宣传科普知识，培养民众爱科学学科学用科学浓郁氛围；通过开展科技小院、科普示范单位、科普阵地创建、乡村振兴农技科普科服及培训等项目的实施，辐射引领一方科技服务水平的提高，努力提升全民科学素质高质量发展等进行预算安排。</w:t>
      </w:r>
    </w:p>
    <w:p w14:paraId="6D5C4421">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2.项目资金分配原则及考虑因素：</w:t>
      </w:r>
      <w:r>
        <w:rPr>
          <w:rFonts w:hint="default" w:ascii="Times New Roman" w:hAnsi="Times New Roman" w:eastAsia="仿宋_GB2312" w:cs="Times New Roman"/>
          <w:color w:val="auto"/>
          <w:sz w:val="32"/>
          <w:szCs w:val="32"/>
          <w:lang w:eastAsia="zh-CN"/>
        </w:rPr>
        <w:t>州科协党组对2025年中央和省级财政科普科服</w:t>
      </w:r>
      <w:r>
        <w:rPr>
          <w:rFonts w:hint="default" w:ascii="Times New Roman" w:hAnsi="Times New Roman" w:eastAsia="仿宋_GB2312" w:cs="Times New Roman"/>
          <w:sz w:val="32"/>
          <w:szCs w:val="32"/>
          <w:lang w:eastAsia="zh-CN"/>
        </w:rPr>
        <w:t>专项资金预算进行了</w:t>
      </w:r>
      <w:r>
        <w:rPr>
          <w:rFonts w:hint="default" w:ascii="Times New Roman" w:hAnsi="Times New Roman" w:eastAsia="仿宋_GB2312" w:cs="Times New Roman"/>
          <w:color w:val="auto"/>
          <w:sz w:val="32"/>
          <w:szCs w:val="32"/>
          <w:lang w:eastAsia="zh-CN"/>
        </w:rPr>
        <w:t>分配，在紧扣省科协“天府科技云服务”重点项目工作的同时，结合州委州政府工作规划要点，依据省科协相关考核办法和州委州政府安排的重点工作任务，按照《四川省科学技术协会关于2025年度科普科服专项资金规范使用及项目备案的通知》（川科协发〔2025〕122号）、</w:t>
      </w:r>
      <w:r>
        <w:rPr>
          <w:rFonts w:hint="default" w:ascii="Times New Roman" w:hAnsi="Times New Roman" w:eastAsia="仿宋_GB2312" w:cs="Times New Roman"/>
          <w:color w:val="auto"/>
          <w:sz w:val="32"/>
          <w:szCs w:val="32"/>
          <w:shd w:val="clear" w:color="auto" w:fill="FFFFFF"/>
          <w:lang w:val="zh-CN"/>
        </w:rPr>
        <w:t>《省科协202</w:t>
      </w:r>
      <w:r>
        <w:rPr>
          <w:rFonts w:hint="default" w:ascii="Times New Roman" w:hAnsi="Times New Roman" w:eastAsia="仿宋_GB2312" w:cs="Times New Roman"/>
          <w:color w:val="auto"/>
          <w:sz w:val="32"/>
          <w:szCs w:val="32"/>
          <w:shd w:val="clear" w:color="auto" w:fill="FFFFFF"/>
          <w:lang w:eastAsia="zh-CN"/>
        </w:rPr>
        <w:t>5</w:t>
      </w:r>
      <w:r>
        <w:rPr>
          <w:rFonts w:hint="default" w:ascii="Times New Roman" w:hAnsi="Times New Roman" w:eastAsia="仿宋_GB2312" w:cs="Times New Roman"/>
          <w:color w:val="auto"/>
          <w:sz w:val="32"/>
          <w:szCs w:val="32"/>
          <w:shd w:val="clear" w:color="auto" w:fill="FFFFFF"/>
          <w:lang w:val="zh-CN"/>
        </w:rPr>
        <w:t>年度重点项目（任务）》（川科协发〔202</w:t>
      </w:r>
      <w:r>
        <w:rPr>
          <w:rFonts w:hint="default" w:ascii="Times New Roman" w:hAnsi="Times New Roman" w:eastAsia="仿宋_GB2312" w:cs="Times New Roman"/>
          <w:color w:val="auto"/>
          <w:sz w:val="32"/>
          <w:szCs w:val="32"/>
          <w:shd w:val="clear" w:color="auto" w:fill="FFFFFF"/>
          <w:lang w:eastAsia="zh-CN"/>
        </w:rPr>
        <w:t>5</w:t>
      </w:r>
      <w:r>
        <w:rPr>
          <w:rFonts w:hint="default" w:ascii="Times New Roman" w:hAnsi="Times New Roman" w:eastAsia="仿宋_GB2312" w:cs="Times New Roman"/>
          <w:color w:val="auto"/>
          <w:sz w:val="32"/>
          <w:szCs w:val="32"/>
          <w:shd w:val="clear" w:color="auto" w:fill="FFFFFF"/>
          <w:lang w:val="zh-CN"/>
        </w:rPr>
        <w:t>〕</w:t>
      </w:r>
      <w:r>
        <w:rPr>
          <w:rFonts w:hint="default" w:ascii="Times New Roman" w:hAnsi="Times New Roman" w:eastAsia="仿宋_GB2312" w:cs="Times New Roman"/>
          <w:color w:val="auto"/>
          <w:sz w:val="32"/>
          <w:szCs w:val="32"/>
          <w:shd w:val="clear" w:color="auto" w:fill="FFFFFF"/>
          <w:lang w:val="en-US" w:eastAsia="zh-CN"/>
        </w:rPr>
        <w:t>10</w:t>
      </w:r>
      <w:r>
        <w:rPr>
          <w:rFonts w:hint="default" w:ascii="Times New Roman" w:hAnsi="Times New Roman" w:eastAsia="仿宋_GB2312" w:cs="Times New Roman"/>
          <w:color w:val="auto"/>
          <w:sz w:val="32"/>
          <w:szCs w:val="32"/>
          <w:shd w:val="clear" w:color="auto" w:fill="FFFFFF"/>
          <w:lang w:val="zh-CN"/>
        </w:rPr>
        <w:t>号）等</w:t>
      </w:r>
      <w:r>
        <w:rPr>
          <w:rFonts w:hint="default" w:ascii="Times New Roman" w:hAnsi="Times New Roman" w:eastAsia="仿宋_GB2312" w:cs="Times New Roman"/>
          <w:color w:val="auto"/>
          <w:sz w:val="32"/>
          <w:szCs w:val="32"/>
          <w:lang w:eastAsia="zh-CN"/>
        </w:rPr>
        <w:t>文</w:t>
      </w:r>
      <w:r>
        <w:rPr>
          <w:rFonts w:hint="default" w:ascii="Times New Roman" w:hAnsi="Times New Roman" w:eastAsia="仿宋_GB2312" w:cs="Times New Roman"/>
          <w:color w:val="auto"/>
          <w:sz w:val="32"/>
          <w:szCs w:val="32"/>
          <w:shd w:val="clear" w:color="auto" w:fill="FFFFFF"/>
          <w:lang w:val="zh-CN"/>
        </w:rPr>
        <w:t>件精神及省科协全要素分配要求，统筹考虑、</w:t>
      </w:r>
      <w:r>
        <w:rPr>
          <w:rFonts w:hint="default" w:ascii="Times New Roman" w:hAnsi="Times New Roman" w:eastAsia="仿宋_GB2312" w:cs="Times New Roman"/>
          <w:color w:val="auto"/>
          <w:sz w:val="32"/>
          <w:szCs w:val="32"/>
          <w:lang w:eastAsia="zh-CN"/>
        </w:rPr>
        <w:t>科学分配。通过考察调研以及各项目组申报情况进行据实据效评定，由项目组提出申报需求，州科协党组全盘考虑、综合评估、集体研究决定。以</w:t>
      </w:r>
      <w:r>
        <w:rPr>
          <w:rFonts w:hint="default" w:ascii="Times New Roman" w:hAnsi="Times New Roman" w:eastAsia="仿宋_GB2312" w:cs="Times New Roman"/>
          <w:color w:val="auto"/>
          <w:spacing w:val="6"/>
          <w:sz w:val="32"/>
          <w:szCs w:val="32"/>
          <w:shd w:val="clear" w:color="auto" w:fill="FFFFFF"/>
          <w:lang w:val="zh-CN" w:eastAsia="zh-CN"/>
        </w:rPr>
        <w:t>“天府科技云服务”项目及运维工作、科普研学游、科普侧答题活动、实施科技供需精准对接等工作；完成创新特色科普资源制作；开展青少年科学研学实践活动、面向青少年无人机表演</w:t>
      </w:r>
      <w:r>
        <w:rPr>
          <w:rFonts w:hint="default" w:ascii="Times New Roman" w:hAnsi="Times New Roman" w:eastAsia="仿宋_GB2312" w:cs="Times New Roman"/>
          <w:color w:val="auto"/>
          <w:spacing w:val="6"/>
          <w:sz w:val="32"/>
          <w:szCs w:val="32"/>
          <w:shd w:val="clear" w:color="auto" w:fill="FFFFFF"/>
          <w:lang w:eastAsia="zh-CN"/>
        </w:rPr>
        <w:t>；</w:t>
      </w:r>
      <w:r>
        <w:rPr>
          <w:rFonts w:hint="default" w:ascii="Times New Roman" w:hAnsi="Times New Roman" w:eastAsia="仿宋_GB2312" w:cs="Times New Roman"/>
          <w:color w:val="auto"/>
          <w:spacing w:val="6"/>
          <w:sz w:val="32"/>
          <w:szCs w:val="32"/>
          <w:shd w:val="clear" w:color="auto" w:fill="FFFFFF"/>
          <w:lang w:val="zh-CN" w:eastAsia="zh-CN"/>
        </w:rPr>
        <w:t>通过构建大联合、大协作的工作新格局，开展全国科普日暨乡土人才大赛活动、全国科技周、“科普进彝家、大</w:t>
      </w:r>
      <w:r>
        <w:rPr>
          <w:rFonts w:hint="eastAsia" w:eastAsia="仿宋_GB2312" w:cs="Times New Roman"/>
          <w:color w:val="auto"/>
          <w:spacing w:val="6"/>
          <w:sz w:val="32"/>
          <w:szCs w:val="32"/>
          <w:shd w:val="clear" w:color="auto" w:fill="FFFFFF"/>
          <w:lang w:val="zh-CN" w:eastAsia="zh-CN"/>
        </w:rPr>
        <w:t>篷车</w:t>
      </w:r>
      <w:r>
        <w:rPr>
          <w:rFonts w:hint="default" w:ascii="Times New Roman" w:hAnsi="Times New Roman" w:eastAsia="仿宋_GB2312" w:cs="Times New Roman"/>
          <w:color w:val="auto"/>
          <w:spacing w:val="6"/>
          <w:sz w:val="32"/>
          <w:szCs w:val="32"/>
          <w:shd w:val="clear" w:color="auto" w:fill="FFFFFF"/>
          <w:lang w:val="zh-CN" w:eastAsia="zh-CN"/>
        </w:rPr>
        <w:t>进校园、进彝区”流动科技馆巡展；与融媒体等平台联合创作编辑《科普凉山》《科学发展期刊》进行科普宣传；制作特色科普宣传片、精品科普视频、科普大咖说科普视频、拍摄《追光》科技工作者宣传片；开展科技小院、科普示范基地、科普阵地创建、农技人员科普科服及培训等项目工作，努力提升全民科学素质高质量发展</w:t>
      </w:r>
      <w:r>
        <w:rPr>
          <w:rFonts w:hint="default" w:ascii="Times New Roman" w:hAnsi="Times New Roman" w:eastAsia="仿宋_GB2312" w:cs="Times New Roman"/>
          <w:color w:val="auto"/>
          <w:sz w:val="32"/>
          <w:szCs w:val="32"/>
          <w:lang w:eastAsia="zh-CN"/>
        </w:rPr>
        <w:t>等重点亮点项目，向</w:t>
      </w:r>
      <w:r>
        <w:rPr>
          <w:rFonts w:hint="default" w:ascii="Times New Roman" w:hAnsi="Times New Roman" w:eastAsia="仿宋_GB2312" w:cs="Times New Roman"/>
          <w:color w:val="auto"/>
          <w:spacing w:val="6"/>
          <w:sz w:val="32"/>
          <w:szCs w:val="32"/>
          <w:shd w:val="clear" w:color="auto" w:fill="FFFFFF"/>
          <w:lang w:eastAsia="zh-CN"/>
        </w:rPr>
        <w:t>各项目组</w:t>
      </w:r>
      <w:r>
        <w:rPr>
          <w:rFonts w:hint="default" w:ascii="Times New Roman" w:hAnsi="Times New Roman" w:eastAsia="仿宋_GB2312" w:cs="Times New Roman"/>
          <w:color w:val="auto"/>
          <w:sz w:val="32"/>
          <w:szCs w:val="32"/>
          <w:lang w:eastAsia="zh-CN"/>
        </w:rPr>
        <w:t>承担的项目工作任务及工作特点进行了分配。</w:t>
      </w:r>
    </w:p>
    <w:p w14:paraId="4E4943D4">
      <w:pPr>
        <w:keepNext w:val="0"/>
        <w:keepLines w:val="0"/>
        <w:pageBreakBefore w:val="0"/>
        <w:widowControl w:val="0"/>
        <w:kinsoku/>
        <w:wordWrap/>
        <w:overflowPunct/>
        <w:topLinePunct w:val="0"/>
        <w:autoSpaceDE/>
        <w:autoSpaceDN/>
        <w:bidi w:val="0"/>
        <w:adjustRightInd w:val="0"/>
        <w:snapToGrid w:val="0"/>
        <w:spacing w:line="560" w:lineRule="exact"/>
        <w:ind w:firstLine="498" w:firstLineChars="15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3.项目资金分配情况：</w:t>
      </w:r>
      <w:r>
        <w:rPr>
          <w:rFonts w:hint="default" w:ascii="Times New Roman" w:hAnsi="Times New Roman" w:eastAsia="仿宋_GB2312" w:cs="Times New Roman"/>
          <w:color w:val="auto"/>
          <w:spacing w:val="6"/>
          <w:sz w:val="32"/>
          <w:szCs w:val="32"/>
          <w:shd w:val="clear" w:color="auto" w:fill="FFFFFF"/>
          <w:lang w:eastAsia="zh-CN"/>
        </w:rPr>
        <w:t>2025年结转上年省级科普科服专项资金</w:t>
      </w:r>
      <w:r>
        <w:rPr>
          <w:rFonts w:hint="default" w:ascii="Times New Roman" w:hAnsi="Times New Roman" w:eastAsia="仿宋_GB2312" w:cs="Times New Roman"/>
          <w:color w:val="auto"/>
          <w:spacing w:val="6"/>
          <w:sz w:val="32"/>
          <w:szCs w:val="32"/>
          <w:shd w:val="clear" w:color="auto" w:fill="FFFFFF"/>
          <w:lang w:val="en-US" w:eastAsia="zh-CN"/>
        </w:rPr>
        <w:t>248万元，</w:t>
      </w:r>
      <w:r>
        <w:rPr>
          <w:rFonts w:hint="default" w:ascii="Times New Roman" w:hAnsi="Times New Roman" w:eastAsia="仿宋_GB2312" w:cs="Times New Roman"/>
          <w:color w:val="auto"/>
          <w:spacing w:val="6"/>
          <w:sz w:val="32"/>
          <w:szCs w:val="32"/>
          <w:shd w:val="clear" w:color="auto" w:fill="FFFFFF"/>
          <w:lang w:eastAsia="zh-CN"/>
        </w:rPr>
        <w:t>2025年省财政局以《四川省财政厅 四川省科学技术协会关于提前下达2025年中央和省级财政科普科服专项资金预算的通知》（川财教〔2024〕156号）提前下拨了2025年第一批次科普科服专项资金分配州本级部门</w:t>
      </w:r>
      <w:r>
        <w:rPr>
          <w:rFonts w:hint="default" w:ascii="Times New Roman" w:hAnsi="Times New Roman" w:eastAsia="仿宋_GB2312" w:cs="Times New Roman"/>
          <w:color w:val="auto"/>
          <w:spacing w:val="6"/>
          <w:sz w:val="32"/>
          <w:szCs w:val="32"/>
          <w:shd w:val="clear" w:color="auto" w:fill="FFFFFF"/>
          <w:lang w:val="en-US" w:eastAsia="zh-CN"/>
        </w:rPr>
        <w:t>184</w:t>
      </w:r>
      <w:r>
        <w:rPr>
          <w:rFonts w:hint="default" w:ascii="Times New Roman" w:hAnsi="Times New Roman" w:eastAsia="仿宋_GB2312" w:cs="Times New Roman"/>
          <w:color w:val="auto"/>
          <w:spacing w:val="6"/>
          <w:sz w:val="32"/>
          <w:szCs w:val="32"/>
          <w:shd w:val="clear" w:color="auto" w:fill="FFFFFF"/>
          <w:lang w:eastAsia="zh-CN"/>
        </w:rPr>
        <w:t>万元、以《四川省财政厅 四川省科学技术协会关于下达2025年中央和省级财政科普科服专项资金预算的通知》（川财教〔2025〕91号）下拨了第二批次科普科服专项资金分配州本级部门</w:t>
      </w:r>
      <w:r>
        <w:rPr>
          <w:rFonts w:hint="default" w:ascii="Times New Roman" w:hAnsi="Times New Roman" w:eastAsia="仿宋_GB2312" w:cs="Times New Roman"/>
          <w:color w:val="auto"/>
          <w:spacing w:val="6"/>
          <w:sz w:val="32"/>
          <w:szCs w:val="32"/>
          <w:shd w:val="clear" w:color="auto" w:fill="FFFFFF"/>
          <w:lang w:val="en-US" w:eastAsia="zh-CN"/>
        </w:rPr>
        <w:t>69.52</w:t>
      </w:r>
      <w:r>
        <w:rPr>
          <w:rFonts w:hint="default" w:ascii="Times New Roman" w:hAnsi="Times New Roman" w:eastAsia="仿宋_GB2312" w:cs="Times New Roman"/>
          <w:color w:val="auto"/>
          <w:spacing w:val="6"/>
          <w:sz w:val="32"/>
          <w:szCs w:val="32"/>
          <w:shd w:val="clear" w:color="auto" w:fill="FFFFFF"/>
          <w:lang w:eastAsia="zh-CN"/>
        </w:rPr>
        <w:t>万元，以上共计拨入州本级部门</w:t>
      </w:r>
      <w:r>
        <w:rPr>
          <w:rFonts w:hint="default" w:ascii="Times New Roman" w:hAnsi="Times New Roman" w:eastAsia="仿宋_GB2312" w:cs="Times New Roman"/>
          <w:color w:val="auto"/>
          <w:spacing w:val="6"/>
          <w:sz w:val="32"/>
          <w:szCs w:val="32"/>
          <w:shd w:val="clear" w:color="auto" w:fill="FFFFFF"/>
          <w:lang w:val="en-US" w:eastAsia="zh-CN"/>
        </w:rPr>
        <w:t>501.52。</w:t>
      </w:r>
      <w:r>
        <w:rPr>
          <w:rFonts w:hint="default" w:ascii="Times New Roman" w:hAnsi="Times New Roman" w:eastAsia="仿宋_GB2312" w:cs="Times New Roman"/>
          <w:color w:val="auto"/>
          <w:spacing w:val="6"/>
          <w:sz w:val="32"/>
          <w:szCs w:val="32"/>
          <w:shd w:val="clear" w:color="auto" w:fill="FFFFFF"/>
          <w:lang w:eastAsia="zh-CN"/>
        </w:rPr>
        <w:t>州科协在接到省科协年度专项资金分配的通知，分管办公室副主席第一时间组织办公室、各项目负责人按照《省科协2025年度重点项目》</w:t>
      </w:r>
      <w:bookmarkStart w:id="103" w:name="OLE_LINK26"/>
      <w:r>
        <w:rPr>
          <w:rFonts w:hint="default" w:ascii="Times New Roman" w:hAnsi="Times New Roman" w:eastAsia="仿宋_GB2312" w:cs="Times New Roman"/>
          <w:color w:val="auto"/>
          <w:spacing w:val="6"/>
          <w:sz w:val="32"/>
          <w:szCs w:val="32"/>
          <w:shd w:val="clear" w:color="auto" w:fill="FFFFFF"/>
          <w:lang w:eastAsia="zh-CN"/>
        </w:rPr>
        <w:t>（川科协发〔2025〕</w:t>
      </w:r>
      <w:r>
        <w:rPr>
          <w:rFonts w:hint="default" w:ascii="Times New Roman" w:hAnsi="Times New Roman" w:eastAsia="仿宋_GB2312" w:cs="Times New Roman"/>
          <w:color w:val="auto"/>
          <w:spacing w:val="6"/>
          <w:sz w:val="32"/>
          <w:szCs w:val="32"/>
          <w:shd w:val="clear" w:color="auto" w:fill="FFFFFF"/>
          <w:lang w:val="en-US" w:eastAsia="zh-CN"/>
        </w:rPr>
        <w:t>10</w:t>
      </w:r>
      <w:r>
        <w:rPr>
          <w:rFonts w:hint="default" w:ascii="Times New Roman" w:hAnsi="Times New Roman" w:eastAsia="仿宋_GB2312" w:cs="Times New Roman"/>
          <w:color w:val="auto"/>
          <w:spacing w:val="6"/>
          <w:sz w:val="32"/>
          <w:szCs w:val="32"/>
          <w:shd w:val="clear" w:color="auto" w:fill="FFFFFF"/>
          <w:lang w:eastAsia="zh-CN"/>
        </w:rPr>
        <w:t>号）</w:t>
      </w:r>
      <w:bookmarkEnd w:id="103"/>
      <w:r>
        <w:rPr>
          <w:rFonts w:hint="default" w:ascii="Times New Roman" w:hAnsi="Times New Roman" w:eastAsia="仿宋_GB2312" w:cs="Times New Roman"/>
          <w:color w:val="auto"/>
          <w:spacing w:val="6"/>
          <w:sz w:val="32"/>
          <w:szCs w:val="32"/>
          <w:shd w:val="clear" w:color="auto" w:fill="FFFFFF"/>
          <w:lang w:eastAsia="zh-CN"/>
        </w:rPr>
        <w:t>等文件精神，拟定分配原则、提出具体分配建议，形成“凉山州科协2025年度省级科普专项资金分配方案”上报州科协党组，党组邀请州纪委监委派驻</w:t>
      </w:r>
      <w:r>
        <w:rPr>
          <w:rFonts w:hint="eastAsia" w:eastAsia="仿宋_GB2312" w:cs="Times New Roman"/>
          <w:color w:val="auto"/>
          <w:spacing w:val="6"/>
          <w:sz w:val="32"/>
          <w:szCs w:val="32"/>
          <w:shd w:val="clear" w:color="auto" w:fill="FFFFFF"/>
          <w:lang w:eastAsia="zh-CN"/>
        </w:rPr>
        <w:t>纪检监察组</w:t>
      </w:r>
      <w:r>
        <w:rPr>
          <w:rFonts w:hint="default" w:ascii="Times New Roman" w:hAnsi="Times New Roman" w:eastAsia="仿宋_GB2312" w:cs="Times New Roman"/>
          <w:color w:val="auto"/>
          <w:spacing w:val="6"/>
          <w:sz w:val="32"/>
          <w:szCs w:val="32"/>
          <w:shd w:val="clear" w:color="auto" w:fill="FFFFFF"/>
          <w:lang w:eastAsia="zh-CN"/>
        </w:rPr>
        <w:t>长参与会议研究，将最终分配方案上报州政府分管副州长审批，再经凉山州财政局审核，最后联合行文。依据《凉山州财政局 凉山州科学技术协会关于下达2025年中央和省级财政科普科服专项资金预算的通知》（凉财教〔2025〕16号）第一批次拨付州本级部门184万元，主要用于“天府科技云服务”项目运维服务经费45万元,制作科普宣传品、开展禁毒防艾、森林草原防灭火、防震减灾、安全生产等科普宣教活动等项目经费62万元,科普创作行动49万元,农技人员科普科服培训服务项目28万元。</w:t>
      </w:r>
      <w:bookmarkStart w:id="104" w:name="OLE_LINK49"/>
      <w:r>
        <w:rPr>
          <w:rFonts w:hint="default" w:ascii="Times New Roman" w:hAnsi="Times New Roman" w:eastAsia="仿宋_GB2312" w:cs="Times New Roman"/>
          <w:color w:val="auto"/>
          <w:spacing w:val="6"/>
          <w:sz w:val="32"/>
          <w:szCs w:val="32"/>
          <w:shd w:val="clear" w:color="auto" w:fill="FFFFFF"/>
          <w:lang w:eastAsia="zh-CN"/>
        </w:rPr>
        <w:t>依据《凉山州财政局 凉山州科学技术协会关于下达2025年中央和省级财政科普科服专项资金预算的通知》（凉财教〔2025〕137号）第二批次拨入州本级</w:t>
      </w:r>
      <w:bookmarkEnd w:id="104"/>
      <w:r>
        <w:rPr>
          <w:rFonts w:hint="default" w:ascii="Times New Roman" w:hAnsi="Times New Roman" w:eastAsia="仿宋_GB2312" w:cs="Times New Roman"/>
          <w:color w:val="auto"/>
          <w:spacing w:val="6"/>
          <w:sz w:val="32"/>
          <w:szCs w:val="32"/>
          <w:shd w:val="clear" w:color="auto" w:fill="FFFFFF"/>
          <w:lang w:eastAsia="zh-CN"/>
        </w:rPr>
        <w:t>部门69.52万元，主要用于2026年“天府科技云服务”项目运维服务经费45万元、用于制作科普宣传品、开展禁毒防艾、森林草原防灭火、防震减灾、安全生产等科普宣教活动等项目经费24.52万元。2025年12月、各项目按照省科协要求填报了《</w:t>
      </w:r>
      <w:bookmarkStart w:id="105" w:name="OLE_LINK25"/>
      <w:r>
        <w:rPr>
          <w:rFonts w:hint="default" w:ascii="Times New Roman" w:hAnsi="Times New Roman" w:eastAsia="仿宋_GB2312" w:cs="Times New Roman"/>
          <w:color w:val="auto"/>
          <w:spacing w:val="6"/>
          <w:sz w:val="32"/>
          <w:szCs w:val="32"/>
          <w:shd w:val="clear" w:color="auto" w:fill="FFFFFF"/>
          <w:lang w:eastAsia="zh-CN"/>
        </w:rPr>
        <w:t>2025年中央和省级科普科服专项资金项目备案书</w:t>
      </w:r>
      <w:bookmarkEnd w:id="105"/>
      <w:r>
        <w:rPr>
          <w:rFonts w:hint="default" w:ascii="Times New Roman" w:hAnsi="Times New Roman" w:eastAsia="仿宋_GB2312" w:cs="Times New Roman"/>
          <w:color w:val="auto"/>
          <w:spacing w:val="6"/>
          <w:sz w:val="32"/>
          <w:szCs w:val="32"/>
          <w:shd w:val="clear" w:color="auto" w:fill="FFFFFF"/>
          <w:lang w:eastAsia="zh-CN"/>
        </w:rPr>
        <w:t>》，明确项目的立项依据、完成时间、成本费用、实施条件、信息支撑、效益情况等，严格划分使用单位的责、权、利，最大限度提高项目资金的使用效率。以上共计</w:t>
      </w:r>
      <w:r>
        <w:rPr>
          <w:rFonts w:hint="default" w:ascii="Times New Roman" w:hAnsi="Times New Roman" w:eastAsia="仿宋_GB2312" w:cs="Times New Roman"/>
          <w:color w:val="auto"/>
          <w:spacing w:val="6"/>
          <w:sz w:val="32"/>
          <w:szCs w:val="32"/>
          <w:shd w:val="clear" w:color="auto" w:fill="FFFFFF"/>
          <w:lang w:val="en-US" w:eastAsia="zh-CN"/>
        </w:rPr>
        <w:t>501.52</w:t>
      </w:r>
      <w:r>
        <w:rPr>
          <w:rFonts w:hint="default" w:ascii="Times New Roman" w:hAnsi="Times New Roman" w:eastAsia="仿宋_GB2312" w:cs="Times New Roman"/>
          <w:color w:val="auto"/>
          <w:spacing w:val="6"/>
          <w:sz w:val="32"/>
          <w:szCs w:val="32"/>
          <w:shd w:val="clear" w:color="auto" w:fill="FFFFFF"/>
          <w:lang w:eastAsia="zh-CN"/>
        </w:rPr>
        <w:t>万元。</w:t>
      </w:r>
    </w:p>
    <w:p w14:paraId="7C61039F">
      <w:pPr>
        <w:pStyle w:val="10"/>
        <w:keepNext w:val="0"/>
        <w:keepLines w:val="0"/>
        <w:pageBreakBefore w:val="0"/>
        <w:widowControl w:val="0"/>
        <w:kinsoku/>
        <w:wordWrap/>
        <w:overflowPunct/>
        <w:topLinePunct w:val="0"/>
        <w:autoSpaceDE/>
        <w:autoSpaceDN/>
        <w:bidi w:val="0"/>
        <w:adjustRightInd w:val="0"/>
        <w:snapToGrid w:val="0"/>
        <w:spacing w:beforeLines="0" w:line="560" w:lineRule="exact"/>
        <w:ind w:firstLine="664" w:firstLineChars="200"/>
        <w:textAlignment w:val="auto"/>
        <w:rPr>
          <w:rFonts w:hint="default" w:ascii="Times New Roman" w:hAnsi="Times New Roman" w:eastAsia="仿宋_GB2312" w:cs="Times New Roman"/>
          <w:b w:val="0"/>
          <w:bCs w:val="0"/>
          <w:color w:val="auto"/>
          <w:spacing w:val="6"/>
          <w:sz w:val="32"/>
          <w:szCs w:val="32"/>
          <w:shd w:val="clear" w:color="auto" w:fill="FFFFFF"/>
          <w:lang w:eastAsia="zh-CN"/>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（四）</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项目绩效目标设置</w:t>
      </w:r>
    </w:p>
    <w:p w14:paraId="62D6EE12">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1.项目整体、区域和具体绩效目标设置情况：</w:t>
      </w:r>
      <w:r>
        <w:rPr>
          <w:rFonts w:hint="default" w:ascii="Times New Roman" w:hAnsi="Times New Roman" w:eastAsia="仿宋_GB2312" w:cs="Times New Roman"/>
          <w:color w:val="auto"/>
          <w:sz w:val="32"/>
          <w:szCs w:val="32"/>
          <w:lang w:eastAsia="zh-CN"/>
        </w:rPr>
        <w:t>发展新质生产力，以“四服务”为行动准则，加快科技创新与产业转型升级，推动科技成果转化与应用，</w:t>
      </w:r>
      <w:r>
        <w:rPr>
          <w:rFonts w:hint="default" w:ascii="Times New Roman" w:hAnsi="Times New Roman" w:eastAsia="仿宋_GB2312" w:cs="Times New Roman"/>
          <w:color w:val="auto"/>
          <w:sz w:val="32"/>
          <w:szCs w:val="32"/>
        </w:rPr>
        <w:t>促进全民科学素质提升，</w:t>
      </w:r>
      <w:r>
        <w:rPr>
          <w:rFonts w:hint="default" w:ascii="Times New Roman" w:hAnsi="Times New Roman" w:eastAsia="仿宋_GB2312" w:cs="Times New Roman"/>
          <w:color w:val="auto"/>
          <w:spacing w:val="6"/>
          <w:sz w:val="32"/>
          <w:szCs w:val="32"/>
          <w:shd w:val="clear" w:color="auto" w:fill="FFFFFF"/>
          <w:lang w:val="zh-CN" w:eastAsia="zh-CN"/>
        </w:rPr>
        <w:t>促进</w:t>
      </w:r>
      <w:r>
        <w:rPr>
          <w:rFonts w:hint="default" w:ascii="Times New Roman" w:hAnsi="Times New Roman" w:eastAsia="仿宋_GB2312" w:cs="Times New Roman"/>
          <w:color w:val="auto"/>
          <w:sz w:val="32"/>
          <w:szCs w:val="32"/>
          <w:lang w:eastAsia="zh-CN"/>
        </w:rPr>
        <w:t>凉山</w:t>
      </w:r>
      <w:r>
        <w:rPr>
          <w:rFonts w:hint="default" w:ascii="Times New Roman" w:hAnsi="Times New Roman" w:eastAsia="仿宋_GB2312" w:cs="Times New Roman"/>
          <w:color w:val="auto"/>
          <w:sz w:val="32"/>
          <w:szCs w:val="32"/>
        </w:rPr>
        <w:t>社会经济高质量发展</w:t>
      </w:r>
      <w:r>
        <w:rPr>
          <w:rFonts w:hint="default" w:ascii="Times New Roman" w:hAnsi="Times New Roman" w:eastAsia="仿宋_GB2312" w:cs="Times New Roman"/>
          <w:color w:val="auto"/>
          <w:sz w:val="32"/>
          <w:szCs w:val="32"/>
          <w:lang w:eastAsia="zh-CN"/>
        </w:rPr>
        <w:t>为</w:t>
      </w:r>
      <w:r>
        <w:rPr>
          <w:rFonts w:hint="default" w:ascii="Times New Roman" w:hAnsi="Times New Roman" w:eastAsia="仿宋_GB2312" w:cs="Times New Roman"/>
          <w:color w:val="auto"/>
          <w:spacing w:val="6"/>
          <w:sz w:val="32"/>
          <w:szCs w:val="32"/>
          <w:shd w:val="clear" w:color="auto" w:fill="FFFFFF"/>
          <w:lang w:val="zh-CN" w:eastAsia="zh-CN"/>
        </w:rPr>
        <w:t>整体绩效目标。州科协</w:t>
      </w:r>
      <w:r>
        <w:rPr>
          <w:rFonts w:hint="default" w:ascii="Times New Roman" w:hAnsi="Times New Roman" w:eastAsia="仿宋_GB2312" w:cs="Times New Roman"/>
          <w:color w:val="auto"/>
          <w:spacing w:val="6"/>
          <w:sz w:val="32"/>
          <w:szCs w:val="32"/>
          <w:shd w:val="clear" w:color="auto" w:fill="FFFFFF"/>
          <w:lang w:eastAsia="zh-CN"/>
        </w:rPr>
        <w:t>协</w:t>
      </w:r>
      <w:r>
        <w:rPr>
          <w:rFonts w:hint="default" w:ascii="Times New Roman" w:hAnsi="Times New Roman" w:eastAsia="仿宋_GB2312" w:cs="Times New Roman"/>
          <w:color w:val="auto"/>
          <w:spacing w:val="6"/>
          <w:sz w:val="32"/>
          <w:szCs w:val="32"/>
          <w:shd w:val="clear" w:color="auto" w:fill="FFFFFF"/>
          <w:lang w:val="zh-CN" w:eastAsia="zh-CN"/>
        </w:rPr>
        <w:t>围绕省级重点项目工作“天府科技云服务”为抓手，积极开展</w:t>
      </w:r>
      <w:r>
        <w:rPr>
          <w:rFonts w:hint="default" w:ascii="Times New Roman" w:hAnsi="Times New Roman" w:eastAsia="仿宋_GB2312" w:cs="Times New Roman"/>
          <w:color w:val="auto"/>
          <w:spacing w:val="6"/>
          <w:sz w:val="32"/>
          <w:szCs w:val="32"/>
          <w:shd w:val="clear" w:color="auto" w:fill="FFFFFF"/>
          <w:lang w:eastAsia="zh-CN"/>
        </w:rPr>
        <w:t>创新科普宣传活动项目、科普示范创建、“流动科技馆”大篷车巡展、</w:t>
      </w:r>
      <w:r>
        <w:rPr>
          <w:rFonts w:hint="default" w:ascii="Times New Roman" w:hAnsi="Times New Roman" w:eastAsia="仿宋_GB2312" w:cs="Times New Roman"/>
          <w:color w:val="auto"/>
          <w:spacing w:val="6"/>
          <w:sz w:val="32"/>
          <w:szCs w:val="32"/>
          <w:shd w:val="clear" w:color="auto" w:fill="FFFFFF"/>
          <w:lang w:val="zh-CN" w:eastAsia="zh-CN"/>
        </w:rPr>
        <w:t>与融媒体等平台联合创作编辑《科普凉山》《科学发展期刊》进行科普宣传；制作特色科普宣传片、精品科普视频、科普大咖说科普视频、拍摄《追光》科技工作者宣传片；开展科技小院、科普示范基地、科普阵地创建、</w:t>
      </w:r>
      <w:r>
        <w:rPr>
          <w:rFonts w:hint="default" w:ascii="Times New Roman" w:hAnsi="Times New Roman" w:eastAsia="仿宋_GB2312" w:cs="Times New Roman"/>
          <w:color w:val="auto"/>
          <w:spacing w:val="6"/>
          <w:sz w:val="32"/>
          <w:szCs w:val="32"/>
          <w:shd w:val="clear" w:color="auto" w:fill="FFFFFF"/>
          <w:lang w:eastAsia="zh-CN"/>
        </w:rPr>
        <w:t>全国科普日活动暨乡土人才大赛、特色科普资源制作、青少年科学研学活动、青少年科技创新活动等作为年度目标设置。按照年度《中央和省级科普科服专项资金项目备案书》，对项目的立项依据、项目主要内容、项目绩效目标及预期成果、项目实施条件、项目执行进度及阶段目标，经费支出预算明细等进行了具体绩效目标设置。</w:t>
      </w:r>
    </w:p>
    <w:p w14:paraId="0C4C7F2F">
      <w:pPr>
        <w:keepNext w:val="0"/>
        <w:keepLines w:val="0"/>
        <w:pageBreakBefore w:val="0"/>
        <w:widowControl w:val="0"/>
        <w:kinsoku/>
        <w:wordWrap/>
        <w:overflowPunct/>
        <w:topLinePunct w:val="0"/>
        <w:autoSpaceDE/>
        <w:autoSpaceDN/>
        <w:bidi w:val="0"/>
        <w:adjustRightInd w:val="0"/>
        <w:snapToGrid w:val="0"/>
        <w:spacing w:line="560" w:lineRule="exact"/>
        <w:ind w:firstLine="498" w:firstLineChars="15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2.项目自评工作开展情况：</w:t>
      </w:r>
      <w:r>
        <w:rPr>
          <w:rFonts w:hint="default" w:ascii="Times New Roman" w:hAnsi="Times New Roman" w:eastAsia="仿宋_GB2312" w:cs="Times New Roman"/>
          <w:color w:val="auto"/>
          <w:spacing w:val="6"/>
          <w:sz w:val="32"/>
          <w:szCs w:val="32"/>
          <w:shd w:val="clear" w:color="auto" w:fill="FFFFFF"/>
          <w:lang w:eastAsia="zh-CN"/>
        </w:rPr>
        <w:t>州科协是凉山州项目组织、实施和监管的主管单位，按照《凉山州财政局</w:t>
      </w:r>
      <w:r>
        <w:rPr>
          <w:rFonts w:hint="default" w:ascii="Times New Roman" w:hAnsi="Times New Roman" w:eastAsia="仿宋_GB2312" w:cs="Times New Roman"/>
          <w:color w:val="auto"/>
          <w:spacing w:val="6"/>
          <w:sz w:val="32"/>
          <w:szCs w:val="32"/>
          <w:shd w:val="clear" w:color="auto" w:fill="FFFFFF"/>
          <w:lang w:val="en-US" w:eastAsia="zh-CN"/>
        </w:rPr>
        <w:t xml:space="preserve"> </w:t>
      </w:r>
      <w:r>
        <w:rPr>
          <w:rFonts w:hint="default" w:ascii="Times New Roman" w:hAnsi="Times New Roman" w:eastAsia="仿宋_GB2312" w:cs="Times New Roman"/>
          <w:color w:val="auto"/>
          <w:spacing w:val="6"/>
          <w:sz w:val="32"/>
          <w:szCs w:val="32"/>
          <w:shd w:val="clear" w:color="auto" w:fill="FFFFFF"/>
          <w:lang w:eastAsia="zh-CN"/>
        </w:rPr>
        <w:t>关于开展绩效评价和绩效运行监控工作的通知》（凉财绩效〔2026〕</w:t>
      </w:r>
      <w:r>
        <w:rPr>
          <w:rFonts w:hint="default" w:ascii="Times New Roman" w:hAnsi="Times New Roman" w:eastAsia="仿宋_GB2312" w:cs="Times New Roman"/>
          <w:color w:val="auto"/>
          <w:spacing w:val="6"/>
          <w:sz w:val="32"/>
          <w:szCs w:val="32"/>
          <w:shd w:val="clear" w:color="auto" w:fill="FFFFFF"/>
          <w:lang w:val="en-US" w:eastAsia="zh-CN"/>
        </w:rPr>
        <w:t>5</w:t>
      </w:r>
      <w:r>
        <w:rPr>
          <w:rFonts w:hint="default" w:ascii="Times New Roman" w:hAnsi="Times New Roman" w:eastAsia="仿宋_GB2312" w:cs="Times New Roman"/>
          <w:color w:val="auto"/>
          <w:spacing w:val="6"/>
          <w:sz w:val="32"/>
          <w:szCs w:val="32"/>
          <w:shd w:val="clear" w:color="auto" w:fill="FFFFFF"/>
          <w:lang w:eastAsia="zh-CN"/>
        </w:rPr>
        <w:t>号）文件精神，按照“谁支出、谁自评”的原则和自评全覆盖的要求，州科协各项目承担部门，就项目的立项、实施情况、完成结果等内容进行梳理，并按照州此次工作布置的要求形成</w:t>
      </w:r>
      <w:bookmarkStart w:id="106" w:name="OLE_LINK27"/>
      <w:r>
        <w:rPr>
          <w:rFonts w:hint="default" w:ascii="Times New Roman" w:hAnsi="Times New Roman" w:eastAsia="仿宋_GB2312" w:cs="Times New Roman"/>
          <w:color w:val="auto"/>
          <w:spacing w:val="6"/>
          <w:sz w:val="32"/>
          <w:szCs w:val="32"/>
          <w:shd w:val="clear" w:color="auto" w:fill="FFFFFF"/>
          <w:lang w:eastAsia="zh-CN"/>
        </w:rPr>
        <w:t>自评报告</w:t>
      </w:r>
      <w:bookmarkEnd w:id="106"/>
      <w:r>
        <w:rPr>
          <w:rFonts w:hint="default" w:ascii="Times New Roman" w:hAnsi="Times New Roman" w:eastAsia="仿宋_GB2312" w:cs="Times New Roman"/>
          <w:color w:val="auto"/>
          <w:spacing w:val="6"/>
          <w:sz w:val="32"/>
          <w:szCs w:val="32"/>
          <w:shd w:val="clear" w:color="auto" w:fill="FFFFFF"/>
          <w:lang w:eastAsia="zh-CN"/>
        </w:rPr>
        <w:t>上报州科协。州科协在汇总各项目组自评报告上报时，对照《专项预算绩效评价指标体系》，按照评价体系中项目决策、项目管理、项目实施、项目结果、民生保障及自设个性指标等，结合项目内容特点逐项进行评价打分，最后形成汇报资料上报州科协。自评工作的开展充分体现“谁用钱、谁自评”的项目资金使用原则，严格划分责、权、利。从州科协各项目组上报的自评情况来看，均能体现“用钱必问效、无效必问责”的财政项目资金绩效原则，基本做到紧扣项目备案书组织实施完成年度项目工作，较全面、客观、公开、公正的进行自我评价，确保中央及省级科普专项资金使用安全、透明、高效。</w:t>
      </w:r>
    </w:p>
    <w:p w14:paraId="1945E54C">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黑体" w:cs="Times New Roman"/>
          <w:color w:val="auto"/>
          <w:spacing w:val="6"/>
          <w:sz w:val="32"/>
          <w:szCs w:val="32"/>
          <w:shd w:val="clear" w:color="auto" w:fill="FFFFFF"/>
          <w:lang w:eastAsia="zh-CN"/>
        </w:rPr>
      </w:pPr>
      <w:r>
        <w:rPr>
          <w:rFonts w:hint="default" w:ascii="Times New Roman" w:hAnsi="Times New Roman" w:eastAsia="黑体" w:cs="Times New Roman"/>
          <w:color w:val="auto"/>
          <w:spacing w:val="6"/>
          <w:sz w:val="32"/>
          <w:szCs w:val="32"/>
          <w:shd w:val="clear" w:color="auto" w:fill="FFFFFF"/>
          <w:lang w:eastAsia="zh-CN"/>
        </w:rPr>
        <w:t>二 、评价实施</w:t>
      </w:r>
    </w:p>
    <w:p w14:paraId="741D3E9A">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FF0000"/>
          <w:sz w:val="32"/>
          <w:szCs w:val="32"/>
          <w:lang w:eastAsia="zh-CN"/>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（一）</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评价目的</w:t>
      </w:r>
    </w:p>
    <w:p w14:paraId="587AE1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通过项目绩效自评，切实体现“用钱必问效、无效必问责”的财政项目资金绩效目标原则。监督项目资金是否遵守相关法律法规专款专用、有无偏离度、是否超范围超标准使用、项目实施是否及时、资金使用是否高效、资金支付流程是否合法合规等情况，以及取得的社会效益和经济效益，了解项目实施过程中的人民群众满意值和获得感、服务对象满意度等情况，为后期确保</w:t>
      </w:r>
      <w:r>
        <w:rPr>
          <w:rFonts w:hint="default" w:ascii="Times New Roman" w:hAnsi="Times New Roman" w:eastAsia="仿宋_GB2312" w:cs="Times New Roman"/>
          <w:color w:val="auto"/>
          <w:sz w:val="32"/>
          <w:szCs w:val="32"/>
          <w:lang w:eastAsia="zh-CN"/>
        </w:rPr>
        <w:t>中央及</w:t>
      </w:r>
      <w:r>
        <w:rPr>
          <w:rFonts w:hint="default" w:ascii="Times New Roman" w:hAnsi="Times New Roman" w:eastAsia="仿宋_GB2312" w:cs="Times New Roman"/>
          <w:sz w:val="32"/>
          <w:szCs w:val="32"/>
          <w:lang w:eastAsia="zh-CN"/>
        </w:rPr>
        <w:t>省级科普科服专项资金使用安全高效提供决策依据，不断推进财政资金科学化、精细化管理。</w:t>
      </w:r>
    </w:p>
    <w:p w14:paraId="4BCE0FEC">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（二）</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预设问题及评价重点</w:t>
      </w:r>
    </w:p>
    <w:p w14:paraId="707DA710">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1.预设问题：</w:t>
      </w:r>
    </w:p>
    <w:p w14:paraId="347BAAC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（1）项目目标是否明确、具体、可衡量？</w:t>
      </w:r>
    </w:p>
    <w:p w14:paraId="16AEF7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（2）项目是否按照预定的计划和时间表执行？</w:t>
      </w:r>
    </w:p>
    <w:p w14:paraId="2BAB07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（3）预算的使用是否合理、合规，有无超支或结余情况？</w:t>
      </w:r>
    </w:p>
    <w:p w14:paraId="485448D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（4）项目所产生的成果是否达到预期的质量标准？</w:t>
      </w:r>
    </w:p>
    <w:p w14:paraId="2BE4A9F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（5）项目的实施是否对社会公众产生了积极的影响？</w:t>
      </w:r>
    </w:p>
    <w:p w14:paraId="3C74E85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（6）项目是否有可持续性，即项目成果能否在未来持续发挥作用？</w:t>
      </w:r>
    </w:p>
    <w:p w14:paraId="34B4727D">
      <w:pPr>
        <w:keepNext w:val="0"/>
        <w:keepLines w:val="0"/>
        <w:pageBreakBefore w:val="0"/>
        <w:widowControl w:val="0"/>
        <w:kinsoku/>
        <w:wordWrap/>
        <w:overflowPunct/>
        <w:topLinePunct w:val="0"/>
        <w:autoSpaceDE/>
        <w:autoSpaceDN/>
        <w:bidi w:val="0"/>
        <w:adjustRightInd w:val="0"/>
        <w:snapToGrid w:val="0"/>
        <w:spacing w:line="560" w:lineRule="exact"/>
        <w:ind w:firstLine="830" w:firstLineChars="250"/>
        <w:textAlignment w:val="auto"/>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2.评价重点：</w:t>
      </w:r>
    </w:p>
    <w:p w14:paraId="6471780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（1）对比项目设定的目标和实际完成的情况，评估目标实现程度。</w:t>
      </w:r>
    </w:p>
    <w:p w14:paraId="0D5434A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（2）考评项目按照预定的计划和时间表执行、资金支付一致性情况。</w:t>
      </w:r>
    </w:p>
    <w:p w14:paraId="429861B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（3）考核预算资金的使用合法、合规、合理，专款专用情况。</w:t>
      </w:r>
    </w:p>
    <w:p w14:paraId="73303B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（4）考核项目产生的社会效益、经济效益、可持续影响等绩效目标实现情况。</w:t>
      </w:r>
    </w:p>
    <w:p w14:paraId="6F59D27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（5）评价服务对象获得感和幸福感及满意度情况。</w:t>
      </w:r>
    </w:p>
    <w:p w14:paraId="1EAD8414">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（三）</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评价选点。</w:t>
      </w:r>
      <w:r>
        <w:rPr>
          <w:rFonts w:hint="default" w:ascii="Times New Roman" w:hAnsi="Times New Roman" w:eastAsia="仿宋_GB2312" w:cs="Times New Roman"/>
          <w:sz w:val="32"/>
          <w:szCs w:val="32"/>
          <w:lang w:eastAsia="zh-CN"/>
        </w:rPr>
        <w:t>凉山州科协“省级科普专项资金”，围绕省重点项目</w:t>
      </w:r>
      <w:r>
        <w:rPr>
          <w:rFonts w:hint="default" w:ascii="Times New Roman" w:hAnsi="Times New Roman" w:eastAsia="仿宋_GB2312" w:cs="Times New Roman"/>
          <w:color w:val="auto"/>
          <w:spacing w:val="6"/>
          <w:sz w:val="32"/>
          <w:szCs w:val="32"/>
          <w:shd w:val="clear" w:color="auto" w:fill="FFFFFF"/>
          <w:lang w:val="zh-CN" w:eastAsia="zh-CN"/>
        </w:rPr>
        <w:t>“天府科技云服务”和科普研学游项目，积极开展创新特色科普资源制作、</w:t>
      </w:r>
      <w:r>
        <w:rPr>
          <w:rFonts w:hint="default" w:ascii="Times New Roman" w:hAnsi="Times New Roman" w:eastAsia="仿宋_GB2312" w:cs="Times New Roman"/>
          <w:color w:val="auto"/>
          <w:spacing w:val="6"/>
          <w:sz w:val="32"/>
          <w:szCs w:val="32"/>
          <w:shd w:val="clear" w:color="auto" w:fill="FFFFFF"/>
          <w:lang w:eastAsia="zh-CN"/>
        </w:rPr>
        <w:t>青少年科技创新活动、</w:t>
      </w:r>
      <w:r>
        <w:rPr>
          <w:rFonts w:hint="default" w:ascii="Times New Roman" w:hAnsi="Times New Roman" w:eastAsia="仿宋_GB2312" w:cs="Times New Roman"/>
          <w:color w:val="auto"/>
          <w:spacing w:val="6"/>
          <w:sz w:val="32"/>
          <w:szCs w:val="32"/>
          <w:shd w:val="clear" w:color="auto" w:fill="FFFFFF"/>
          <w:lang w:val="zh-CN" w:eastAsia="zh-CN"/>
        </w:rPr>
        <w:t>开展全国科普月暨乡土人才大赛活动、“大</w:t>
      </w:r>
      <w:r>
        <w:rPr>
          <w:rFonts w:hint="eastAsia" w:eastAsia="仿宋_GB2312" w:cs="Times New Roman"/>
          <w:color w:val="auto"/>
          <w:spacing w:val="6"/>
          <w:sz w:val="32"/>
          <w:szCs w:val="32"/>
          <w:shd w:val="clear" w:color="auto" w:fill="FFFFFF"/>
          <w:lang w:val="zh-CN" w:eastAsia="zh-CN"/>
        </w:rPr>
        <w:t>篷车</w:t>
      </w:r>
      <w:r>
        <w:rPr>
          <w:rFonts w:hint="default" w:ascii="Times New Roman" w:hAnsi="Times New Roman" w:eastAsia="仿宋_GB2312" w:cs="Times New Roman"/>
          <w:color w:val="auto"/>
          <w:spacing w:val="6"/>
          <w:sz w:val="32"/>
          <w:szCs w:val="32"/>
          <w:shd w:val="clear" w:color="auto" w:fill="FFFFFF"/>
          <w:lang w:val="zh-CN" w:eastAsia="zh-CN"/>
        </w:rPr>
        <w:t>进校园、进社区、进彝区”活动进行科普宣传；开展科技小院建设、科普阵地创建、</w:t>
      </w:r>
      <w:r>
        <w:rPr>
          <w:rFonts w:hint="default" w:ascii="Times New Roman" w:hAnsi="Times New Roman" w:eastAsia="仿宋_GB2312" w:cs="Times New Roman"/>
          <w:sz w:val="32"/>
          <w:szCs w:val="32"/>
          <w:lang w:eastAsia="zh-CN"/>
        </w:rPr>
        <w:t>科普示范创建、</w:t>
      </w:r>
      <w:r>
        <w:rPr>
          <w:rFonts w:hint="default" w:ascii="Times New Roman" w:hAnsi="Times New Roman" w:eastAsia="仿宋_GB2312" w:cs="Times New Roman"/>
          <w:color w:val="auto"/>
          <w:spacing w:val="6"/>
          <w:sz w:val="32"/>
          <w:szCs w:val="32"/>
          <w:shd w:val="clear" w:color="auto" w:fill="FFFFFF"/>
          <w:lang w:val="zh-CN" w:eastAsia="zh-CN"/>
        </w:rPr>
        <w:t>农技人员科普科服及培训，</w:t>
      </w:r>
      <w:r>
        <w:rPr>
          <w:rFonts w:hint="default" w:ascii="Times New Roman" w:hAnsi="Times New Roman" w:eastAsia="仿宋_GB2312" w:cs="Times New Roman"/>
          <w:sz w:val="32"/>
          <w:szCs w:val="32"/>
          <w:lang w:eastAsia="zh-CN"/>
        </w:rPr>
        <w:t>科普宣传教育活动、</w:t>
      </w:r>
      <w:r>
        <w:rPr>
          <w:rFonts w:hint="default" w:ascii="Times New Roman" w:hAnsi="Times New Roman" w:eastAsia="仿宋_GB2312" w:cs="Times New Roman"/>
          <w:sz w:val="32"/>
          <w:szCs w:val="32"/>
        </w:rPr>
        <w:t>全民科学素质</w:t>
      </w:r>
      <w:r>
        <w:rPr>
          <w:rFonts w:hint="default" w:ascii="Times New Roman" w:hAnsi="Times New Roman" w:eastAsia="仿宋_GB2312" w:cs="Times New Roman"/>
          <w:sz w:val="32"/>
          <w:szCs w:val="32"/>
          <w:lang w:eastAsia="zh-CN"/>
        </w:rPr>
        <w:t>提升等系列重点亮点特色项目全面选点展开自评。</w:t>
      </w:r>
    </w:p>
    <w:p w14:paraId="56F40965">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val="0"/>
          <w:bCs w:val="0"/>
          <w:snapToGrid w:val="0"/>
          <w:color w:val="auto"/>
          <w:spacing w:val="6"/>
          <w:sz w:val="30"/>
          <w:szCs w:val="30"/>
          <w:shd w:val="clear" w:color="auto" w:fill="FFFFFF"/>
          <w:lang w:val="en-US" w:eastAsia="zh-CN" w:bidi="ar-SA"/>
        </w:rPr>
        <w:t>（四）</w:t>
      </w:r>
      <w:r>
        <w:rPr>
          <w:rFonts w:hint="default" w:ascii="Times New Roman" w:hAnsi="Times New Roman" w:eastAsia="楷体_GB2312" w:cs="Times New Roman"/>
          <w:b w:val="0"/>
          <w:bCs w:val="0"/>
          <w:snapToGrid w:val="0"/>
          <w:color w:val="auto"/>
          <w:spacing w:val="6"/>
          <w:sz w:val="30"/>
          <w:szCs w:val="30"/>
          <w:shd w:val="clear" w:color="auto" w:fill="FFFFFF"/>
          <w:lang w:val="zh-CN" w:eastAsia="zh-CN" w:bidi="ar-SA"/>
        </w:rPr>
        <w:t>评价方法。</w:t>
      </w:r>
      <w:bookmarkStart w:id="107" w:name="OLE_LINK7"/>
      <w:r>
        <w:rPr>
          <w:rFonts w:hint="default" w:ascii="Times New Roman" w:hAnsi="Times New Roman" w:eastAsia="仿宋_GB2312" w:cs="Times New Roman"/>
          <w:color w:val="auto"/>
          <w:sz w:val="32"/>
          <w:szCs w:val="32"/>
          <w:lang w:eastAsia="zh-CN"/>
        </w:rPr>
        <w:t>州科协是项目组织、实施和监管的主管单位，州科协</w:t>
      </w:r>
      <w:r>
        <w:rPr>
          <w:rFonts w:hint="default" w:ascii="Times New Roman" w:hAnsi="Times New Roman" w:eastAsia="仿宋_GB2312" w:cs="Times New Roman"/>
          <w:sz w:val="32"/>
          <w:szCs w:val="32"/>
          <w:lang w:eastAsia="zh-CN"/>
        </w:rPr>
        <w:t>采取项目组自评与部门他评相结合的方式，</w:t>
      </w:r>
      <w:r>
        <w:rPr>
          <w:rFonts w:hint="default" w:ascii="Times New Roman" w:hAnsi="Times New Roman" w:eastAsia="仿宋_GB2312" w:cs="Times New Roman"/>
          <w:color w:val="auto"/>
          <w:sz w:val="32"/>
          <w:szCs w:val="32"/>
          <w:lang w:eastAsia="zh-CN"/>
        </w:rPr>
        <w:t>项目承担部门就项目的立项、实施情况、完成结果等内容进行梳理、并按照州财政局此次工作布置的要求形成自评表和自评报告上报州科协。州科协在汇总报告上报时，</w:t>
      </w:r>
      <w:r>
        <w:rPr>
          <w:rFonts w:hint="default" w:ascii="Times New Roman" w:hAnsi="Times New Roman" w:eastAsia="仿宋_GB2312" w:cs="Times New Roman"/>
          <w:sz w:val="32"/>
          <w:szCs w:val="32"/>
          <w:lang w:eastAsia="zh-CN"/>
        </w:rPr>
        <w:t>对照《专项预算绩效评价指标体系》、“专项预算项目绩效目标完成情况自评表”，</w:t>
      </w:r>
      <w:r>
        <w:rPr>
          <w:rFonts w:hint="default" w:ascii="Times New Roman" w:hAnsi="Times New Roman" w:eastAsia="仿宋_GB2312" w:cs="Times New Roman"/>
          <w:color w:val="auto"/>
          <w:sz w:val="32"/>
          <w:szCs w:val="32"/>
          <w:lang w:eastAsia="zh-CN"/>
        </w:rPr>
        <w:t>结合项目内容特点逐项进行评价。</w:t>
      </w:r>
    </w:p>
    <w:bookmarkEnd w:id="107"/>
    <w:p w14:paraId="49676E59">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textAlignment w:val="auto"/>
        <w:rPr>
          <w:rFonts w:hint="default" w:ascii="Times New Roman" w:hAnsi="Times New Roman" w:eastAsia="仿宋" w:cs="Times New Roman"/>
          <w:color w:val="FF0000"/>
          <w:spacing w:val="6"/>
          <w:sz w:val="32"/>
          <w:szCs w:val="32"/>
          <w:shd w:val="clear" w:color="auto" w:fill="FFFFFF"/>
          <w:lang w:val="zh-CN" w:eastAsia="zh-CN"/>
        </w:rPr>
      </w:pPr>
      <w:r>
        <w:rPr>
          <w:rFonts w:hint="default" w:ascii="Times New Roman" w:hAnsi="Times New Roman" w:eastAsia="楷体_GB2312" w:cs="Times New Roman"/>
          <w:b w:val="0"/>
          <w:bCs w:val="0"/>
          <w:snapToGrid w:val="0"/>
          <w:color w:val="auto"/>
          <w:spacing w:val="6"/>
          <w:sz w:val="30"/>
          <w:szCs w:val="30"/>
          <w:shd w:val="clear" w:color="auto" w:fill="FFFFFF"/>
          <w:lang w:val="zh-CN" w:eastAsia="zh-CN" w:bidi="ar-SA"/>
        </w:rPr>
        <w:t>（五）评价组织。</w:t>
      </w:r>
      <w:r>
        <w:rPr>
          <w:rFonts w:hint="default" w:ascii="Times New Roman" w:hAnsi="Times New Roman" w:eastAsia="仿宋_GB2312" w:cs="Times New Roman"/>
          <w:sz w:val="32"/>
          <w:szCs w:val="32"/>
          <w:lang w:eastAsia="zh-CN"/>
        </w:rPr>
        <w:t>州科协党组高度重视此次州财政局工作部署，</w:t>
      </w:r>
      <w:r>
        <w:rPr>
          <w:rFonts w:hint="default" w:ascii="Times New Roman" w:hAnsi="Times New Roman" w:eastAsia="仿宋_GB2312" w:cs="Times New Roman"/>
          <w:color w:val="auto"/>
          <w:spacing w:val="6"/>
          <w:sz w:val="32"/>
          <w:szCs w:val="32"/>
          <w:shd w:val="clear" w:color="auto" w:fill="FFFFFF"/>
          <w:lang w:eastAsia="zh-CN"/>
        </w:rPr>
        <w:t>办公室立即牵头推动，各项目组积极配合全覆盖对资金使用情况进行梳理，按照要求形成自评报告上报，州科协汇总</w:t>
      </w:r>
      <w:r>
        <w:rPr>
          <w:rFonts w:hint="default" w:ascii="Times New Roman" w:hAnsi="Times New Roman" w:eastAsia="仿宋_GB2312" w:cs="Times New Roman"/>
          <w:sz w:val="32"/>
          <w:szCs w:val="32"/>
          <w:lang w:eastAsia="zh-CN"/>
        </w:rPr>
        <w:t>“省级科普专项资金”</w:t>
      </w:r>
      <w:r>
        <w:rPr>
          <w:rFonts w:hint="default" w:ascii="Times New Roman" w:hAnsi="Times New Roman" w:eastAsia="仿宋_GB2312" w:cs="Times New Roman"/>
          <w:color w:val="auto"/>
          <w:spacing w:val="6"/>
          <w:sz w:val="32"/>
          <w:szCs w:val="32"/>
          <w:shd w:val="clear" w:color="auto" w:fill="FFFFFF"/>
          <w:lang w:eastAsia="zh-CN"/>
        </w:rPr>
        <w:t>总计</w:t>
      </w:r>
      <w:r>
        <w:rPr>
          <w:rFonts w:hint="default" w:ascii="Times New Roman" w:hAnsi="Times New Roman" w:eastAsia="仿宋_GB2312" w:cs="Times New Roman"/>
          <w:color w:val="auto"/>
          <w:spacing w:val="6"/>
          <w:sz w:val="32"/>
          <w:szCs w:val="32"/>
          <w:shd w:val="clear" w:color="auto" w:fill="FFFFFF"/>
          <w:lang w:val="en-US" w:eastAsia="zh-CN"/>
        </w:rPr>
        <w:t>501.52</w:t>
      </w:r>
      <w:r>
        <w:rPr>
          <w:rFonts w:hint="default" w:ascii="Times New Roman" w:hAnsi="Times New Roman" w:eastAsia="仿宋_GB2312" w:cs="Times New Roman"/>
          <w:color w:val="auto"/>
          <w:spacing w:val="6"/>
          <w:sz w:val="32"/>
          <w:szCs w:val="32"/>
          <w:shd w:val="clear" w:color="auto" w:fill="FFFFFF"/>
          <w:lang w:eastAsia="zh-CN"/>
        </w:rPr>
        <w:t>万元实施情况进行全面评价，最后按照要求形成汇总资料上报州财政局。</w:t>
      </w:r>
    </w:p>
    <w:p w14:paraId="1B1858F9">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黑体" w:cs="Times New Roman"/>
          <w:color w:val="auto"/>
          <w:spacing w:val="6"/>
          <w:sz w:val="32"/>
          <w:szCs w:val="32"/>
          <w:shd w:val="clear" w:color="auto" w:fill="FFFFFF"/>
          <w:lang w:val="zh-CN" w:eastAsia="zh-CN"/>
        </w:rPr>
      </w:pPr>
      <w:bookmarkStart w:id="108" w:name="OLE_LINK29"/>
      <w:r>
        <w:rPr>
          <w:rFonts w:hint="default" w:ascii="Times New Roman" w:hAnsi="Times New Roman" w:eastAsia="黑体" w:cs="Times New Roman"/>
          <w:color w:val="auto"/>
          <w:spacing w:val="6"/>
          <w:sz w:val="32"/>
          <w:szCs w:val="32"/>
          <w:shd w:val="clear" w:color="auto" w:fill="FFFFFF"/>
          <w:lang w:eastAsia="zh-CN"/>
        </w:rPr>
        <w:t>三、绩效分析</w:t>
      </w:r>
      <w:r>
        <w:rPr>
          <w:rFonts w:hint="default" w:ascii="Times New Roman" w:hAnsi="Times New Roman" w:eastAsia="黑体" w:cs="Times New Roman"/>
          <w:color w:val="auto"/>
          <w:spacing w:val="6"/>
          <w:sz w:val="32"/>
          <w:szCs w:val="32"/>
          <w:shd w:val="clear" w:color="auto" w:fill="FFFFFF"/>
          <w:lang w:val="zh-CN" w:eastAsia="zh-CN"/>
        </w:rPr>
        <w:tab/>
      </w:r>
    </w:p>
    <w:p w14:paraId="0152E2FB">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textAlignment w:val="auto"/>
        <w:rPr>
          <w:rFonts w:hint="default" w:ascii="Times New Roman" w:hAnsi="Times New Roman" w:eastAsia="楷体_GB2312" w:cs="Times New Roman"/>
          <w:b w:val="0"/>
          <w:bCs w:val="0"/>
          <w:snapToGrid w:val="0"/>
          <w:color w:val="auto"/>
          <w:spacing w:val="6"/>
          <w:sz w:val="30"/>
          <w:szCs w:val="30"/>
          <w:shd w:val="clear" w:color="auto" w:fill="FFFFFF"/>
          <w:lang w:val="zh-CN" w:eastAsia="zh-CN" w:bidi="ar-SA"/>
        </w:rPr>
      </w:pPr>
      <w:r>
        <w:rPr>
          <w:rFonts w:hint="default" w:ascii="Times New Roman" w:hAnsi="Times New Roman" w:eastAsia="楷体_GB2312" w:cs="Times New Roman"/>
          <w:b w:val="0"/>
          <w:bCs w:val="0"/>
          <w:snapToGrid w:val="0"/>
          <w:color w:val="auto"/>
          <w:spacing w:val="6"/>
          <w:sz w:val="30"/>
          <w:szCs w:val="30"/>
          <w:shd w:val="clear" w:color="auto" w:fill="FFFFFF"/>
          <w:lang w:val="en-US" w:eastAsia="zh-CN" w:bidi="ar-SA"/>
        </w:rPr>
        <w:t>（一）</w:t>
      </w:r>
      <w:r>
        <w:rPr>
          <w:rFonts w:hint="default" w:ascii="Times New Roman" w:hAnsi="Times New Roman" w:eastAsia="楷体_GB2312" w:cs="Times New Roman"/>
          <w:b w:val="0"/>
          <w:bCs w:val="0"/>
          <w:snapToGrid w:val="0"/>
          <w:color w:val="auto"/>
          <w:spacing w:val="6"/>
          <w:sz w:val="30"/>
          <w:szCs w:val="30"/>
          <w:shd w:val="clear" w:color="auto" w:fill="FFFFFF"/>
          <w:lang w:val="zh-CN" w:eastAsia="zh-CN" w:bidi="ar-SA"/>
        </w:rPr>
        <w:t>通用指标绩效分析（自评得分53分）</w:t>
      </w:r>
    </w:p>
    <w:p w14:paraId="0F09CAB7">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1.项目决策。</w:t>
      </w:r>
      <w:bookmarkStart w:id="109" w:name="OLE_LINK8"/>
      <w:r>
        <w:rPr>
          <w:rFonts w:hint="default" w:ascii="Times New Roman" w:hAnsi="Times New Roman" w:eastAsia="仿宋_GB2312" w:cs="Times New Roman"/>
          <w:color w:val="auto"/>
          <w:sz w:val="32"/>
          <w:szCs w:val="32"/>
          <w:lang w:eastAsia="zh-CN"/>
        </w:rPr>
        <w:t>州</w:t>
      </w:r>
      <w:r>
        <w:rPr>
          <w:rFonts w:hint="default" w:ascii="Times New Roman" w:hAnsi="Times New Roman" w:eastAsia="仿宋_GB2312" w:cs="Times New Roman"/>
          <w:color w:val="auto"/>
          <w:spacing w:val="6"/>
          <w:sz w:val="32"/>
          <w:szCs w:val="32"/>
          <w:shd w:val="clear" w:color="auto" w:fill="FFFFFF"/>
          <w:lang w:eastAsia="zh-CN"/>
        </w:rPr>
        <w:t>科协是项目组织、实施和监管的主管单位，</w:t>
      </w:r>
      <w:r>
        <w:rPr>
          <w:rFonts w:hint="default" w:ascii="Times New Roman" w:hAnsi="Times New Roman" w:eastAsia="仿宋_GB2312" w:cs="Times New Roman"/>
          <w:color w:val="auto"/>
          <w:spacing w:val="6"/>
          <w:sz w:val="32"/>
          <w:szCs w:val="32"/>
          <w:shd w:val="clear" w:color="auto" w:fill="FFFFFF"/>
          <w:lang w:val="zh-CN" w:eastAsia="zh-CN"/>
        </w:rPr>
        <w:t>在项目决策和实施方面坚持“资金跟着项目走、项目跟着决策走”的理念，</w:t>
      </w:r>
      <w:r>
        <w:rPr>
          <w:rFonts w:hint="default" w:ascii="Times New Roman" w:hAnsi="Times New Roman" w:eastAsia="仿宋_GB2312" w:cs="Times New Roman"/>
          <w:color w:val="auto"/>
          <w:spacing w:val="6"/>
          <w:sz w:val="32"/>
          <w:szCs w:val="32"/>
          <w:shd w:val="clear" w:color="auto" w:fill="FFFFFF"/>
          <w:lang w:eastAsia="zh-CN"/>
        </w:rPr>
        <w:t>项目决策程序严密、项目规划论证符合中省要求，项目绩效目标设置科学合理、项目资金使用、项目总体规划与行业事业发展相匹配，项目所涉及内容与省、州、县（市）重大任务、重点领域、重点环节和重点项目紧密相关。州科协党组项目资金分配上能够依法依规、深入调研指导、区域发展需求兼顾，全盘统筹考虑进行因素法分配。分配方案报送州政府分管副州长审签，再报同级财政局会审、并向州委派驻</w:t>
      </w:r>
      <w:r>
        <w:rPr>
          <w:rFonts w:hint="eastAsia" w:eastAsia="仿宋_GB2312" w:cs="Times New Roman"/>
          <w:color w:val="auto"/>
          <w:spacing w:val="6"/>
          <w:sz w:val="32"/>
          <w:szCs w:val="32"/>
          <w:shd w:val="clear" w:color="auto" w:fill="FFFFFF"/>
          <w:lang w:eastAsia="zh-CN"/>
        </w:rPr>
        <w:t>纪检监察组</w:t>
      </w:r>
      <w:r>
        <w:rPr>
          <w:rFonts w:hint="default" w:ascii="Times New Roman" w:hAnsi="Times New Roman" w:eastAsia="仿宋_GB2312" w:cs="Times New Roman"/>
          <w:color w:val="auto"/>
          <w:spacing w:val="6"/>
          <w:sz w:val="32"/>
          <w:szCs w:val="32"/>
          <w:shd w:val="clear" w:color="auto" w:fill="FFFFFF"/>
          <w:lang w:eastAsia="zh-CN"/>
        </w:rPr>
        <w:t>进行报备。故项目决策自评得18分。</w:t>
      </w:r>
      <w:bookmarkEnd w:id="109"/>
    </w:p>
    <w:p w14:paraId="3B7E3103">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lang w:val="zh-CN"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2.项目管理。</w:t>
      </w:r>
      <w:r>
        <w:rPr>
          <w:rFonts w:hint="default" w:ascii="Times New Roman" w:hAnsi="Times New Roman" w:eastAsia="仿宋_GB2312" w:cs="Times New Roman"/>
          <w:color w:val="auto"/>
          <w:spacing w:val="6"/>
          <w:sz w:val="32"/>
          <w:szCs w:val="32"/>
          <w:shd w:val="clear" w:color="auto" w:fill="FFFFFF"/>
          <w:lang w:eastAsia="zh-CN"/>
        </w:rPr>
        <w:t>凉山州科协系统在制度办法上严格执行《中央和省级财政科普科服专项资金管理办法》（川财规〔</w:t>
      </w:r>
      <w:r>
        <w:rPr>
          <w:rFonts w:hint="default" w:ascii="Times New Roman" w:hAnsi="Times New Roman" w:eastAsia="仿宋_GB2312" w:cs="Times New Roman"/>
          <w:color w:val="auto"/>
          <w:spacing w:val="6"/>
          <w:sz w:val="32"/>
          <w:szCs w:val="32"/>
          <w:shd w:val="clear" w:color="auto" w:fill="FFFFFF"/>
          <w:lang w:val="en-US" w:eastAsia="zh-CN"/>
        </w:rPr>
        <w:t>2024</w:t>
      </w:r>
      <w:r>
        <w:rPr>
          <w:rFonts w:hint="default" w:ascii="Times New Roman" w:hAnsi="Times New Roman" w:eastAsia="仿宋_GB2312" w:cs="Times New Roman"/>
          <w:color w:val="auto"/>
          <w:spacing w:val="6"/>
          <w:sz w:val="32"/>
          <w:szCs w:val="32"/>
          <w:shd w:val="clear" w:color="auto" w:fill="FFFFFF"/>
          <w:lang w:eastAsia="zh-CN"/>
        </w:rPr>
        <w:t>〕</w:t>
      </w:r>
      <w:r>
        <w:rPr>
          <w:rFonts w:hint="default" w:ascii="Times New Roman" w:hAnsi="Times New Roman" w:eastAsia="仿宋_GB2312" w:cs="Times New Roman"/>
          <w:color w:val="auto"/>
          <w:spacing w:val="6"/>
          <w:sz w:val="32"/>
          <w:szCs w:val="32"/>
          <w:shd w:val="clear" w:color="auto" w:fill="FFFFFF"/>
          <w:lang w:val="en-US" w:eastAsia="zh-CN"/>
        </w:rPr>
        <w:t>7</w:t>
      </w:r>
      <w:r>
        <w:rPr>
          <w:rFonts w:hint="default" w:ascii="Times New Roman" w:hAnsi="Times New Roman" w:eastAsia="仿宋_GB2312" w:cs="Times New Roman"/>
          <w:color w:val="auto"/>
          <w:spacing w:val="6"/>
          <w:sz w:val="32"/>
          <w:szCs w:val="32"/>
          <w:shd w:val="clear" w:color="auto" w:fill="FFFFFF"/>
          <w:lang w:eastAsia="zh-CN"/>
        </w:rPr>
        <w:t>号）、《凉山州科技计划项目专项资金管理办法》（凉财规〔2020〕2号）以及各县市地方配套科普专项资金管理办法和本部门（单位）财务管理制度、《四川省科学技术协会关于2025年度科普科服专项资金规范使用及项目备案书的通知》（川科协发〔2025〕122号），对绩效目标预算明细</w:t>
      </w:r>
      <w:r>
        <w:rPr>
          <w:rFonts w:hint="eastAsia" w:eastAsia="仿宋_GB2312" w:cs="Times New Roman"/>
          <w:color w:val="auto"/>
          <w:spacing w:val="6"/>
          <w:sz w:val="32"/>
          <w:szCs w:val="32"/>
          <w:shd w:val="clear" w:color="auto" w:fill="FFFFFF"/>
          <w:lang w:eastAsia="zh-CN"/>
        </w:rPr>
        <w:t>实施</w:t>
      </w:r>
      <w:r>
        <w:rPr>
          <w:rFonts w:hint="default" w:ascii="Times New Roman" w:hAnsi="Times New Roman" w:eastAsia="仿宋_GB2312" w:cs="Times New Roman"/>
          <w:color w:val="auto"/>
          <w:spacing w:val="6"/>
          <w:sz w:val="32"/>
          <w:szCs w:val="32"/>
          <w:shd w:val="clear" w:color="auto" w:fill="FFFFFF"/>
          <w:lang w:eastAsia="zh-CN"/>
        </w:rPr>
        <w:t>管理。州科协党组严管严控各项目资金，</w:t>
      </w:r>
      <w:r>
        <w:rPr>
          <w:rFonts w:hint="default" w:ascii="Times New Roman" w:hAnsi="Times New Roman" w:eastAsia="仿宋_GB2312" w:cs="Times New Roman"/>
          <w:color w:val="auto"/>
          <w:spacing w:val="6"/>
          <w:sz w:val="32"/>
          <w:szCs w:val="32"/>
          <w:shd w:val="clear" w:color="auto" w:fill="FFFFFF"/>
          <w:lang w:val="zh-CN" w:eastAsia="zh-CN"/>
        </w:rPr>
        <w:t>认真贯彻“用钱必问效、无效必问责”的财政资金绩效管理原则，要求各项目组</w:t>
      </w:r>
      <w:r>
        <w:rPr>
          <w:rFonts w:hint="default" w:ascii="Times New Roman" w:hAnsi="Times New Roman" w:eastAsia="仿宋_GB2312" w:cs="Times New Roman"/>
          <w:color w:val="auto"/>
          <w:spacing w:val="6"/>
          <w:sz w:val="32"/>
          <w:szCs w:val="32"/>
          <w:shd w:val="clear" w:color="auto" w:fill="FFFFFF"/>
          <w:lang w:eastAsia="zh-CN"/>
        </w:rPr>
        <w:t>按照财政要求将绩效管理的理念贯穿于项目的事前、事中、事后。各级</w:t>
      </w:r>
      <w:r>
        <w:rPr>
          <w:rFonts w:hint="default" w:ascii="Times New Roman" w:hAnsi="Times New Roman" w:eastAsia="仿宋_GB2312" w:cs="Times New Roman"/>
          <w:color w:val="auto"/>
          <w:spacing w:val="6"/>
          <w:sz w:val="32"/>
          <w:szCs w:val="32"/>
          <w:shd w:val="clear" w:color="auto" w:fill="FFFFFF"/>
          <w:lang w:val="zh-CN" w:eastAsia="zh-CN"/>
        </w:rPr>
        <w:t>项目组</w:t>
      </w:r>
      <w:r>
        <w:rPr>
          <w:rFonts w:hint="default" w:ascii="Times New Roman" w:hAnsi="Times New Roman" w:eastAsia="仿宋_GB2312" w:cs="Times New Roman"/>
          <w:color w:val="auto"/>
          <w:spacing w:val="6"/>
          <w:sz w:val="32"/>
          <w:szCs w:val="32"/>
          <w:shd w:val="clear" w:color="auto" w:fill="FFFFFF"/>
          <w:lang w:eastAsia="zh-CN"/>
        </w:rPr>
        <w:t>要事前进行调研，掌握必要的基本情况，便于党组制定项目决策；事中加强实地考察以指导项目不偏离预期计划；事后组织对项目进行验收，确保项目实现目标。明确各级项目组责任，要求在做好调研、检查等基础工作的同时，加强项目推进管理、跟进支付进度、减少存量资金的发生。要求各级项目组及时与财务部门联系沟通，掌握资金支付进度，及时向党组汇报项目实施进展情况，以便党组了解项目进展情况、资金的走向，及时制定对策，校正工作，使项目尽可能不偏离年初计划，完成年度各项目标任务。项目实施中额度达到招投标，必须进入招投标和政府采购流程。项目未达到招投标限额，不属于政府采购目录，需采取竞争性谈判比选程序，项目涉及到评优评选等都应该在当地相关网站和地方公众媒体部门进行公开公示。</w:t>
      </w:r>
      <w:r>
        <w:rPr>
          <w:rFonts w:hint="default" w:ascii="Times New Roman" w:hAnsi="Times New Roman" w:eastAsia="仿宋_GB2312" w:cs="Times New Roman"/>
          <w:color w:val="auto"/>
          <w:spacing w:val="6"/>
          <w:sz w:val="32"/>
          <w:szCs w:val="32"/>
          <w:shd w:val="clear" w:color="auto" w:fill="FFFFFF"/>
          <w:lang w:val="zh-CN" w:eastAsia="zh-CN"/>
        </w:rPr>
        <w:t>程序严谨、公开透明，确保项目资金的使用合法合规。项目实施过程中，要求严格遵守相关法律法规，并按照上级重点工作要求履职尽责，无截留、挤占、挪用、虚列支出等情况；项目完成后合同签订、验收报告、技术鉴定等资料齐全并及时归档。专项管理合法合规。故项目管理自评得18分。</w:t>
      </w:r>
    </w:p>
    <w:p w14:paraId="240F3BD0">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color w:val="auto"/>
          <w:spacing w:val="6"/>
          <w:sz w:val="32"/>
          <w:szCs w:val="32"/>
          <w:shd w:val="clear" w:color="auto" w:fill="FFFFFF"/>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3.项目实施。</w:t>
      </w:r>
      <w:r>
        <w:rPr>
          <w:rFonts w:hint="default" w:ascii="Times New Roman" w:hAnsi="Times New Roman" w:eastAsia="仿宋_GB2312" w:cs="Times New Roman"/>
          <w:color w:val="auto"/>
          <w:spacing w:val="6"/>
          <w:sz w:val="32"/>
          <w:szCs w:val="32"/>
          <w:shd w:val="clear" w:color="auto" w:fill="FFFFFF"/>
          <w:lang w:val="zh-CN" w:eastAsia="zh-CN"/>
        </w:rPr>
        <w:t>从州本级部门各项目组上报的自评情况来看，均能体现“用钱必问效、无效必问责”的财政资金使用原则，做到紧扣项目备案书组织实施完成年度项目工作，确保省级科普专项资金使用安全、透明、高效。较全面、客观、公开、公正的进行自我评价。各项目组按照科普专项资金项目备案书设定目标均已全面逐项实施。</w:t>
      </w:r>
      <w:r>
        <w:rPr>
          <w:rFonts w:hint="default" w:ascii="Times New Roman" w:hAnsi="Times New Roman" w:eastAsia="仿宋_GB2312" w:cs="Times New Roman"/>
          <w:color w:val="auto"/>
          <w:spacing w:val="6"/>
          <w:sz w:val="32"/>
          <w:szCs w:val="32"/>
          <w:shd w:val="clear" w:color="auto" w:fill="FFFFFF"/>
          <w:lang w:val="en-US" w:eastAsia="zh-CN"/>
        </w:rPr>
        <w:t>2025年省级科普专项资金上年结转248万元，</w:t>
      </w:r>
      <w:r>
        <w:rPr>
          <w:rFonts w:hint="default" w:ascii="Times New Roman" w:hAnsi="Times New Roman" w:eastAsia="仿宋_GB2312" w:cs="Times New Roman"/>
          <w:color w:val="auto"/>
          <w:spacing w:val="6"/>
          <w:sz w:val="32"/>
          <w:szCs w:val="32"/>
          <w:shd w:val="clear" w:color="auto" w:fill="FFFFFF"/>
          <w:lang w:val="zh-CN" w:eastAsia="zh-CN"/>
        </w:rPr>
        <w:t>由于2025年中央和省级财政科普专项资金</w:t>
      </w:r>
      <w:r>
        <w:rPr>
          <w:rFonts w:hint="default" w:ascii="Times New Roman" w:hAnsi="Times New Roman" w:eastAsia="仿宋_GB2312" w:cs="Times New Roman"/>
          <w:snapToGrid/>
          <w:sz w:val="32"/>
          <w:szCs w:val="32"/>
          <w:lang w:eastAsia="zh-CN"/>
        </w:rPr>
        <w:t>分两批次拨入，第一批次提前下达</w:t>
      </w:r>
      <w:r>
        <w:rPr>
          <w:rFonts w:hint="default" w:ascii="Times New Roman" w:hAnsi="Times New Roman" w:eastAsia="仿宋_GB2312" w:cs="Times New Roman"/>
          <w:snapToGrid/>
          <w:sz w:val="32"/>
          <w:szCs w:val="32"/>
          <w:lang w:val="en-US" w:eastAsia="zh-CN"/>
        </w:rPr>
        <w:t>184</w:t>
      </w:r>
      <w:r>
        <w:rPr>
          <w:rFonts w:hint="default" w:ascii="Times New Roman" w:hAnsi="Times New Roman" w:eastAsia="仿宋_GB2312" w:cs="Times New Roman"/>
          <w:snapToGrid/>
          <w:sz w:val="32"/>
          <w:szCs w:val="32"/>
          <w:lang w:eastAsia="zh-CN"/>
        </w:rPr>
        <w:t>万元已于2025年2月13日分配到位，至评价时点州本级部门均已完成项目实施，并支付上年结转和第一批次拨入项目资金</w:t>
      </w:r>
      <w:r>
        <w:rPr>
          <w:rFonts w:hint="default" w:ascii="Times New Roman" w:hAnsi="Times New Roman" w:eastAsia="仿宋_GB2312" w:cs="Times New Roman"/>
          <w:snapToGrid/>
          <w:sz w:val="32"/>
          <w:szCs w:val="32"/>
          <w:lang w:val="en-US" w:eastAsia="zh-CN"/>
        </w:rPr>
        <w:t>428.78万元、政府采购项目资金余款缴回财政3.22万元；</w:t>
      </w:r>
      <w:r>
        <w:rPr>
          <w:rFonts w:hint="default" w:ascii="Times New Roman" w:hAnsi="Times New Roman" w:eastAsia="仿宋_GB2312" w:cs="Times New Roman"/>
          <w:snapToGrid/>
          <w:sz w:val="32"/>
          <w:szCs w:val="32"/>
          <w:lang w:eastAsia="zh-CN"/>
        </w:rPr>
        <w:t>第二批次</w:t>
      </w:r>
      <w:r>
        <w:rPr>
          <w:rFonts w:hint="default" w:ascii="Times New Roman" w:hAnsi="Times New Roman" w:eastAsia="仿宋_GB2312" w:cs="Times New Roman"/>
          <w:snapToGrid/>
          <w:sz w:val="32"/>
          <w:szCs w:val="32"/>
          <w:lang w:val="en-US" w:eastAsia="zh-CN"/>
        </w:rPr>
        <w:t>69.52</w:t>
      </w:r>
      <w:r>
        <w:rPr>
          <w:rFonts w:hint="default" w:ascii="Times New Roman" w:hAnsi="Times New Roman" w:eastAsia="仿宋_GB2312" w:cs="Times New Roman"/>
          <w:snapToGrid/>
          <w:sz w:val="32"/>
          <w:szCs w:val="32"/>
          <w:lang w:eastAsia="zh-CN"/>
        </w:rPr>
        <w:t>万元拨入时间较晚，2025年12月15日才下拨到位，此款仅支付“天府科普（研学）游”项目资金</w:t>
      </w:r>
      <w:r>
        <w:rPr>
          <w:rFonts w:hint="default" w:ascii="Times New Roman" w:hAnsi="Times New Roman" w:eastAsia="仿宋_GB2312" w:cs="Times New Roman"/>
          <w:snapToGrid/>
          <w:sz w:val="32"/>
          <w:szCs w:val="32"/>
          <w:lang w:val="en-US" w:eastAsia="zh-CN"/>
        </w:rPr>
        <w:t>7.98万元，余款61.54万元</w:t>
      </w:r>
      <w:r>
        <w:rPr>
          <w:rFonts w:hint="default" w:ascii="Times New Roman" w:hAnsi="Times New Roman" w:eastAsia="仿宋_GB2312" w:cs="Times New Roman"/>
          <w:snapToGrid/>
          <w:sz w:val="32"/>
          <w:szCs w:val="32"/>
          <w:lang w:eastAsia="zh-CN"/>
        </w:rPr>
        <w:t>结转下年专款专用。故</w:t>
      </w:r>
      <w:r>
        <w:rPr>
          <w:rFonts w:hint="eastAsia" w:eastAsia="仿宋_GB2312" w:cs="Times New Roman"/>
          <w:snapToGrid/>
          <w:sz w:val="32"/>
          <w:szCs w:val="32"/>
          <w:lang w:eastAsia="zh-CN"/>
        </w:rPr>
        <w:t>截至</w:t>
      </w:r>
      <w:r>
        <w:rPr>
          <w:rFonts w:hint="default" w:ascii="Times New Roman" w:hAnsi="Times New Roman" w:eastAsia="仿宋_GB2312" w:cs="Times New Roman"/>
          <w:snapToGrid/>
          <w:sz w:val="32"/>
          <w:szCs w:val="32"/>
          <w:lang w:val="en-US" w:eastAsia="zh-CN"/>
        </w:rPr>
        <w:t>2025年</w:t>
      </w:r>
      <w:r>
        <w:rPr>
          <w:rFonts w:hint="default" w:ascii="Times New Roman" w:hAnsi="Times New Roman" w:eastAsia="仿宋_GB2312" w:cs="Times New Roman"/>
          <w:snapToGrid/>
          <w:sz w:val="32"/>
          <w:szCs w:val="32"/>
          <w:lang w:eastAsia="zh-CN"/>
        </w:rPr>
        <w:t>按照项目工作推进情况资金支出总计</w:t>
      </w:r>
      <w:r>
        <w:rPr>
          <w:rFonts w:hint="default" w:ascii="Times New Roman" w:hAnsi="Times New Roman" w:eastAsia="仿宋_GB2312" w:cs="Times New Roman"/>
          <w:snapToGrid/>
          <w:color w:val="auto"/>
          <w:sz w:val="32"/>
          <w:szCs w:val="32"/>
          <w:lang w:val="en-US" w:eastAsia="zh-CN"/>
        </w:rPr>
        <w:t>436.76</w:t>
      </w:r>
      <w:r>
        <w:rPr>
          <w:rFonts w:hint="default" w:ascii="Times New Roman" w:hAnsi="Times New Roman" w:eastAsia="仿宋_GB2312" w:cs="Times New Roman"/>
          <w:snapToGrid/>
          <w:color w:val="auto"/>
          <w:sz w:val="32"/>
          <w:szCs w:val="32"/>
          <w:lang w:eastAsia="zh-CN"/>
        </w:rPr>
        <w:t>万元，占专项总预算资金</w:t>
      </w:r>
      <w:r>
        <w:rPr>
          <w:rFonts w:hint="default" w:ascii="Times New Roman" w:hAnsi="Times New Roman" w:eastAsia="仿宋_GB2312" w:cs="Times New Roman"/>
          <w:snapToGrid/>
          <w:color w:val="auto"/>
          <w:sz w:val="32"/>
          <w:szCs w:val="32"/>
          <w:lang w:val="en-US" w:eastAsia="zh-CN"/>
        </w:rPr>
        <w:t>501.52</w:t>
      </w:r>
      <w:r>
        <w:rPr>
          <w:rFonts w:hint="default" w:ascii="Times New Roman" w:hAnsi="Times New Roman" w:eastAsia="仿宋_GB2312" w:cs="Times New Roman"/>
          <w:snapToGrid/>
          <w:color w:val="auto"/>
          <w:sz w:val="32"/>
          <w:szCs w:val="32"/>
          <w:lang w:eastAsia="zh-CN"/>
        </w:rPr>
        <w:t>万元的</w:t>
      </w:r>
      <w:r>
        <w:rPr>
          <w:rFonts w:hint="default" w:ascii="Times New Roman" w:hAnsi="Times New Roman" w:eastAsia="仿宋_GB2312" w:cs="Times New Roman"/>
          <w:snapToGrid/>
          <w:color w:val="auto"/>
          <w:sz w:val="32"/>
          <w:szCs w:val="32"/>
          <w:lang w:val="en-US" w:eastAsia="zh-CN"/>
        </w:rPr>
        <w:t>87</w:t>
      </w:r>
      <w:r>
        <w:rPr>
          <w:rFonts w:hint="default" w:ascii="Times New Roman" w:hAnsi="Times New Roman" w:eastAsia="仿宋_GB2312" w:cs="Times New Roman"/>
          <w:snapToGrid/>
          <w:color w:val="auto"/>
          <w:sz w:val="32"/>
          <w:szCs w:val="32"/>
          <w:lang w:eastAsia="zh-CN"/>
        </w:rPr>
        <w:t>%。具体支付情</w:t>
      </w:r>
      <w:r>
        <w:rPr>
          <w:rFonts w:hint="default" w:ascii="Times New Roman" w:hAnsi="Times New Roman" w:eastAsia="仿宋_GB2312" w:cs="Times New Roman"/>
          <w:snapToGrid/>
          <w:sz w:val="32"/>
          <w:szCs w:val="32"/>
          <w:lang w:eastAsia="zh-CN"/>
        </w:rPr>
        <w:t>况：</w:t>
      </w:r>
      <w:r>
        <w:rPr>
          <w:rFonts w:hint="default" w:ascii="Times New Roman" w:hAnsi="Times New Roman" w:eastAsia="仿宋_GB2312" w:cs="Times New Roman"/>
          <w:b/>
          <w:bCs/>
          <w:snapToGrid/>
          <w:sz w:val="32"/>
          <w:szCs w:val="32"/>
          <w:lang w:eastAsia="zh-CN"/>
        </w:rPr>
        <w:t>一是</w:t>
      </w:r>
      <w:r>
        <w:rPr>
          <w:rFonts w:hint="default" w:ascii="Times New Roman" w:hAnsi="Times New Roman" w:eastAsia="仿宋_GB2312" w:cs="Times New Roman"/>
          <w:snapToGrid/>
          <w:sz w:val="32"/>
          <w:szCs w:val="32"/>
          <w:lang w:eastAsia="zh-CN"/>
        </w:rPr>
        <w:t>州本级按照项目工作推进情况完成委托第三方开展天府科技云平台运维、技术支撑、县市指导、业务培训；完成全国科普月活动委托第三方会场布赛、宣传片剪辑、主持播音，开展了乡土人才大赛；州农技协科普科服培训5期；开展“流动科技馆”大篷车巡展；完成“天府科普大咖说”科普纪录片、科学教育影片等制作；完成</w:t>
      </w:r>
      <w:r>
        <w:rPr>
          <w:rFonts w:hint="default" w:ascii="Times New Roman" w:hAnsi="Times New Roman" w:eastAsia="仿宋_GB2312" w:cs="Times New Roman"/>
          <w:snapToGrid/>
          <w:sz w:val="32"/>
          <w:szCs w:val="32"/>
          <w:lang w:val="zh-CN" w:eastAsia="zh-CN"/>
        </w:rPr>
        <w:t>与融媒体等平台联合创作编辑《科普凉山》《科学发展期刊》进行科普宣传；完成</w:t>
      </w:r>
      <w:r>
        <w:rPr>
          <w:rFonts w:hint="default" w:ascii="Times New Roman" w:hAnsi="Times New Roman" w:eastAsia="仿宋_GB2312" w:cs="Times New Roman"/>
          <w:snapToGrid/>
          <w:sz w:val="32"/>
          <w:szCs w:val="32"/>
          <w:lang w:eastAsia="zh-CN"/>
        </w:rPr>
        <w:t>科技工作者宣传片《追光3》制作；精品科普视频、特色科普（沙画动画）等制作投放；科普宣传品购置、科普主题文化公园开园仪式；“启梦.智慧科普计划”无人机科普秀表演；开展了“天府科普（研学）游”培训；完成宁南四川贝瑞科技小院建设等等，</w:t>
      </w:r>
      <w:r>
        <w:rPr>
          <w:rFonts w:hint="default" w:ascii="Times New Roman" w:hAnsi="Times New Roman" w:eastAsia="仿宋_GB2312" w:cs="Times New Roman"/>
          <w:color w:val="auto"/>
          <w:spacing w:val="6"/>
          <w:sz w:val="32"/>
          <w:szCs w:val="32"/>
          <w:shd w:val="clear" w:color="auto" w:fill="FFFFFF"/>
        </w:rPr>
        <w:t>并实现预期的绩效目标</w:t>
      </w:r>
      <w:r>
        <w:rPr>
          <w:rFonts w:hint="default" w:ascii="Times New Roman" w:hAnsi="Times New Roman" w:eastAsia="仿宋_GB2312" w:cs="Times New Roman"/>
          <w:color w:val="auto"/>
          <w:spacing w:val="6"/>
          <w:sz w:val="32"/>
          <w:szCs w:val="32"/>
          <w:shd w:val="clear" w:color="auto" w:fill="FFFFFF"/>
          <w:lang w:eastAsia="zh-CN"/>
        </w:rPr>
        <w:t>。</w:t>
      </w:r>
      <w:r>
        <w:rPr>
          <w:rFonts w:hint="default" w:ascii="Times New Roman" w:hAnsi="Times New Roman" w:eastAsia="仿宋_GB2312" w:cs="Times New Roman"/>
          <w:color w:val="auto"/>
          <w:spacing w:val="6"/>
          <w:sz w:val="32"/>
          <w:szCs w:val="32"/>
          <w:shd w:val="clear" w:color="auto" w:fill="FFFFFF"/>
        </w:rPr>
        <w:t>已支付专项资金符合国家财经制度，能严格执行财务管理制度及专项资金管理办法和审批程序规定。</w:t>
      </w:r>
      <w:r>
        <w:rPr>
          <w:rFonts w:hint="default" w:ascii="Times New Roman" w:hAnsi="Times New Roman" w:eastAsia="仿宋_GB2312" w:cs="Times New Roman"/>
          <w:color w:val="auto"/>
          <w:spacing w:val="6"/>
          <w:sz w:val="32"/>
          <w:szCs w:val="32"/>
          <w:shd w:val="clear" w:color="auto" w:fill="FFFFFF"/>
          <w:lang w:eastAsia="zh-CN"/>
        </w:rPr>
        <w:t>年度未完成项目将严格按照项目备案书时间节点推进并于2026年12月全面完成各项任务。</w:t>
      </w:r>
      <w:r>
        <w:rPr>
          <w:rFonts w:hint="default" w:ascii="Times New Roman" w:hAnsi="Times New Roman" w:eastAsia="仿宋_GB2312" w:cs="Times New Roman"/>
          <w:color w:val="auto"/>
          <w:spacing w:val="6"/>
          <w:sz w:val="32"/>
          <w:szCs w:val="32"/>
          <w:shd w:val="clear" w:color="auto" w:fill="FFFFFF"/>
        </w:rPr>
        <w:t>因还有部分资金暂未支付，故项目实施自评扣1分、得分8分。</w:t>
      </w:r>
    </w:p>
    <w:p w14:paraId="08F8E987">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b w:val="0"/>
          <w:bCs/>
          <w:snapToGrid w:val="0"/>
          <w:color w:val="auto"/>
          <w:spacing w:val="6"/>
          <w:sz w:val="32"/>
          <w:szCs w:val="32"/>
          <w:shd w:val="clear" w:color="auto" w:fill="FFFFFF"/>
          <w:lang w:val="en-US" w:eastAsia="zh-CN" w:bidi="ar-SA"/>
        </w:rPr>
        <w:t>4.项目结果。</w:t>
      </w:r>
      <w:r>
        <w:rPr>
          <w:rFonts w:hint="default" w:ascii="Times New Roman" w:hAnsi="Times New Roman" w:eastAsia="仿宋_GB2312" w:cs="Times New Roman"/>
          <w:color w:val="auto"/>
          <w:spacing w:val="6"/>
          <w:kern w:val="2"/>
          <w:sz w:val="32"/>
          <w:szCs w:val="32"/>
          <w:shd w:val="clear" w:color="auto" w:fill="FFFFFF"/>
          <w:lang w:eastAsia="zh-CN"/>
        </w:rPr>
        <w:t>州本级</w:t>
      </w:r>
      <w:r>
        <w:rPr>
          <w:rFonts w:hint="default" w:ascii="Times New Roman" w:hAnsi="Times New Roman" w:eastAsia="仿宋_GB2312" w:cs="Times New Roman"/>
          <w:color w:val="auto"/>
          <w:spacing w:val="6"/>
          <w:sz w:val="32"/>
          <w:szCs w:val="32"/>
          <w:shd w:val="clear" w:color="auto" w:fill="FFFFFF"/>
          <w:lang w:eastAsia="zh-CN"/>
        </w:rPr>
        <w:t>充分利用省、州级科普专项资金，按照预设项目计划抓紧各项工作的推进实施。</w:t>
      </w:r>
      <w:r>
        <w:rPr>
          <w:rFonts w:hint="default" w:ascii="Times New Roman" w:hAnsi="Times New Roman" w:eastAsia="仿宋_GB2312" w:cs="Times New Roman"/>
          <w:b w:val="0"/>
          <w:bCs/>
          <w:kern w:val="2"/>
          <w:sz w:val="32"/>
          <w:szCs w:val="32"/>
          <w:lang w:eastAsia="zh-CN"/>
        </w:rPr>
        <w:t>一是筑牢纽带，全心服务科技工作者。</w:t>
      </w:r>
      <w:r>
        <w:rPr>
          <w:rFonts w:hint="default" w:ascii="Times New Roman" w:hAnsi="Times New Roman" w:eastAsia="仿宋_GB2312" w:cs="Times New Roman"/>
          <w:bCs/>
          <w:kern w:val="2"/>
          <w:sz w:val="32"/>
          <w:szCs w:val="32"/>
          <w:lang w:eastAsia="zh-CN"/>
        </w:rPr>
        <w:t>举办第九个“全国科技工作者日”庆祝活动，拍摄科技工作者宣传片《追光》系列共</w:t>
      </w:r>
      <w:r>
        <w:rPr>
          <w:rFonts w:hint="default" w:ascii="Times New Roman" w:hAnsi="Times New Roman" w:eastAsia="仿宋_GB2312" w:cs="Times New Roman"/>
          <w:bCs/>
          <w:kern w:val="2"/>
          <w:sz w:val="32"/>
          <w:szCs w:val="32"/>
          <w:lang w:val="en-US" w:eastAsia="zh-CN"/>
        </w:rPr>
        <w:t>1</w:t>
      </w:r>
      <w:r>
        <w:rPr>
          <w:rFonts w:hint="default" w:ascii="Times New Roman" w:hAnsi="Times New Roman" w:eastAsia="仿宋_GB2312" w:cs="Times New Roman"/>
          <w:bCs/>
          <w:kern w:val="2"/>
          <w:sz w:val="32"/>
          <w:szCs w:val="32"/>
          <w:lang w:eastAsia="zh-CN"/>
        </w:rPr>
        <w:t>部。</w:t>
      </w:r>
      <w:r>
        <w:rPr>
          <w:rFonts w:hint="default" w:ascii="Times New Roman" w:hAnsi="Times New Roman" w:eastAsia="仿宋_GB2312" w:cs="Times New Roman"/>
          <w:color w:val="auto"/>
          <w:spacing w:val="6"/>
          <w:kern w:val="2"/>
          <w:sz w:val="32"/>
          <w:szCs w:val="32"/>
          <w:shd w:val="clear" w:color="auto" w:fill="FFFFFF"/>
          <w:lang w:eastAsia="zh-CN"/>
        </w:rPr>
        <w:t>二是聚力创新，主动服务驱动发展。</w:t>
      </w:r>
      <w:bookmarkStart w:id="110" w:name="OLE_LINK34"/>
      <w:r>
        <w:rPr>
          <w:rFonts w:hint="default" w:ascii="Times New Roman" w:hAnsi="Times New Roman" w:eastAsia="仿宋_GB2312" w:cs="Times New Roman"/>
          <w:color w:val="auto"/>
          <w:spacing w:val="6"/>
          <w:kern w:val="2"/>
          <w:sz w:val="32"/>
          <w:szCs w:val="32"/>
          <w:shd w:val="clear" w:color="auto" w:fill="FFFFFF"/>
          <w:lang w:eastAsia="zh-CN"/>
        </w:rPr>
        <w:t>大力推广“天府科技云”平台，全年注册用户1.8万余人，入驻企事业单位73家，精准科普服务424.5万人次；举办“科创会·凉山行”“低空经济+现代农业”专场活动，邀请企业代表47家，推介科创项目75个，签署项目合作协议6个。</w:t>
      </w:r>
      <w:bookmarkEnd w:id="110"/>
      <w:r>
        <w:rPr>
          <w:rFonts w:hint="default" w:ascii="Times New Roman" w:hAnsi="Times New Roman" w:eastAsia="仿宋_GB2312" w:cs="Times New Roman"/>
          <w:color w:val="auto"/>
          <w:spacing w:val="6"/>
          <w:kern w:val="2"/>
          <w:sz w:val="32"/>
          <w:szCs w:val="32"/>
          <w:shd w:val="clear" w:color="auto" w:fill="FFFFFF"/>
          <w:lang w:eastAsia="zh-CN"/>
        </w:rPr>
        <w:t>三是潜心创建，科创平台实现“双突破”。成功申报获批两个国家级科技小院，突破2017年来近10年未申报成功瓶颈。成功创建首家院士工作站，实现了全州院士工作站设立“零的突破”。四是创新创意，全面开展科普创作行动。</w:t>
      </w:r>
      <w:bookmarkStart w:id="111" w:name="OLE_LINK33"/>
      <w:r>
        <w:rPr>
          <w:rFonts w:hint="default" w:ascii="Times New Roman" w:hAnsi="Times New Roman" w:eastAsia="仿宋_GB2312" w:cs="Times New Roman"/>
          <w:color w:val="auto"/>
          <w:spacing w:val="6"/>
          <w:kern w:val="2"/>
          <w:sz w:val="32"/>
          <w:szCs w:val="32"/>
          <w:shd w:val="clear" w:color="auto" w:fill="FFFFFF"/>
          <w:lang w:eastAsia="zh-CN"/>
        </w:rPr>
        <w:t>制作动画沙画原创特色科普作品20部；拍摄科普纪录片、科教影</w:t>
      </w:r>
      <w:r>
        <w:rPr>
          <w:rFonts w:hint="default" w:ascii="Times New Roman" w:hAnsi="Times New Roman" w:eastAsia="仿宋_GB2312" w:cs="Times New Roman"/>
          <w:bCs/>
          <w:kern w:val="2"/>
          <w:sz w:val="32"/>
          <w:szCs w:val="32"/>
          <w:lang w:eastAsia="zh-CN"/>
        </w:rPr>
        <w:t>片、专题视频各1部；摄制“科普大咖说”3部；通过农村电影公益放映在全州23</w:t>
      </w:r>
      <w:bookmarkEnd w:id="111"/>
      <w:r>
        <w:rPr>
          <w:rFonts w:hint="default" w:ascii="Times New Roman" w:hAnsi="Times New Roman" w:eastAsia="仿宋_GB2312" w:cs="Times New Roman"/>
          <w:bCs/>
          <w:kern w:val="2"/>
          <w:sz w:val="32"/>
          <w:szCs w:val="32"/>
          <w:lang w:eastAsia="zh-CN"/>
        </w:rPr>
        <w:t>79个村（社区）展播12000余场次，</w:t>
      </w:r>
      <w:r>
        <w:rPr>
          <w:rFonts w:hint="default" w:ascii="Times New Roman" w:hAnsi="Times New Roman" w:eastAsia="仿宋_GB2312" w:cs="Times New Roman"/>
          <w:kern w:val="2"/>
          <w:sz w:val="32"/>
          <w:szCs w:val="32"/>
          <w:lang w:eastAsia="zh-CN"/>
        </w:rPr>
        <w:t>有效打通基层科普最后一米。2025年4部科普作品被“学习强国”采用，1部作品荣获全省首届“爱我国防”文化创意大赛数媒创意类银奖。科普演讲团8位老科学家深入我州4县27所学校开展科普报告54场次，“人民科学家”叶培建院士在普格附城小学开展“科普进校园”活动。五是夯实载体，服务科普实践提质增效。我州2025年新建科普主题文化公园1个，创建科普阵地16个、科技小院6个、院士（专家）工作站6个。举办第40届凉山州青少年科技创新大赛，现场组织群众观看由1000架次</w:t>
      </w:r>
      <w:bookmarkStart w:id="112" w:name="OLE_LINK22"/>
      <w:r>
        <w:rPr>
          <w:rFonts w:hint="default" w:ascii="Times New Roman" w:hAnsi="Times New Roman" w:eastAsia="仿宋_GB2312" w:cs="Times New Roman"/>
          <w:kern w:val="2"/>
          <w:sz w:val="32"/>
          <w:szCs w:val="32"/>
          <w:lang w:eastAsia="zh-CN"/>
        </w:rPr>
        <w:t>无人机组成的科普秀表演，受到观众好评。深入开展“科普进彝区 大篷车进校园”活动，走进中小学及社区，服务学生3万余人、群众2万余人。承办“科普百人团—科技教育乡村行”公益活动，举办中国流动科技馆金阳站巡展，</w:t>
      </w:r>
      <w:bookmarkEnd w:id="112"/>
      <w:r>
        <w:rPr>
          <w:rFonts w:hint="default" w:ascii="Times New Roman" w:hAnsi="Times New Roman" w:eastAsia="仿宋_GB2312" w:cs="Times New Roman"/>
          <w:kern w:val="2"/>
          <w:sz w:val="32"/>
          <w:szCs w:val="32"/>
          <w:lang w:eastAsia="zh-CN"/>
        </w:rPr>
        <w:t>让群众近距离感受科技魅力。</w:t>
      </w:r>
    </w:p>
    <w:p w14:paraId="6F881A1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snapToGrid/>
          <w:sz w:val="32"/>
          <w:szCs w:val="32"/>
          <w:lang w:eastAsia="zh-CN"/>
        </w:rPr>
        <w:t>各项目组利用省科普专项资金实施项目均</w:t>
      </w:r>
      <w:r>
        <w:rPr>
          <w:rFonts w:hint="default" w:ascii="Times New Roman" w:hAnsi="Times New Roman" w:eastAsia="仿宋_GB2312" w:cs="Times New Roman"/>
          <w:snapToGrid/>
          <w:color w:val="auto"/>
          <w:sz w:val="32"/>
          <w:szCs w:val="32"/>
          <w:lang w:eastAsia="zh-CN"/>
        </w:rPr>
        <w:t>取得了显著的成绩，项目</w:t>
      </w:r>
      <w:r>
        <w:rPr>
          <w:rFonts w:hint="default" w:ascii="Times New Roman" w:hAnsi="Times New Roman" w:eastAsia="仿宋_GB2312" w:cs="Times New Roman"/>
          <w:snapToGrid/>
          <w:sz w:val="32"/>
          <w:szCs w:val="32"/>
          <w:lang w:eastAsia="zh-CN"/>
        </w:rPr>
        <w:t>所设预期绩效目标能够顺利完成。</w:t>
      </w:r>
      <w:r>
        <w:rPr>
          <w:rFonts w:hint="default" w:ascii="Times New Roman" w:hAnsi="Times New Roman" w:eastAsia="仿宋_GB2312" w:cs="Times New Roman"/>
          <w:color w:val="auto"/>
          <w:spacing w:val="6"/>
          <w:sz w:val="32"/>
          <w:szCs w:val="32"/>
          <w:shd w:val="clear" w:color="auto" w:fill="FFFFFF"/>
          <w:lang w:eastAsia="zh-CN"/>
        </w:rPr>
        <w:t>通过项目实施，能够实现传播科学思想，普及科技知识，推广先进技术，提高公众科学素质，引导群众逐步地向学科学、懂科学、用科学的方向迈进，为推动科技进步、促进现代化进程起到积极的推动作用，实现助力全州乡村振兴，更好为科技工作者、创新驱动发展、党和政府科学决策服务、为凉山经济社会发展服务的最终目的。故项目结果自评得9分。</w:t>
      </w:r>
    </w:p>
    <w:p w14:paraId="0C66B359">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pPr>
      <w:r>
        <w:rPr>
          <w:rFonts w:hint="default" w:ascii="Times New Roman" w:hAnsi="Times New Roman" w:eastAsia="楷体_GB2312" w:cs="Times New Roman"/>
          <w:b w:val="0"/>
          <w:bCs w:val="0"/>
          <w:snapToGrid w:val="0"/>
          <w:color w:val="auto"/>
          <w:spacing w:val="6"/>
          <w:sz w:val="32"/>
          <w:szCs w:val="32"/>
          <w:shd w:val="clear" w:color="auto" w:fill="FFFFFF"/>
          <w:lang w:val="en-US" w:eastAsia="zh-CN" w:bidi="ar-SA"/>
        </w:rPr>
        <w:t>（二）</w:t>
      </w:r>
      <w:r>
        <w:rPr>
          <w:rFonts w:hint="default" w:ascii="Times New Roman" w:hAnsi="Times New Roman" w:eastAsia="楷体_GB2312" w:cs="Times New Roman"/>
          <w:b w:val="0"/>
          <w:bCs w:val="0"/>
          <w:snapToGrid w:val="0"/>
          <w:color w:val="auto"/>
          <w:spacing w:val="6"/>
          <w:sz w:val="32"/>
          <w:szCs w:val="32"/>
          <w:shd w:val="clear" w:color="auto" w:fill="FFFFFF"/>
          <w:lang w:val="zh-CN" w:eastAsia="zh-CN" w:bidi="ar-SA"/>
        </w:rPr>
        <w:t>专用指标绩效分析（自评得29分）</w:t>
      </w:r>
    </w:p>
    <w:p w14:paraId="629E684D">
      <w:pPr>
        <w:keepNext w:val="0"/>
        <w:keepLines w:val="0"/>
        <w:pageBreakBefore w:val="0"/>
        <w:widowControl w:val="0"/>
        <w:kinsoku/>
        <w:wordWrap/>
        <w:overflowPunct/>
        <w:topLinePunct w:val="0"/>
        <w:autoSpaceDE/>
        <w:autoSpaceDN/>
        <w:bidi w:val="0"/>
        <w:adjustRightInd w:val="0"/>
        <w:snapToGrid w:val="0"/>
        <w:spacing w:line="560" w:lineRule="exact"/>
        <w:ind w:firstLine="667"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bCs/>
          <w:color w:val="auto"/>
          <w:spacing w:val="6"/>
          <w:sz w:val="32"/>
          <w:szCs w:val="32"/>
          <w:shd w:val="clear" w:color="auto" w:fill="FFFFFF"/>
          <w:lang w:eastAsia="zh-CN"/>
        </w:rPr>
        <w:t>民生保障：</w:t>
      </w:r>
      <w:r>
        <w:rPr>
          <w:rFonts w:hint="default" w:ascii="Times New Roman" w:hAnsi="Times New Roman" w:eastAsia="仿宋_GB2312" w:cs="Times New Roman"/>
          <w:color w:val="auto"/>
          <w:spacing w:val="6"/>
          <w:sz w:val="32"/>
          <w:szCs w:val="32"/>
          <w:shd w:val="clear" w:color="auto" w:fill="FFFFFF"/>
          <w:lang w:eastAsia="zh-CN"/>
        </w:rPr>
        <w:t>凉山州科协项目资金分配严格按照省科协相关文件精神和全要素要求进行。按实际区域分配结果选择客观因素测算验证资金分配科学合理、均衡公平。故自评得分10分。</w:t>
      </w:r>
    </w:p>
    <w:p w14:paraId="053735EF">
      <w:pPr>
        <w:keepNext w:val="0"/>
        <w:keepLines w:val="0"/>
        <w:pageBreakBefore w:val="0"/>
        <w:widowControl w:val="0"/>
        <w:kinsoku/>
        <w:wordWrap/>
        <w:overflowPunct/>
        <w:topLinePunct w:val="0"/>
        <w:autoSpaceDE/>
        <w:autoSpaceDN/>
        <w:bidi w:val="0"/>
        <w:adjustRightInd w:val="0"/>
        <w:snapToGrid w:val="0"/>
        <w:spacing w:line="560" w:lineRule="exact"/>
        <w:ind w:firstLine="667"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bCs/>
          <w:color w:val="auto"/>
          <w:spacing w:val="6"/>
          <w:sz w:val="32"/>
          <w:szCs w:val="32"/>
          <w:shd w:val="clear" w:color="auto" w:fill="FFFFFF"/>
          <w:lang w:eastAsia="zh-CN"/>
        </w:rPr>
        <w:t>对象精准性</w:t>
      </w:r>
      <w:r>
        <w:rPr>
          <w:rFonts w:hint="default" w:ascii="Times New Roman" w:hAnsi="Times New Roman" w:eastAsia="仿宋_GB2312" w:cs="Times New Roman"/>
          <w:color w:val="auto"/>
          <w:spacing w:val="6"/>
          <w:sz w:val="32"/>
          <w:szCs w:val="32"/>
          <w:shd w:val="clear" w:color="auto" w:fill="FFFFFF"/>
          <w:lang w:eastAsia="zh-CN"/>
        </w:rPr>
        <w:t>：凉山州科协资金实际支持对象符合省、州管理要求，符合支持对象范围，项目资金分配和实施结果较精准，不存在明显的排他性和歧视性情形，财政专项资金能及时落实到支持对象。故自评得分10分。</w:t>
      </w:r>
    </w:p>
    <w:p w14:paraId="29A0CD47">
      <w:pPr>
        <w:keepNext w:val="0"/>
        <w:keepLines w:val="0"/>
        <w:pageBreakBefore w:val="0"/>
        <w:widowControl w:val="0"/>
        <w:kinsoku/>
        <w:wordWrap/>
        <w:overflowPunct/>
        <w:topLinePunct w:val="0"/>
        <w:autoSpaceDE/>
        <w:autoSpaceDN/>
        <w:bidi w:val="0"/>
        <w:adjustRightInd w:val="0"/>
        <w:snapToGrid w:val="0"/>
        <w:spacing w:line="560" w:lineRule="exact"/>
        <w:ind w:firstLine="667"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bCs/>
          <w:color w:val="auto"/>
          <w:spacing w:val="6"/>
          <w:sz w:val="32"/>
          <w:szCs w:val="32"/>
          <w:shd w:val="clear" w:color="auto" w:fill="FFFFFF"/>
          <w:lang w:eastAsia="zh-CN"/>
        </w:rPr>
        <w:t>标准合理性：</w:t>
      </w:r>
      <w:r>
        <w:rPr>
          <w:rFonts w:hint="default" w:ascii="Times New Roman" w:hAnsi="Times New Roman" w:eastAsia="仿宋_GB2312" w:cs="Times New Roman"/>
          <w:color w:val="auto"/>
          <w:spacing w:val="6"/>
          <w:sz w:val="32"/>
          <w:szCs w:val="32"/>
          <w:shd w:val="clear" w:color="auto" w:fill="FFFFFF"/>
          <w:lang w:eastAsia="zh-CN"/>
        </w:rPr>
        <w:t>凉山州科协资金实际补贴标准是符合省资金管理办法规定的补助标准，并及时按标准转付补助县市单位，不存在截留等情况。故自评得分5分。</w:t>
      </w:r>
    </w:p>
    <w:p w14:paraId="7D80723F">
      <w:pPr>
        <w:keepNext w:val="0"/>
        <w:keepLines w:val="0"/>
        <w:pageBreakBefore w:val="0"/>
        <w:widowControl w:val="0"/>
        <w:kinsoku/>
        <w:wordWrap/>
        <w:overflowPunct/>
        <w:topLinePunct w:val="0"/>
        <w:autoSpaceDE/>
        <w:autoSpaceDN/>
        <w:bidi w:val="0"/>
        <w:adjustRightInd w:val="0"/>
        <w:snapToGrid w:val="0"/>
        <w:spacing w:line="560" w:lineRule="exact"/>
        <w:ind w:firstLine="667"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bCs/>
          <w:color w:val="auto"/>
          <w:spacing w:val="6"/>
          <w:sz w:val="32"/>
          <w:szCs w:val="32"/>
          <w:shd w:val="clear" w:color="auto" w:fill="FFFFFF"/>
          <w:lang w:eastAsia="zh-CN"/>
        </w:rPr>
        <w:t>群众满意度</w:t>
      </w:r>
      <w:r>
        <w:rPr>
          <w:rFonts w:hint="default" w:ascii="Times New Roman" w:hAnsi="Times New Roman" w:eastAsia="仿宋_GB2312" w:cs="Times New Roman"/>
          <w:color w:val="auto"/>
          <w:spacing w:val="6"/>
          <w:sz w:val="32"/>
          <w:szCs w:val="32"/>
          <w:shd w:val="clear" w:color="auto" w:fill="FFFFFF"/>
          <w:lang w:eastAsia="zh-CN"/>
        </w:rPr>
        <w:t>：凉山州科协资金涉及相关的满意度调查访谈因不能完全满足所有群体、支持对象的需求，故自评扣1分、得分4分。</w:t>
      </w:r>
    </w:p>
    <w:p w14:paraId="4B95898F">
      <w:pPr>
        <w:keepNext w:val="0"/>
        <w:keepLines w:val="0"/>
        <w:pageBreakBefore w:val="0"/>
        <w:widowControl w:val="0"/>
        <w:kinsoku/>
        <w:wordWrap/>
        <w:overflowPunct/>
        <w:topLinePunct w:val="0"/>
        <w:autoSpaceDE/>
        <w:autoSpaceDN/>
        <w:bidi w:val="0"/>
        <w:adjustRightInd w:val="0"/>
        <w:snapToGrid w:val="0"/>
        <w:spacing w:line="560" w:lineRule="exact"/>
        <w:ind w:firstLine="624" w:firstLineChars="200"/>
        <w:textAlignment w:val="auto"/>
        <w:rPr>
          <w:rFonts w:hint="default" w:ascii="Times New Roman" w:hAnsi="Times New Roman" w:eastAsia="楷体_GB2312" w:cs="Times New Roman"/>
          <w:b w:val="0"/>
          <w:bCs w:val="0"/>
          <w:snapToGrid w:val="0"/>
          <w:color w:val="auto"/>
          <w:spacing w:val="6"/>
          <w:sz w:val="30"/>
          <w:szCs w:val="30"/>
          <w:shd w:val="clear" w:color="auto" w:fill="FFFFFF"/>
          <w:lang w:val="zh-CN" w:eastAsia="zh-CN" w:bidi="ar-SA"/>
        </w:rPr>
      </w:pPr>
      <w:r>
        <w:rPr>
          <w:rFonts w:hint="default" w:ascii="Times New Roman" w:hAnsi="Times New Roman" w:eastAsia="楷体_GB2312" w:cs="Times New Roman"/>
          <w:b w:val="0"/>
          <w:bCs w:val="0"/>
          <w:snapToGrid w:val="0"/>
          <w:color w:val="auto"/>
          <w:spacing w:val="6"/>
          <w:sz w:val="30"/>
          <w:szCs w:val="30"/>
          <w:shd w:val="clear" w:color="auto" w:fill="FFFFFF"/>
          <w:lang w:val="en-US" w:eastAsia="zh-CN" w:bidi="ar-SA"/>
        </w:rPr>
        <w:t>（三）</w:t>
      </w:r>
      <w:r>
        <w:rPr>
          <w:rFonts w:hint="default" w:ascii="Times New Roman" w:hAnsi="Times New Roman" w:eastAsia="楷体_GB2312" w:cs="Times New Roman"/>
          <w:b w:val="0"/>
          <w:bCs w:val="0"/>
          <w:snapToGrid w:val="0"/>
          <w:color w:val="auto"/>
          <w:spacing w:val="6"/>
          <w:sz w:val="30"/>
          <w:szCs w:val="30"/>
          <w:shd w:val="clear" w:color="auto" w:fill="FFFFFF"/>
          <w:lang w:val="zh-CN" w:eastAsia="zh-CN" w:bidi="ar-SA"/>
        </w:rPr>
        <w:t>个性指标绩效分析（自评得16分）</w:t>
      </w:r>
    </w:p>
    <w:p w14:paraId="6A2E31C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bCs/>
          <w:color w:val="auto"/>
          <w:sz w:val="32"/>
          <w:szCs w:val="32"/>
        </w:rPr>
        <w:t>1.科普宣传提升：</w:t>
      </w:r>
      <w:r>
        <w:rPr>
          <w:rFonts w:hint="default" w:ascii="Times New Roman" w:hAnsi="Times New Roman" w:eastAsia="仿宋_GB2312" w:cs="Times New Roman"/>
          <w:color w:val="auto"/>
          <w:spacing w:val="6"/>
          <w:sz w:val="32"/>
          <w:szCs w:val="32"/>
          <w:shd w:val="clear" w:color="auto" w:fill="FFFFFF"/>
        </w:rPr>
        <w:t>该项指标反映科普宣传在形式内容等方面能够实现创新创意提升。项目通过</w:t>
      </w:r>
      <w:bookmarkStart w:id="113" w:name="OLE_LINK37"/>
      <w:r>
        <w:rPr>
          <w:rFonts w:hint="default" w:ascii="Times New Roman" w:hAnsi="Times New Roman" w:eastAsia="仿宋_GB2312" w:cs="Times New Roman"/>
          <w:color w:val="auto"/>
          <w:spacing w:val="6"/>
          <w:sz w:val="32"/>
          <w:szCs w:val="32"/>
          <w:shd w:val="clear" w:color="auto" w:fill="FFFFFF"/>
        </w:rPr>
        <w:t>创新</w:t>
      </w:r>
      <w:r>
        <w:rPr>
          <w:rFonts w:hint="default" w:ascii="Times New Roman" w:hAnsi="Times New Roman" w:eastAsia="仿宋_GB2312" w:cs="Times New Roman"/>
          <w:bCs/>
          <w:color w:val="auto"/>
          <w:kern w:val="2"/>
          <w:sz w:val="32"/>
          <w:szCs w:val="32"/>
          <w:lang w:eastAsia="zh-CN"/>
        </w:rPr>
        <w:t>制作动画沙画原创特色科普作品、拍摄科普纪录片科教影片专题视频、摄制“科普大咖说、通过农村电影公益放映、</w:t>
      </w:r>
      <w:r>
        <w:rPr>
          <w:rFonts w:hint="default" w:ascii="Times New Roman" w:hAnsi="Times New Roman" w:eastAsia="仿宋_GB2312" w:cs="Times New Roman"/>
          <w:color w:val="auto"/>
          <w:kern w:val="2"/>
          <w:sz w:val="32"/>
          <w:szCs w:val="32"/>
          <w:lang w:eastAsia="zh-CN"/>
        </w:rPr>
        <w:t>无人机组成的科普秀表演、承办“科普百人团—科技教育乡村行”公益活动，举办中国流动科技馆金阳站巡展，科普演讲团8位老科学家深入我州4县27所学校开展科普报告</w:t>
      </w:r>
      <w:bookmarkEnd w:id="113"/>
      <w:r>
        <w:rPr>
          <w:rFonts w:hint="default" w:ascii="Times New Roman" w:hAnsi="Times New Roman" w:eastAsia="仿宋_GB2312" w:cs="Times New Roman"/>
          <w:color w:val="auto"/>
          <w:spacing w:val="6"/>
          <w:sz w:val="32"/>
          <w:szCs w:val="32"/>
          <w:shd w:val="clear" w:color="auto" w:fill="FFFFFF"/>
          <w:lang w:eastAsia="zh-CN"/>
        </w:rPr>
        <w:t>等等，大力提升科普宣传。故自评得5分。</w:t>
      </w:r>
    </w:p>
    <w:p w14:paraId="4BDCCEB1">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Times New Roman" w:hAnsi="Times New Roman" w:eastAsia="仿宋_GB2312" w:cs="Times New Roman"/>
          <w:color w:val="auto"/>
          <w:spacing w:val="6"/>
          <w:sz w:val="32"/>
          <w:szCs w:val="32"/>
          <w:shd w:val="clear" w:color="auto" w:fill="FFFFFF"/>
          <w:lang w:eastAsia="zh-CN"/>
        </w:rPr>
      </w:pPr>
      <w:r>
        <w:rPr>
          <w:rFonts w:hint="default" w:ascii="Times New Roman" w:hAnsi="Times New Roman" w:eastAsia="仿宋_GB2312" w:cs="Times New Roman"/>
          <w:b/>
          <w:snapToGrid/>
          <w:color w:val="auto"/>
          <w:kern w:val="2"/>
          <w:sz w:val="32"/>
          <w:szCs w:val="32"/>
          <w:lang w:eastAsia="zh-CN"/>
        </w:rPr>
        <w:t>2.天府科技云服务平台和“科创会”精准实施：</w:t>
      </w:r>
      <w:r>
        <w:rPr>
          <w:rFonts w:hint="default" w:ascii="Times New Roman" w:hAnsi="Times New Roman" w:eastAsia="仿宋_GB2312" w:cs="Times New Roman"/>
          <w:bCs/>
          <w:snapToGrid/>
          <w:color w:val="auto"/>
          <w:kern w:val="2"/>
          <w:sz w:val="32"/>
          <w:szCs w:val="32"/>
          <w:lang w:eastAsia="zh-CN"/>
        </w:rPr>
        <w:t>天府科技云平台服务实现了群众获取精准科技供需对接</w:t>
      </w:r>
      <w:r>
        <w:rPr>
          <w:rFonts w:hint="default" w:ascii="Times New Roman" w:hAnsi="Times New Roman" w:eastAsia="仿宋_GB2312" w:cs="Times New Roman"/>
          <w:bCs/>
          <w:color w:val="auto"/>
          <w:kern w:val="2"/>
          <w:sz w:val="32"/>
          <w:szCs w:val="32"/>
          <w:lang w:eastAsia="zh-CN"/>
        </w:rPr>
        <w:t>，全年注册用户1.8万余人，入驻企事业单位73家，精准科普服务424.5万人次；举办“科创会·凉山行”“低空经济+现代农业”专场活动，邀请企业代表47家，推介科创项目75个，签署项目合作协议6个。</w:t>
      </w:r>
      <w:r>
        <w:rPr>
          <w:rFonts w:hint="default" w:ascii="Times New Roman" w:hAnsi="Times New Roman" w:eastAsia="仿宋_GB2312" w:cs="Times New Roman"/>
          <w:bCs/>
          <w:snapToGrid/>
          <w:color w:val="auto"/>
          <w:kern w:val="2"/>
          <w:sz w:val="32"/>
          <w:szCs w:val="32"/>
          <w:lang w:eastAsia="zh-CN"/>
        </w:rPr>
        <w:t>实现精准科技供需对接，</w:t>
      </w:r>
      <w:r>
        <w:rPr>
          <w:rFonts w:hint="default" w:ascii="Times New Roman" w:hAnsi="Times New Roman" w:eastAsia="仿宋_GB2312" w:cs="Times New Roman"/>
          <w:color w:val="auto"/>
          <w:spacing w:val="6"/>
          <w:sz w:val="32"/>
          <w:szCs w:val="32"/>
          <w:shd w:val="clear" w:color="auto" w:fill="FFFFFF"/>
          <w:lang w:eastAsia="zh-CN"/>
        </w:rPr>
        <w:t>助推社会经济高质量发展。故自评得6分。</w:t>
      </w:r>
    </w:p>
    <w:p w14:paraId="6CDB81CB">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Times New Roman" w:hAnsi="Times New Roman" w:eastAsia="仿宋_GB2312" w:cs="Times New Roman"/>
          <w:b/>
          <w:lang w:eastAsia="zh-CN"/>
        </w:rPr>
      </w:pPr>
      <w:r>
        <w:rPr>
          <w:rFonts w:hint="default" w:ascii="Times New Roman" w:hAnsi="Times New Roman" w:eastAsia="仿宋_GB2312" w:cs="Times New Roman"/>
          <w:b/>
          <w:bCs/>
          <w:color w:val="auto"/>
          <w:spacing w:val="6"/>
          <w:sz w:val="32"/>
          <w:szCs w:val="32"/>
          <w:shd w:val="clear" w:color="auto" w:fill="FFFFFF"/>
          <w:lang w:eastAsia="zh-CN"/>
        </w:rPr>
        <w:t>3.</w:t>
      </w:r>
      <w:r>
        <w:rPr>
          <w:rFonts w:hint="default" w:ascii="Times New Roman" w:hAnsi="Times New Roman" w:eastAsia="仿宋_GB2312" w:cs="Times New Roman"/>
          <w:b/>
          <w:bCs/>
          <w:color w:val="auto"/>
          <w:spacing w:val="6"/>
          <w:sz w:val="32"/>
          <w:szCs w:val="32"/>
          <w:shd w:val="clear" w:color="auto" w:fill="FFFFFF"/>
        </w:rPr>
        <w:t>提升全民科学素质：</w:t>
      </w:r>
      <w:r>
        <w:rPr>
          <w:rFonts w:hint="default" w:ascii="Times New Roman" w:hAnsi="Times New Roman" w:eastAsia="仿宋_GB2312" w:cs="Times New Roman"/>
          <w:color w:val="auto"/>
          <w:spacing w:val="6"/>
          <w:sz w:val="32"/>
          <w:szCs w:val="32"/>
          <w:shd w:val="clear" w:color="auto" w:fill="FFFFFF"/>
        </w:rPr>
        <w:t>项目实施以提高全民科学素质服务高质量发展为目标。通过构建大联合、大协作的工作新格局，创新开展全国科普日、全国科技周、“科普进彝家、大</w:t>
      </w:r>
      <w:r>
        <w:rPr>
          <w:rFonts w:hint="eastAsia" w:eastAsia="仿宋_GB2312" w:cs="Times New Roman"/>
          <w:color w:val="auto"/>
          <w:spacing w:val="6"/>
          <w:sz w:val="32"/>
          <w:szCs w:val="32"/>
          <w:shd w:val="clear" w:color="auto" w:fill="FFFFFF"/>
          <w:lang w:eastAsia="zh-CN"/>
        </w:rPr>
        <w:t>篷车</w:t>
      </w:r>
      <w:r>
        <w:rPr>
          <w:rFonts w:hint="default" w:ascii="Times New Roman" w:hAnsi="Times New Roman" w:eastAsia="仿宋_GB2312" w:cs="Times New Roman"/>
          <w:color w:val="auto"/>
          <w:spacing w:val="6"/>
          <w:sz w:val="32"/>
          <w:szCs w:val="32"/>
          <w:shd w:val="clear" w:color="auto" w:fill="FFFFFF"/>
        </w:rPr>
        <w:t>进校园”等活动，</w:t>
      </w:r>
      <w:r>
        <w:rPr>
          <w:rFonts w:hint="default" w:ascii="Times New Roman" w:hAnsi="Times New Roman" w:eastAsia="仿宋_GB2312" w:cs="Times New Roman"/>
          <w:snapToGrid/>
          <w:sz w:val="32"/>
          <w:szCs w:val="32"/>
          <w:lang w:eastAsia="zh-CN"/>
        </w:rPr>
        <w:t>开展青少年科普教育培训及科技竞赛</w:t>
      </w:r>
      <w:r>
        <w:rPr>
          <w:rFonts w:hint="default" w:ascii="Times New Roman" w:hAnsi="Times New Roman" w:eastAsia="仿宋_GB2312" w:cs="Times New Roman"/>
          <w:color w:val="auto"/>
          <w:spacing w:val="6"/>
          <w:sz w:val="32"/>
          <w:szCs w:val="32"/>
          <w:shd w:val="clear" w:color="auto" w:fill="FFFFFF"/>
          <w:lang w:eastAsia="zh-CN"/>
        </w:rPr>
        <w:t>、科技小院建设、创建</w:t>
      </w:r>
      <w:r>
        <w:rPr>
          <w:rFonts w:hint="default" w:ascii="Times New Roman" w:hAnsi="Times New Roman" w:eastAsia="仿宋_GB2312" w:cs="Times New Roman"/>
          <w:color w:val="auto"/>
          <w:spacing w:val="6"/>
          <w:sz w:val="32"/>
          <w:szCs w:val="32"/>
          <w:shd w:val="clear" w:color="auto" w:fill="FFFFFF"/>
        </w:rPr>
        <w:t>科普示范</w:t>
      </w:r>
      <w:r>
        <w:rPr>
          <w:rFonts w:hint="default" w:ascii="Times New Roman" w:hAnsi="Times New Roman" w:eastAsia="仿宋_GB2312" w:cs="Times New Roman"/>
          <w:color w:val="auto"/>
          <w:spacing w:val="6"/>
          <w:sz w:val="32"/>
          <w:szCs w:val="32"/>
          <w:shd w:val="clear" w:color="auto" w:fill="FFFFFF"/>
          <w:lang w:eastAsia="zh-CN"/>
        </w:rPr>
        <w:t>单位</w:t>
      </w:r>
      <w:r>
        <w:rPr>
          <w:rFonts w:hint="default" w:ascii="Times New Roman" w:hAnsi="Times New Roman" w:eastAsia="仿宋_GB2312" w:cs="Times New Roman"/>
          <w:color w:val="auto"/>
          <w:spacing w:val="6"/>
          <w:sz w:val="32"/>
          <w:szCs w:val="32"/>
          <w:shd w:val="clear" w:color="auto" w:fill="FFFFFF"/>
        </w:rPr>
        <w:t>、科普阵地建</w:t>
      </w:r>
      <w:r>
        <w:rPr>
          <w:rFonts w:hint="default" w:ascii="Times New Roman" w:hAnsi="Times New Roman" w:eastAsia="仿宋_GB2312" w:cs="Times New Roman"/>
          <w:color w:val="auto"/>
          <w:spacing w:val="6"/>
          <w:sz w:val="32"/>
          <w:szCs w:val="32"/>
          <w:shd w:val="clear" w:color="auto" w:fill="FFFFFF"/>
          <w:lang w:eastAsia="zh-CN"/>
        </w:rPr>
        <w:t>设</w:t>
      </w:r>
      <w:r>
        <w:rPr>
          <w:rFonts w:hint="default" w:ascii="Times New Roman" w:hAnsi="Times New Roman" w:eastAsia="仿宋_GB2312" w:cs="Times New Roman"/>
          <w:color w:val="auto"/>
          <w:spacing w:val="6"/>
          <w:sz w:val="32"/>
          <w:szCs w:val="32"/>
          <w:shd w:val="clear" w:color="auto" w:fill="FFFFFF"/>
        </w:rPr>
        <w:t>等。努力提升全民科学素质高质量发展。项目实施</w:t>
      </w:r>
      <w:r>
        <w:rPr>
          <w:rFonts w:hint="default" w:ascii="Times New Roman" w:hAnsi="Times New Roman" w:eastAsia="仿宋_GB2312" w:cs="Times New Roman"/>
          <w:bCs/>
          <w:color w:val="auto"/>
          <w:sz w:val="32"/>
          <w:szCs w:val="32"/>
        </w:rPr>
        <w:t>使人民群众获得满意度和幸福感。</w:t>
      </w:r>
      <w:bookmarkStart w:id="114" w:name="OLE_LINK32"/>
      <w:r>
        <w:rPr>
          <w:rFonts w:hint="default" w:ascii="Times New Roman" w:hAnsi="Times New Roman" w:eastAsia="仿宋_GB2312" w:cs="Times New Roman"/>
          <w:bCs/>
          <w:color w:val="auto"/>
          <w:sz w:val="32"/>
          <w:szCs w:val="32"/>
        </w:rPr>
        <w:t>故自评得</w:t>
      </w:r>
      <w:r>
        <w:rPr>
          <w:rFonts w:hint="default" w:ascii="Times New Roman" w:hAnsi="Times New Roman" w:eastAsia="仿宋_GB2312" w:cs="Times New Roman"/>
          <w:bCs/>
          <w:color w:val="auto"/>
          <w:sz w:val="32"/>
          <w:szCs w:val="32"/>
          <w:lang w:eastAsia="zh-CN"/>
        </w:rPr>
        <w:t>5</w:t>
      </w:r>
      <w:r>
        <w:rPr>
          <w:rFonts w:hint="default" w:ascii="Times New Roman" w:hAnsi="Times New Roman" w:eastAsia="仿宋_GB2312" w:cs="Times New Roman"/>
          <w:bCs/>
          <w:color w:val="auto"/>
          <w:sz w:val="32"/>
          <w:szCs w:val="32"/>
        </w:rPr>
        <w:t>分。</w:t>
      </w:r>
    </w:p>
    <w:bookmarkEnd w:id="108"/>
    <w:bookmarkEnd w:id="114"/>
    <w:p w14:paraId="337E65D6">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黑体" w:cs="Times New Roman"/>
          <w:color w:val="auto"/>
          <w:spacing w:val="6"/>
          <w:sz w:val="32"/>
          <w:szCs w:val="32"/>
          <w:shd w:val="clear" w:color="auto" w:fill="FFFFFF"/>
          <w:lang w:eastAsia="zh-CN"/>
        </w:rPr>
      </w:pPr>
      <w:r>
        <w:rPr>
          <w:rFonts w:hint="default" w:ascii="Times New Roman" w:hAnsi="Times New Roman" w:eastAsia="黑体" w:cs="Times New Roman"/>
          <w:color w:val="auto"/>
          <w:spacing w:val="6"/>
          <w:sz w:val="32"/>
          <w:szCs w:val="32"/>
          <w:shd w:val="clear" w:color="auto" w:fill="FFFFFF"/>
          <w:lang w:eastAsia="zh-CN"/>
        </w:rPr>
        <w:t>四、评价结论</w:t>
      </w:r>
    </w:p>
    <w:p w14:paraId="48EB289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kern w:val="2"/>
          <w:sz w:val="32"/>
          <w:szCs w:val="32"/>
          <w:lang w:val="zh-CN" w:eastAsia="zh-CN"/>
        </w:rPr>
        <w:t>凉山州科协努力完成</w:t>
      </w:r>
      <w:r>
        <w:rPr>
          <w:rFonts w:hint="default" w:ascii="Times New Roman" w:hAnsi="Times New Roman" w:eastAsia="仿宋_GB2312" w:cs="Times New Roman"/>
          <w:color w:val="auto"/>
          <w:spacing w:val="6"/>
          <w:sz w:val="32"/>
          <w:szCs w:val="32"/>
          <w:shd w:val="clear" w:color="auto" w:fill="FFFFFF"/>
          <w:lang w:eastAsia="zh-CN"/>
        </w:rPr>
        <w:t>省科协下达的“天府科技云”各项工作、</w:t>
      </w:r>
      <w:r>
        <w:rPr>
          <w:rFonts w:hint="default" w:ascii="Times New Roman" w:hAnsi="Times New Roman" w:eastAsia="仿宋_GB2312" w:cs="Times New Roman"/>
          <w:color w:val="auto"/>
          <w:spacing w:val="6"/>
          <w:sz w:val="32"/>
          <w:szCs w:val="32"/>
          <w:shd w:val="clear" w:color="auto" w:fill="FFFFFF"/>
        </w:rPr>
        <w:t>创新</w:t>
      </w:r>
      <w:r>
        <w:rPr>
          <w:rFonts w:hint="default" w:ascii="Times New Roman" w:hAnsi="Times New Roman" w:eastAsia="仿宋_GB2312" w:cs="Times New Roman"/>
          <w:bCs/>
          <w:color w:val="auto"/>
          <w:kern w:val="2"/>
          <w:sz w:val="32"/>
          <w:szCs w:val="32"/>
          <w:lang w:eastAsia="zh-CN"/>
        </w:rPr>
        <w:t>制作动画沙画原创特色科普作品、拍摄“科普大咖说”科普纪录片科教影片专题视频等、通过农村电影公益放映、</w:t>
      </w:r>
      <w:r>
        <w:rPr>
          <w:rFonts w:hint="default" w:ascii="Times New Roman" w:hAnsi="Times New Roman" w:eastAsia="仿宋_GB2312" w:cs="Times New Roman"/>
          <w:color w:val="auto"/>
          <w:kern w:val="2"/>
          <w:sz w:val="32"/>
          <w:szCs w:val="32"/>
          <w:lang w:eastAsia="zh-CN"/>
        </w:rPr>
        <w:t>无人机组成的科普秀表演、承办“科普百人团—科技教育乡村行”公益活动，举办中国流动科技馆金阳站巡展，老科学家科普演讲团学校开展科普报告</w:t>
      </w:r>
      <w:r>
        <w:rPr>
          <w:rFonts w:hint="default" w:ascii="Times New Roman" w:hAnsi="Times New Roman" w:eastAsia="仿宋_GB2312" w:cs="Times New Roman"/>
          <w:color w:val="auto"/>
          <w:spacing w:val="6"/>
          <w:sz w:val="32"/>
          <w:szCs w:val="32"/>
          <w:shd w:val="clear" w:color="auto" w:fill="FFFFFF"/>
          <w:lang w:eastAsia="zh-CN"/>
        </w:rPr>
        <w:t>、</w:t>
      </w:r>
      <w:r>
        <w:rPr>
          <w:rFonts w:hint="default" w:ascii="Times New Roman" w:hAnsi="Times New Roman" w:eastAsia="仿宋_GB2312" w:cs="Times New Roman"/>
          <w:snapToGrid/>
          <w:sz w:val="32"/>
          <w:szCs w:val="32"/>
          <w:lang w:eastAsia="zh-CN"/>
        </w:rPr>
        <w:t>开展青少年科普教育培训及科技竞赛、</w:t>
      </w:r>
      <w:r>
        <w:rPr>
          <w:rFonts w:hint="default" w:ascii="Times New Roman" w:hAnsi="Times New Roman" w:eastAsia="仿宋_GB2312" w:cs="Times New Roman"/>
          <w:spacing w:val="6"/>
          <w:sz w:val="32"/>
          <w:szCs w:val="32"/>
          <w:shd w:val="clear" w:color="auto" w:fill="FFFFFF"/>
          <w:lang w:eastAsia="zh-CN"/>
        </w:rPr>
        <w:t>第40届凉山州青少年科技创新大赛、全国科普日暨乡土人才大赛</w:t>
      </w:r>
      <w:r>
        <w:rPr>
          <w:rFonts w:hint="default" w:ascii="Times New Roman" w:hAnsi="Times New Roman" w:eastAsia="仿宋_GB2312" w:cs="Times New Roman"/>
          <w:color w:val="auto"/>
          <w:spacing w:val="6"/>
          <w:sz w:val="32"/>
          <w:szCs w:val="32"/>
          <w:shd w:val="clear" w:color="auto" w:fill="FFFFFF"/>
          <w:lang w:eastAsia="zh-CN"/>
        </w:rPr>
        <w:t>等；通过构建大联合、大协作的工作新格局，开展全国科普日、全国科技周、“科普进彝家、大</w:t>
      </w:r>
      <w:r>
        <w:rPr>
          <w:rFonts w:hint="eastAsia" w:eastAsia="仿宋_GB2312" w:cs="Times New Roman"/>
          <w:color w:val="auto"/>
          <w:spacing w:val="6"/>
          <w:sz w:val="32"/>
          <w:szCs w:val="32"/>
          <w:shd w:val="clear" w:color="auto" w:fill="FFFFFF"/>
          <w:lang w:eastAsia="zh-CN"/>
        </w:rPr>
        <w:t>篷车</w:t>
      </w:r>
      <w:r>
        <w:rPr>
          <w:rFonts w:hint="default" w:ascii="Times New Roman" w:hAnsi="Times New Roman" w:eastAsia="仿宋_GB2312" w:cs="Times New Roman"/>
          <w:color w:val="auto"/>
          <w:spacing w:val="6"/>
          <w:sz w:val="32"/>
          <w:szCs w:val="32"/>
          <w:shd w:val="clear" w:color="auto" w:fill="FFFFFF"/>
          <w:lang w:eastAsia="zh-CN"/>
        </w:rPr>
        <w:t>进校园”等活动，开展科普示范单位、科普阵地创建等。</w:t>
      </w:r>
      <w:r>
        <w:rPr>
          <w:rFonts w:hint="default" w:ascii="Times New Roman" w:hAnsi="Times New Roman" w:eastAsia="仿宋_GB2312" w:cs="Times New Roman"/>
          <w:color w:val="auto"/>
          <w:spacing w:val="6"/>
          <w:sz w:val="32"/>
          <w:szCs w:val="32"/>
          <w:shd w:val="clear" w:color="auto" w:fill="FFFFFF"/>
          <w:lang w:val="zh-CN" w:eastAsia="zh-CN"/>
        </w:rPr>
        <w:t>凉山州科协</w:t>
      </w:r>
      <w:r>
        <w:rPr>
          <w:rFonts w:hint="default" w:ascii="Times New Roman" w:hAnsi="Times New Roman" w:eastAsia="仿宋_GB2312" w:cs="Times New Roman"/>
          <w:sz w:val="32"/>
          <w:szCs w:val="32"/>
          <w:lang w:val="zh-CN"/>
        </w:rPr>
        <w:t>从项目的立项政策依据、项目实施管理办</w:t>
      </w:r>
      <w:r>
        <w:rPr>
          <w:rFonts w:hint="default" w:ascii="Times New Roman" w:hAnsi="Times New Roman" w:eastAsia="仿宋_GB2312" w:cs="Times New Roman"/>
          <w:color w:val="auto"/>
          <w:sz w:val="32"/>
          <w:szCs w:val="32"/>
          <w:lang w:val="zh-CN"/>
        </w:rPr>
        <w:t>法、</w:t>
      </w:r>
      <w:r>
        <w:rPr>
          <w:rFonts w:hint="default" w:ascii="Times New Roman" w:hAnsi="Times New Roman" w:eastAsia="仿宋_GB2312" w:cs="Times New Roman"/>
          <w:color w:val="auto"/>
          <w:sz w:val="32"/>
          <w:szCs w:val="32"/>
          <w:lang w:val="zh-CN" w:eastAsia="zh-CN"/>
        </w:rPr>
        <w:t>专用指标和个性指标设置评定、</w:t>
      </w:r>
      <w:r>
        <w:rPr>
          <w:rFonts w:hint="default" w:ascii="Times New Roman" w:hAnsi="Times New Roman" w:eastAsia="仿宋_GB2312" w:cs="Times New Roman"/>
          <w:color w:val="auto"/>
          <w:sz w:val="32"/>
          <w:szCs w:val="32"/>
          <w:lang w:val="zh-CN"/>
        </w:rPr>
        <w:t>完成结果所产生的经济效益、社会效益、可持续效益、服务对象满意度等进行了以上综述，</w:t>
      </w:r>
      <w:r>
        <w:rPr>
          <w:rFonts w:hint="default" w:ascii="Times New Roman" w:hAnsi="Times New Roman" w:eastAsia="仿宋_GB2312" w:cs="Times New Roman"/>
          <w:color w:val="auto"/>
          <w:sz w:val="32"/>
          <w:szCs w:val="32"/>
          <w:lang w:eastAsia="zh-CN"/>
        </w:rPr>
        <w:t>据实据效、客观公正进行综合评估。依</w:t>
      </w:r>
      <w:r>
        <w:rPr>
          <w:rFonts w:hint="default" w:ascii="Times New Roman" w:hAnsi="Times New Roman" w:eastAsia="仿宋_GB2312" w:cs="Times New Roman"/>
          <w:color w:val="auto"/>
          <w:sz w:val="32"/>
          <w:szCs w:val="32"/>
          <w:lang w:val="zh-CN"/>
        </w:rPr>
        <w:t>据此次《</w:t>
      </w:r>
      <w:r>
        <w:rPr>
          <w:rFonts w:hint="default" w:ascii="Times New Roman" w:hAnsi="Times New Roman" w:eastAsia="仿宋_GB2312" w:cs="Times New Roman"/>
          <w:color w:val="auto"/>
          <w:sz w:val="32"/>
          <w:szCs w:val="32"/>
          <w:lang w:eastAsia="zh-CN"/>
        </w:rPr>
        <w:t>专项</w:t>
      </w:r>
      <w:r>
        <w:rPr>
          <w:rFonts w:hint="default" w:ascii="Times New Roman" w:hAnsi="Times New Roman" w:eastAsia="仿宋_GB2312" w:cs="Times New Roman"/>
          <w:color w:val="auto"/>
          <w:sz w:val="32"/>
          <w:szCs w:val="32"/>
          <w:lang w:val="zh-CN"/>
        </w:rPr>
        <w:t>预算绩效评价指标体系》项目实施中，单位预算执行</w:t>
      </w:r>
      <w:r>
        <w:rPr>
          <w:rFonts w:hint="default" w:ascii="Times New Roman" w:hAnsi="Times New Roman" w:eastAsia="仿宋_GB2312" w:cs="Times New Roman"/>
          <w:color w:val="auto"/>
          <w:sz w:val="32"/>
          <w:szCs w:val="32"/>
          <w:lang w:val="zh-CN" w:eastAsia="zh-CN"/>
        </w:rPr>
        <w:t>率未达</w:t>
      </w:r>
      <w:r>
        <w:rPr>
          <w:rFonts w:hint="default"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val="zh-CN"/>
        </w:rPr>
        <w:t>，故自评扣</w:t>
      </w:r>
      <w:r>
        <w:rPr>
          <w:rFonts w:hint="default" w:ascii="Times New Roman" w:hAnsi="Times New Roman" w:eastAsia="仿宋_GB2312" w:cs="Times New Roman"/>
          <w:color w:val="auto"/>
          <w:sz w:val="32"/>
          <w:szCs w:val="32"/>
          <w:lang w:eastAsia="zh-CN"/>
        </w:rPr>
        <w:t>1</w:t>
      </w:r>
      <w:r>
        <w:rPr>
          <w:rFonts w:hint="default" w:ascii="Times New Roman" w:hAnsi="Times New Roman" w:eastAsia="仿宋_GB2312" w:cs="Times New Roman"/>
          <w:color w:val="auto"/>
          <w:sz w:val="32"/>
          <w:szCs w:val="32"/>
          <w:lang w:val="zh-CN"/>
        </w:rPr>
        <w:t>分；民生保障项目群众实际满意度未完全达到设定目标、故自评扣</w:t>
      </w:r>
      <w:r>
        <w:rPr>
          <w:rFonts w:hint="default" w:ascii="Times New Roman" w:hAnsi="Times New Roman" w:eastAsia="仿宋_GB2312" w:cs="Times New Roman"/>
          <w:color w:val="auto"/>
          <w:sz w:val="32"/>
          <w:szCs w:val="32"/>
          <w:lang w:eastAsia="zh-CN"/>
        </w:rPr>
        <w:t>1</w:t>
      </w:r>
      <w:r>
        <w:rPr>
          <w:rFonts w:hint="default" w:ascii="Times New Roman" w:hAnsi="Times New Roman" w:eastAsia="仿宋_GB2312" w:cs="Times New Roman"/>
          <w:color w:val="auto"/>
          <w:sz w:val="32"/>
          <w:szCs w:val="32"/>
          <w:lang w:val="zh-CN"/>
        </w:rPr>
        <w:t>分。总体自评扣分</w:t>
      </w:r>
      <w:r>
        <w:rPr>
          <w:rFonts w:hint="default" w:ascii="Times New Roman" w:hAnsi="Times New Roman" w:eastAsia="仿宋_GB2312" w:cs="Times New Roman"/>
          <w:color w:val="auto"/>
          <w:sz w:val="32"/>
          <w:szCs w:val="32"/>
          <w:lang w:eastAsia="zh-CN"/>
        </w:rPr>
        <w:t>2</w:t>
      </w:r>
      <w:r>
        <w:rPr>
          <w:rFonts w:hint="default" w:ascii="Times New Roman" w:hAnsi="Times New Roman" w:eastAsia="仿宋_GB2312" w:cs="Times New Roman"/>
          <w:color w:val="auto"/>
          <w:sz w:val="32"/>
          <w:szCs w:val="32"/>
          <w:lang w:val="zh-CN"/>
        </w:rPr>
        <w:t>分，得分</w:t>
      </w:r>
      <w:r>
        <w:rPr>
          <w:rFonts w:hint="default" w:ascii="Times New Roman" w:hAnsi="Times New Roman" w:eastAsia="仿宋_GB2312" w:cs="Times New Roman"/>
          <w:color w:val="auto"/>
          <w:sz w:val="32"/>
          <w:szCs w:val="32"/>
          <w:lang w:val="zh-CN" w:eastAsia="zh-CN"/>
        </w:rPr>
        <w:t>9</w:t>
      </w:r>
      <w:r>
        <w:rPr>
          <w:rFonts w:hint="default" w:ascii="Times New Roman" w:hAnsi="Times New Roman" w:eastAsia="仿宋_GB2312" w:cs="Times New Roman"/>
          <w:color w:val="auto"/>
          <w:sz w:val="32"/>
          <w:szCs w:val="32"/>
          <w:lang w:eastAsia="zh-CN"/>
        </w:rPr>
        <w:t>8</w:t>
      </w:r>
      <w:r>
        <w:rPr>
          <w:rFonts w:hint="default" w:ascii="Times New Roman" w:hAnsi="Times New Roman" w:eastAsia="仿宋_GB2312" w:cs="Times New Roman"/>
          <w:color w:val="auto"/>
          <w:sz w:val="32"/>
          <w:szCs w:val="32"/>
          <w:lang w:val="zh-CN"/>
        </w:rPr>
        <w:t>分。</w:t>
      </w:r>
    </w:p>
    <w:p w14:paraId="4D1A680D">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黑体" w:cs="Times New Roman"/>
          <w:color w:val="auto"/>
          <w:spacing w:val="6"/>
          <w:sz w:val="32"/>
          <w:szCs w:val="32"/>
          <w:shd w:val="clear" w:color="auto" w:fill="FFFFFF"/>
          <w:lang w:val="zh-CN" w:eastAsia="zh-CN"/>
        </w:rPr>
      </w:pPr>
      <w:r>
        <w:rPr>
          <w:rFonts w:hint="default" w:ascii="Times New Roman" w:hAnsi="Times New Roman" w:eastAsia="黑体" w:cs="Times New Roman"/>
          <w:color w:val="auto"/>
          <w:spacing w:val="6"/>
          <w:sz w:val="32"/>
          <w:szCs w:val="32"/>
          <w:shd w:val="clear" w:color="auto" w:fill="FFFFFF"/>
          <w:lang w:val="zh-CN" w:eastAsia="zh-CN"/>
        </w:rPr>
        <w:t>五、存在主要问题</w:t>
      </w:r>
    </w:p>
    <w:p w14:paraId="0140033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cs="Times New Roman"/>
          <w:b/>
          <w:lang w:val="zh-CN"/>
        </w:rPr>
      </w:pPr>
      <w:r>
        <w:rPr>
          <w:rFonts w:hint="default" w:ascii="Times New Roman" w:hAnsi="Times New Roman" w:eastAsia="仿宋_GB2312" w:cs="Times New Roman"/>
          <w:sz w:val="32"/>
          <w:szCs w:val="32"/>
          <w:lang w:eastAsia="zh-CN"/>
        </w:rPr>
        <w:t>（一）二批次</w:t>
      </w:r>
      <w:r>
        <w:rPr>
          <w:rFonts w:hint="default" w:ascii="Times New Roman" w:hAnsi="Times New Roman" w:eastAsia="仿宋_GB2312" w:cs="Times New Roman"/>
          <w:sz w:val="32"/>
          <w:szCs w:val="32"/>
          <w:lang w:val="zh-CN"/>
        </w:rPr>
        <w:t>项目资金到位时间太晚（</w:t>
      </w:r>
      <w:r>
        <w:rPr>
          <w:rFonts w:hint="default" w:ascii="Times New Roman" w:hAnsi="Times New Roman" w:eastAsia="仿宋_GB2312" w:cs="Times New Roman"/>
          <w:sz w:val="32"/>
          <w:szCs w:val="32"/>
          <w:lang w:eastAsia="zh-CN"/>
        </w:rPr>
        <w:t>2025年12月中旬才拨入</w:t>
      </w:r>
      <w:r>
        <w:rPr>
          <w:rFonts w:hint="default" w:ascii="Times New Roman" w:hAnsi="Times New Roman" w:eastAsia="仿宋_GB2312" w:cs="Times New Roman"/>
          <w:sz w:val="32"/>
          <w:szCs w:val="32"/>
          <w:lang w:val="zh-CN"/>
        </w:rPr>
        <w:t>），是制约项目在当年实施完成的最主要因素。</w:t>
      </w:r>
    </w:p>
    <w:p w14:paraId="1B7F42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color w:val="auto"/>
          <w:sz w:val="32"/>
          <w:szCs w:val="32"/>
          <w:shd w:val="clear" w:color="auto" w:fill="FFFFFF"/>
          <w:lang w:eastAsia="zh-CN"/>
        </w:rPr>
        <w:t>项目组跟踪问效有待跟进，少许项目推进滞后，影响支付进度。</w:t>
      </w:r>
    </w:p>
    <w:p w14:paraId="3F055D65">
      <w:pPr>
        <w:pStyle w:val="39"/>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cs="Times New Roman"/>
          <w:color w:val="auto"/>
          <w:szCs w:val="32"/>
          <w:shd w:val="clear" w:color="auto" w:fill="FFFFFF"/>
          <w:lang w:eastAsia="zh-CN"/>
        </w:rPr>
      </w:pPr>
      <w:r>
        <w:rPr>
          <w:rFonts w:hint="default" w:ascii="Times New Roman" w:hAnsi="Times New Roman" w:cs="Times New Roman"/>
          <w:color w:val="auto"/>
          <w:szCs w:val="32"/>
          <w:shd w:val="clear" w:color="auto" w:fill="FFFFFF"/>
          <w:lang w:val="en-US" w:eastAsia="zh-CN"/>
        </w:rPr>
        <w:t>（三）</w:t>
      </w:r>
      <w:r>
        <w:rPr>
          <w:rFonts w:hint="default" w:ascii="Times New Roman" w:hAnsi="Times New Roman" w:cs="Times New Roman"/>
          <w:color w:val="auto"/>
          <w:szCs w:val="32"/>
          <w:shd w:val="clear" w:color="auto" w:fill="FFFFFF"/>
          <w:lang w:eastAsia="zh-CN"/>
        </w:rPr>
        <w:t>科普经费投入较少制约，部分项目开展深度广度受限，服务对象满意度达不到预期目标。</w:t>
      </w:r>
    </w:p>
    <w:p w14:paraId="188F8DA0">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textAlignment w:val="auto"/>
        <w:rPr>
          <w:rFonts w:hint="default" w:ascii="Times New Roman" w:hAnsi="Times New Roman" w:eastAsia="黑体" w:cs="Times New Roman"/>
          <w:color w:val="auto"/>
          <w:spacing w:val="6"/>
          <w:sz w:val="32"/>
          <w:szCs w:val="32"/>
          <w:shd w:val="clear" w:color="auto" w:fill="FFFFFF"/>
          <w:lang w:val="zh-CN" w:eastAsia="zh-CN"/>
        </w:rPr>
      </w:pPr>
      <w:r>
        <w:rPr>
          <w:rFonts w:hint="default" w:ascii="Times New Roman" w:hAnsi="Times New Roman" w:eastAsia="黑体" w:cs="Times New Roman"/>
          <w:color w:val="auto"/>
          <w:spacing w:val="6"/>
          <w:sz w:val="32"/>
          <w:szCs w:val="32"/>
          <w:shd w:val="clear" w:color="auto" w:fill="FFFFFF"/>
          <w:lang w:val="zh-CN" w:eastAsia="zh-CN"/>
        </w:rPr>
        <w:t>六、改进建议</w:t>
      </w:r>
    </w:p>
    <w:p w14:paraId="41AD83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（一）建议相关部门</w:t>
      </w:r>
      <w:r>
        <w:rPr>
          <w:rFonts w:hint="default" w:ascii="Times New Roman" w:hAnsi="Times New Roman" w:eastAsia="仿宋_GB2312" w:cs="Times New Roman"/>
          <w:color w:val="auto"/>
          <w:sz w:val="32"/>
          <w:szCs w:val="32"/>
          <w:lang w:val="zh-CN"/>
        </w:rPr>
        <w:t>提早谋划</w:t>
      </w:r>
      <w:r>
        <w:rPr>
          <w:rFonts w:hint="default" w:ascii="Times New Roman" w:hAnsi="Times New Roman" w:eastAsia="仿宋_GB2312" w:cs="Times New Roman"/>
          <w:color w:val="auto"/>
          <w:sz w:val="32"/>
          <w:szCs w:val="32"/>
          <w:lang w:eastAsia="zh-CN"/>
        </w:rPr>
        <w:t>布置</w:t>
      </w:r>
      <w:r>
        <w:rPr>
          <w:rFonts w:hint="default" w:ascii="Times New Roman" w:hAnsi="Times New Roman" w:eastAsia="仿宋_GB2312" w:cs="Times New Roman"/>
          <w:color w:val="auto"/>
          <w:sz w:val="32"/>
          <w:szCs w:val="32"/>
          <w:lang w:val="zh-CN"/>
        </w:rPr>
        <w:t>，</w:t>
      </w:r>
      <w:r>
        <w:rPr>
          <w:rFonts w:hint="default" w:ascii="Times New Roman" w:hAnsi="Times New Roman" w:eastAsia="仿宋_GB2312" w:cs="Times New Roman"/>
          <w:color w:val="auto"/>
          <w:sz w:val="32"/>
          <w:szCs w:val="32"/>
          <w:lang w:eastAsia="zh-CN"/>
        </w:rPr>
        <w:t>做好</w:t>
      </w:r>
      <w:r>
        <w:rPr>
          <w:rFonts w:hint="default" w:ascii="Times New Roman" w:hAnsi="Times New Roman" w:eastAsia="仿宋_GB2312" w:cs="Times New Roman"/>
          <w:color w:val="auto"/>
          <w:sz w:val="32"/>
          <w:szCs w:val="32"/>
          <w:lang w:val="zh-CN"/>
        </w:rPr>
        <w:t>多方</w:t>
      </w:r>
      <w:r>
        <w:rPr>
          <w:rFonts w:hint="default" w:ascii="Times New Roman" w:hAnsi="Times New Roman" w:eastAsia="仿宋_GB2312" w:cs="Times New Roman"/>
          <w:color w:val="auto"/>
          <w:sz w:val="32"/>
          <w:szCs w:val="32"/>
          <w:lang w:eastAsia="zh-CN"/>
        </w:rPr>
        <w:t>协调沟通，着力解决部分资金拨付到位时间晚的问题，</w:t>
      </w:r>
      <w:r>
        <w:rPr>
          <w:rFonts w:hint="default" w:ascii="Times New Roman" w:hAnsi="Times New Roman" w:eastAsia="仿宋_GB2312" w:cs="Times New Roman"/>
          <w:color w:val="auto"/>
          <w:sz w:val="32"/>
          <w:szCs w:val="32"/>
        </w:rPr>
        <w:t>便于项目实施单位有充足的时间</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科学合理安排</w:t>
      </w:r>
      <w:r>
        <w:rPr>
          <w:rFonts w:hint="default" w:ascii="Times New Roman" w:hAnsi="Times New Roman" w:eastAsia="仿宋_GB2312" w:cs="Times New Roman"/>
          <w:color w:val="auto"/>
          <w:sz w:val="32"/>
          <w:szCs w:val="32"/>
          <w:lang w:eastAsia="zh-CN"/>
        </w:rPr>
        <w:t>布置</w:t>
      </w:r>
      <w:r>
        <w:rPr>
          <w:rFonts w:hint="default" w:ascii="Times New Roman" w:hAnsi="Times New Roman" w:eastAsia="仿宋_GB2312" w:cs="Times New Roman"/>
          <w:color w:val="auto"/>
          <w:sz w:val="32"/>
          <w:szCs w:val="32"/>
        </w:rPr>
        <w:t>项目实施</w:t>
      </w:r>
      <w:r>
        <w:rPr>
          <w:rFonts w:hint="default" w:ascii="Times New Roman" w:hAnsi="Times New Roman" w:eastAsia="仿宋_GB2312" w:cs="Times New Roman"/>
          <w:color w:val="auto"/>
          <w:sz w:val="32"/>
          <w:szCs w:val="32"/>
          <w:lang w:eastAsia="zh-CN"/>
        </w:rPr>
        <w:t>，减少项目资金年末结转。</w:t>
      </w:r>
    </w:p>
    <w:p w14:paraId="40AEE83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（二）项目组应加强对项目进度的关注，严格按照项目任务书推进各阶段工作，并与财务沟通联系，及时支付项目资金，避免滞留账上，提高资金使用效率。</w:t>
      </w:r>
    </w:p>
    <w:p w14:paraId="7FEF53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auto"/>
          <w:kern w:val="2"/>
          <w:sz w:val="32"/>
          <w:szCs w:val="32"/>
          <w:lang w:eastAsia="zh-CN"/>
        </w:rPr>
      </w:pPr>
      <w:r>
        <w:rPr>
          <w:rFonts w:hint="default" w:ascii="Times New Roman" w:hAnsi="Times New Roman" w:eastAsia="仿宋_GB2312" w:cs="Times New Roman"/>
          <w:color w:val="auto"/>
          <w:kern w:val="2"/>
          <w:sz w:val="32"/>
          <w:szCs w:val="32"/>
          <w:lang w:val="en-US" w:eastAsia="zh-CN"/>
        </w:rPr>
        <w:t>（三）</w:t>
      </w:r>
      <w:r>
        <w:rPr>
          <w:rFonts w:hint="default" w:ascii="Times New Roman" w:hAnsi="Times New Roman" w:eastAsia="仿宋_GB2312" w:cs="Times New Roman"/>
          <w:color w:val="auto"/>
          <w:kern w:val="2"/>
          <w:sz w:val="32"/>
          <w:szCs w:val="32"/>
          <w:lang w:eastAsia="zh-CN"/>
        </w:rPr>
        <w:t>科普工作需要大量的人力、</w:t>
      </w:r>
      <w:r>
        <w:rPr>
          <w:rFonts w:hint="default" w:ascii="Times New Roman" w:hAnsi="Times New Roman" w:eastAsia="仿宋_GB2312" w:cs="Times New Roman"/>
          <w:color w:val="auto"/>
          <w:sz w:val="32"/>
          <w:szCs w:val="32"/>
          <w:lang w:eastAsia="zh-CN"/>
        </w:rPr>
        <w:t>物力和财力的</w:t>
      </w:r>
      <w:r>
        <w:rPr>
          <w:rFonts w:hint="default" w:ascii="Times New Roman" w:hAnsi="Times New Roman" w:eastAsia="仿宋_GB2312" w:cs="Times New Roman"/>
          <w:color w:val="auto"/>
          <w:kern w:val="2"/>
          <w:sz w:val="32"/>
          <w:szCs w:val="32"/>
          <w:lang w:eastAsia="zh-CN"/>
        </w:rPr>
        <w:t xml:space="preserve">投入，由于经费的限制，影响科普工作的开展，建议上级部门适当加大对经费的投入。                           </w:t>
      </w:r>
    </w:p>
    <w:p w14:paraId="59DE6A34">
      <w:pPr>
        <w:pStyle w:val="3"/>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kern w:val="2"/>
          <w:sz w:val="32"/>
          <w:szCs w:val="32"/>
          <w:lang w:eastAsia="zh-CN"/>
        </w:rPr>
      </w:pPr>
    </w:p>
    <w:p w14:paraId="1D63C4A4">
      <w:pPr>
        <w:pStyle w:val="39"/>
        <w:keepNext w:val="0"/>
        <w:keepLines w:val="0"/>
        <w:pageBreakBefore w:val="0"/>
        <w:widowControl w:val="0"/>
        <w:tabs>
          <w:tab w:val="left" w:pos="2265"/>
        </w:tabs>
        <w:kinsoku/>
        <w:wordWrap/>
        <w:overflowPunct/>
        <w:topLinePunct w:val="0"/>
        <w:autoSpaceDE/>
        <w:autoSpaceDN/>
        <w:bidi w:val="0"/>
        <w:adjustRightInd w:val="0"/>
        <w:snapToGrid w:val="0"/>
        <w:spacing w:line="560" w:lineRule="exact"/>
        <w:textAlignment w:val="auto"/>
        <w:rPr>
          <w:rFonts w:hint="default" w:ascii="Times New Roman" w:hAnsi="Times New Roman" w:cs="Times New Roman"/>
          <w:szCs w:val="32"/>
        </w:rPr>
      </w:pPr>
      <w:r>
        <w:rPr>
          <w:rFonts w:hint="default" w:ascii="Times New Roman" w:hAnsi="Times New Roman" w:cs="Times New Roman"/>
          <w:szCs w:val="32"/>
        </w:rPr>
        <w:tab/>
      </w:r>
    </w:p>
    <w:p w14:paraId="2091AB0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sz w:val="32"/>
          <w:szCs w:val="32"/>
        </w:rPr>
      </w:pPr>
    </w:p>
    <w:p w14:paraId="031ACD8B">
      <w:pPr>
        <w:pStyle w:val="39"/>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cs="Times New Roman"/>
        </w:rPr>
      </w:pPr>
    </w:p>
    <w:p w14:paraId="5DC7ED97">
      <w:pPr>
        <w:pStyle w:val="38"/>
        <w:keepNext w:val="0"/>
        <w:keepLines w:val="0"/>
        <w:pageBreakBefore w:val="0"/>
        <w:widowControl w:val="0"/>
        <w:kinsoku/>
        <w:wordWrap/>
        <w:overflowPunct/>
        <w:topLinePunct w:val="0"/>
        <w:autoSpaceDE/>
        <w:autoSpaceDN/>
        <w:bidi w:val="0"/>
        <w:spacing w:line="560" w:lineRule="exact"/>
        <w:jc w:val="center"/>
        <w:textAlignment w:val="auto"/>
        <w:rPr>
          <w:rFonts w:hint="default" w:ascii="Times New Roman" w:hAnsi="Times New Roman" w:eastAsia="方正小标宋简体" w:cs="Times New Roman"/>
          <w:color w:val="FF0000"/>
          <w:kern w:val="2"/>
          <w:sz w:val="44"/>
          <w:szCs w:val="44"/>
          <w:lang w:val="en-US" w:eastAsia="zh-CN"/>
        </w:rPr>
      </w:pPr>
    </w:p>
    <w:p w14:paraId="56D9415F">
      <w:pPr>
        <w:pStyle w:val="38"/>
        <w:spacing w:line="578" w:lineRule="exact"/>
        <w:jc w:val="center"/>
        <w:rPr>
          <w:rFonts w:hint="default" w:ascii="Times New Roman" w:hAnsi="Times New Roman" w:eastAsia="方正小标宋简体" w:cs="Times New Roman"/>
          <w:color w:val="FF0000"/>
          <w:kern w:val="2"/>
          <w:sz w:val="44"/>
          <w:szCs w:val="44"/>
          <w:lang w:val="en-US" w:eastAsia="zh-CN"/>
        </w:rPr>
      </w:pPr>
    </w:p>
    <w:p w14:paraId="67F37A53">
      <w:pPr>
        <w:pStyle w:val="38"/>
        <w:spacing w:line="560" w:lineRule="exact"/>
        <w:jc w:val="center"/>
        <w:rPr>
          <w:rFonts w:hint="default" w:ascii="Times New Roman" w:hAnsi="Times New Roman" w:eastAsia="方正小标宋简体" w:cs="Times New Roman"/>
          <w:bCs/>
          <w:color w:val="auto"/>
          <w:kern w:val="2"/>
          <w:sz w:val="36"/>
          <w:szCs w:val="36"/>
        </w:rPr>
      </w:pPr>
    </w:p>
    <w:p w14:paraId="02FD5A69">
      <w:pPr>
        <w:pStyle w:val="38"/>
        <w:spacing w:line="560" w:lineRule="exact"/>
        <w:jc w:val="center"/>
        <w:rPr>
          <w:rFonts w:hint="default" w:ascii="Times New Roman" w:hAnsi="Times New Roman" w:eastAsia="方正小标宋简体" w:cs="Times New Roman"/>
          <w:bCs/>
          <w:color w:val="auto"/>
          <w:kern w:val="2"/>
          <w:sz w:val="36"/>
          <w:szCs w:val="36"/>
        </w:rPr>
      </w:pPr>
    </w:p>
    <w:p w14:paraId="5A03AFDC">
      <w:pPr>
        <w:pStyle w:val="38"/>
        <w:spacing w:line="560" w:lineRule="exact"/>
        <w:jc w:val="center"/>
        <w:rPr>
          <w:rFonts w:hint="default" w:ascii="Times New Roman" w:hAnsi="Times New Roman" w:eastAsia="方正小标宋简体" w:cs="Times New Roman"/>
          <w:bCs/>
          <w:color w:val="auto"/>
          <w:kern w:val="2"/>
          <w:sz w:val="36"/>
          <w:szCs w:val="36"/>
        </w:rPr>
      </w:pPr>
    </w:p>
    <w:p w14:paraId="516E1085">
      <w:pPr>
        <w:pStyle w:val="38"/>
        <w:spacing w:line="560" w:lineRule="exact"/>
        <w:jc w:val="center"/>
        <w:rPr>
          <w:rFonts w:hint="default" w:ascii="Times New Roman" w:hAnsi="Times New Roman" w:eastAsia="方正小标宋简体" w:cs="Times New Roman"/>
          <w:bCs/>
          <w:color w:val="auto"/>
          <w:kern w:val="2"/>
          <w:sz w:val="36"/>
          <w:szCs w:val="36"/>
        </w:rPr>
      </w:pPr>
    </w:p>
    <w:p w14:paraId="30229345">
      <w:pPr>
        <w:pStyle w:val="38"/>
        <w:spacing w:line="560" w:lineRule="exact"/>
        <w:jc w:val="center"/>
        <w:rPr>
          <w:rFonts w:hint="default" w:ascii="Times New Roman" w:hAnsi="Times New Roman" w:eastAsia="方正小标宋简体" w:cs="Times New Roman"/>
          <w:bCs/>
          <w:color w:val="auto"/>
          <w:kern w:val="2"/>
          <w:sz w:val="36"/>
          <w:szCs w:val="36"/>
        </w:rPr>
      </w:pPr>
    </w:p>
    <w:p w14:paraId="3F4A5376">
      <w:pPr>
        <w:pStyle w:val="38"/>
        <w:spacing w:line="560" w:lineRule="exact"/>
        <w:jc w:val="both"/>
        <w:rPr>
          <w:rFonts w:hint="default" w:ascii="Times New Roman" w:hAnsi="Times New Roman" w:eastAsia="方正小标宋简体" w:cs="Times New Roman"/>
          <w:bCs/>
          <w:color w:val="auto"/>
          <w:kern w:val="2"/>
          <w:sz w:val="36"/>
          <w:szCs w:val="36"/>
        </w:rPr>
      </w:pPr>
    </w:p>
    <w:p w14:paraId="47700CC7">
      <w:pPr>
        <w:snapToGrid w:val="0"/>
        <w:spacing w:line="578" w:lineRule="exact"/>
        <w:outlineLvl w:val="0"/>
        <w:rPr>
          <w:rFonts w:hint="default" w:ascii="Times New Roman" w:hAnsi="Times New Roman" w:eastAsia="黑体" w:cs="Times New Roman"/>
          <w:b w:val="0"/>
          <w:bCs w:val="0"/>
          <w:kern w:val="0"/>
          <w:sz w:val="32"/>
          <w:szCs w:val="32"/>
          <w:shd w:val="clear" w:color="auto" w:fill="FFFFFF"/>
          <w:lang w:val="zh-CN" w:eastAsia="zh-CN"/>
        </w:rPr>
      </w:pPr>
    </w:p>
    <w:p w14:paraId="232CDF9A">
      <w:pPr>
        <w:snapToGrid w:val="0"/>
        <w:spacing w:line="578" w:lineRule="exact"/>
        <w:outlineLvl w:val="0"/>
        <w:rPr>
          <w:rFonts w:hint="default" w:ascii="Times New Roman" w:hAnsi="Times New Roman" w:eastAsia="黑体" w:cs="Times New Roman"/>
          <w:b w:val="0"/>
          <w:bCs w:val="0"/>
          <w:kern w:val="0"/>
          <w:sz w:val="32"/>
          <w:szCs w:val="32"/>
          <w:shd w:val="clear" w:color="auto" w:fill="FFFFFF"/>
          <w:lang w:val="zh-CN" w:eastAsia="zh-CN"/>
        </w:rPr>
      </w:pPr>
    </w:p>
    <w:p w14:paraId="3A8C70CE">
      <w:pPr>
        <w:snapToGrid w:val="0"/>
        <w:spacing w:line="578" w:lineRule="exact"/>
        <w:outlineLvl w:val="0"/>
        <w:rPr>
          <w:rFonts w:hint="default" w:ascii="Times New Roman" w:hAnsi="Times New Roman" w:eastAsia="黑体" w:cs="Times New Roman"/>
          <w:b w:val="0"/>
          <w:bCs w:val="0"/>
          <w:kern w:val="0"/>
          <w:sz w:val="32"/>
          <w:szCs w:val="32"/>
          <w:shd w:val="clear" w:color="auto" w:fill="FFFFFF"/>
          <w:lang w:val="zh-CN" w:eastAsia="zh-CN"/>
        </w:rPr>
      </w:pPr>
    </w:p>
    <w:p w14:paraId="6A4EE51C">
      <w:pPr>
        <w:snapToGrid w:val="0"/>
        <w:spacing w:line="578" w:lineRule="exact"/>
        <w:outlineLvl w:val="0"/>
        <w:rPr>
          <w:rFonts w:hint="default" w:ascii="Times New Roman" w:hAnsi="Times New Roman" w:eastAsia="黑体" w:cs="Times New Roman"/>
          <w:b w:val="0"/>
          <w:bCs w:val="0"/>
          <w:kern w:val="0"/>
          <w:sz w:val="32"/>
          <w:szCs w:val="32"/>
          <w:shd w:val="clear" w:color="auto" w:fill="FFFFFF"/>
          <w:lang w:val="en-US" w:eastAsia="zh-CN"/>
        </w:rPr>
      </w:pPr>
      <w:r>
        <w:rPr>
          <w:rFonts w:hint="default" w:ascii="Times New Roman" w:hAnsi="Times New Roman" w:eastAsia="黑体" w:cs="Times New Roman"/>
          <w:b w:val="0"/>
          <w:bCs w:val="0"/>
          <w:kern w:val="0"/>
          <w:sz w:val="32"/>
          <w:szCs w:val="32"/>
          <w:shd w:val="clear" w:color="auto" w:fill="FFFFFF"/>
          <w:lang w:val="zh-CN" w:eastAsia="zh-CN"/>
        </w:rPr>
        <w:t>附件</w:t>
      </w:r>
      <w:r>
        <w:rPr>
          <w:rFonts w:hint="default" w:ascii="Times New Roman" w:hAnsi="Times New Roman" w:eastAsia="黑体" w:cs="Times New Roman"/>
          <w:b w:val="0"/>
          <w:bCs w:val="0"/>
          <w:kern w:val="0"/>
          <w:sz w:val="32"/>
          <w:szCs w:val="32"/>
          <w:shd w:val="clear" w:color="auto" w:fill="FFFFFF"/>
          <w:lang w:val="en-US" w:eastAsia="zh-CN"/>
        </w:rPr>
        <w:t>2-4</w:t>
      </w:r>
    </w:p>
    <w:p w14:paraId="2841D167">
      <w:pPr>
        <w:pStyle w:val="38"/>
        <w:spacing w:line="560" w:lineRule="exact"/>
        <w:ind w:firstLine="2640" w:firstLineChars="600"/>
        <w:jc w:val="both"/>
        <w:rPr>
          <w:rFonts w:hint="default" w:ascii="Times New Roman" w:hAnsi="Times New Roman" w:eastAsia="方正小标宋简体" w:cs="Times New Roman"/>
          <w:bCs/>
          <w:color w:val="auto"/>
          <w:kern w:val="2"/>
          <w:sz w:val="44"/>
          <w:szCs w:val="44"/>
        </w:rPr>
      </w:pPr>
    </w:p>
    <w:p w14:paraId="779A2BE0">
      <w:pPr>
        <w:pStyle w:val="38"/>
        <w:keepNext w:val="0"/>
        <w:keepLines w:val="0"/>
        <w:pageBreakBefore w:val="0"/>
        <w:kinsoku/>
        <w:wordWrap/>
        <w:overflowPunct/>
        <w:topLinePunct w:val="0"/>
        <w:autoSpaceDE/>
        <w:autoSpaceDN/>
        <w:bidi w:val="0"/>
        <w:spacing w:line="560" w:lineRule="exact"/>
        <w:ind w:firstLine="2640" w:firstLineChars="600"/>
        <w:jc w:val="both"/>
        <w:rPr>
          <w:rFonts w:hint="default" w:ascii="Times New Roman" w:hAnsi="Times New Roman" w:eastAsia="方正小标宋简体" w:cs="Times New Roman"/>
          <w:bCs/>
          <w:color w:val="auto"/>
          <w:kern w:val="2"/>
          <w:sz w:val="44"/>
          <w:szCs w:val="44"/>
        </w:rPr>
      </w:pPr>
      <w:r>
        <w:rPr>
          <w:rFonts w:hint="default" w:ascii="Times New Roman" w:hAnsi="Times New Roman" w:eastAsia="方正小标宋简体" w:cs="Times New Roman"/>
          <w:bCs/>
          <w:color w:val="auto"/>
          <w:kern w:val="2"/>
          <w:sz w:val="44"/>
          <w:szCs w:val="44"/>
        </w:rPr>
        <w:t>凉山州科学技术协会</w:t>
      </w:r>
    </w:p>
    <w:p w14:paraId="01BC92B3">
      <w:pPr>
        <w:keepNext w:val="0"/>
        <w:keepLines w:val="0"/>
        <w:pageBreakBefore w:val="0"/>
        <w:kinsoku/>
        <w:wordWrap/>
        <w:overflowPunct/>
        <w:topLinePunct w:val="0"/>
        <w:autoSpaceDE/>
        <w:autoSpaceDN/>
        <w:bidi w:val="0"/>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2025年“天府科技云服务项目”绩效自评报告</w:t>
      </w:r>
    </w:p>
    <w:p w14:paraId="647B05FA">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sz w:val="32"/>
          <w:szCs w:val="32"/>
        </w:rPr>
      </w:pPr>
    </w:p>
    <w:p w14:paraId="23A69A32">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zh-CN"/>
        </w:rPr>
        <w:t>项目概况</w:t>
      </w:r>
    </w:p>
    <w:p w14:paraId="50BCF23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（一）设立背景及基本情况</w:t>
      </w:r>
    </w:p>
    <w:p w14:paraId="668CEAD3">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b/>
          <w:bCs/>
          <w:color w:val="000000"/>
          <w:sz w:val="32"/>
          <w:szCs w:val="32"/>
          <w:lang w:bidi="ar"/>
        </w:rPr>
      </w:pPr>
      <w:r>
        <w:rPr>
          <w:rFonts w:hint="default" w:ascii="Times New Roman" w:hAnsi="Times New Roman" w:eastAsia="仿宋_GB2312" w:cs="Times New Roman"/>
          <w:kern w:val="0"/>
          <w:sz w:val="32"/>
          <w:szCs w:val="32"/>
        </w:rPr>
        <w:t>围绕省科协重点工作“天府科技云服务”为主线，结合州委州政府工作规划要点及我科室具体工作任务，统筹考虑、科学分配，预算25万元用于采购专业第三方服务团队开展“天府科技云服务”工作。</w:t>
      </w:r>
    </w:p>
    <w:p w14:paraId="3429E82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楷体_GB2312" w:cs="Times New Roman"/>
          <w:b/>
          <w:sz w:val="32"/>
          <w:szCs w:val="32"/>
        </w:rPr>
      </w:pPr>
      <w:r>
        <w:rPr>
          <w:rFonts w:hint="default" w:ascii="Times New Roman" w:hAnsi="Times New Roman" w:eastAsia="楷体_GB2312" w:cs="Times New Roman"/>
          <w:b w:val="0"/>
          <w:bCs/>
          <w:sz w:val="32"/>
          <w:szCs w:val="32"/>
          <w:lang w:val="zh-CN"/>
        </w:rPr>
        <w:t>（二）实施目的及支持方向</w:t>
      </w:r>
    </w:p>
    <w:p w14:paraId="7944BB0D">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kern w:val="0"/>
          <w:sz w:val="32"/>
          <w:szCs w:val="32"/>
        </w:rPr>
        <w:t>该项目用于开展全州“科服保姆”业务培训，保证“客服保姆”精准，服务广大科技工作者、服务企事业单位、服务人民群众，开展精准科技服务、创新驱动发展服务、全民科普服务，同时开展咨询答疑和直属指导服务。</w:t>
      </w:r>
    </w:p>
    <w:p w14:paraId="388286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eastAsia="zh-CN"/>
        </w:rPr>
        <w:t>（三）</w:t>
      </w:r>
      <w:r>
        <w:rPr>
          <w:rFonts w:hint="default" w:ascii="Times New Roman" w:hAnsi="Times New Roman" w:eastAsia="楷体_GB2312" w:cs="Times New Roman"/>
          <w:b w:val="0"/>
          <w:bCs/>
          <w:sz w:val="32"/>
          <w:szCs w:val="32"/>
          <w:lang w:val="zh-CN"/>
        </w:rPr>
        <w:t>预算安排及分配管理</w:t>
      </w:r>
    </w:p>
    <w:p w14:paraId="38E11E45">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2025年“天府科技云服务项目”业务经费25万元，主要用于委托第三方服务公司</w:t>
      </w:r>
      <w:r>
        <w:rPr>
          <w:rFonts w:hint="default" w:ascii="Times New Roman" w:hAnsi="Times New Roman" w:eastAsia="仿宋_GB2312" w:cs="Times New Roman"/>
          <w:kern w:val="0"/>
          <w:sz w:val="32"/>
          <w:szCs w:val="32"/>
        </w:rPr>
        <w:t>，开展全州“科服保姆”业务培训，咨询答疑、技术指导等</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kern w:val="0"/>
          <w:sz w:val="32"/>
          <w:szCs w:val="32"/>
        </w:rPr>
        <w:t>项目应实现的绩效目标包括数量指标、质量指标、时效指标、成本指标、效果指标、社会效益指标、服务对象满意度指标和资金使用等指标。项目的实施进度均按预算执行进度完成资金支付。</w:t>
      </w:r>
    </w:p>
    <w:p w14:paraId="5307DB6C">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lang w:val="zh-CN"/>
        </w:rPr>
        <w:t>二、评价实施</w:t>
      </w:r>
    </w:p>
    <w:p w14:paraId="05132201">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sz w:val="32"/>
          <w:szCs w:val="32"/>
          <w:lang w:val="zh-CN"/>
        </w:rPr>
        <w:t>（一）评价目的。</w:t>
      </w:r>
      <w:r>
        <w:rPr>
          <w:rFonts w:hint="default" w:ascii="Times New Roman" w:hAnsi="Times New Roman" w:eastAsia="仿宋_GB2312" w:cs="Times New Roman"/>
          <w:sz w:val="32"/>
          <w:szCs w:val="32"/>
        </w:rPr>
        <w:t>通过项目绩效自评，切实体现“用钱必问效、无效必问责”的财政项目资金绩效目标原则。监督项目资金是否遵守相关法律法规专款专用、有无偏离度、是否超范围超标准使用、项目实施是否及时、资金使用是否高效、资金支付流程是否合法合规等情况，以及取得的社会效益和经济效益，了解项目实施过程中的群众满意值和获得感、服务对象满意度等情况，为后期确保中央及省级科普科服专项资金使用安全高效提供决策依据，不断推进财政资金科学化、精细化管理。</w:t>
      </w:r>
    </w:p>
    <w:p w14:paraId="3AC27BB7">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（二）预设问题及评价重点。</w:t>
      </w:r>
    </w:p>
    <w:p w14:paraId="0FF49ECC">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1.预设问题：</w:t>
      </w:r>
    </w:p>
    <w:p w14:paraId="7D502B7D">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（1）项目目标是否明确、具体、可衡量？</w:t>
      </w:r>
    </w:p>
    <w:p w14:paraId="2C12595A">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（2）项目是否按照预定的计划和时间表执行？</w:t>
      </w:r>
    </w:p>
    <w:p w14:paraId="79C6932C">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（3）预算的使用是否合理、合规，有无超支或结余情况？</w:t>
      </w:r>
    </w:p>
    <w:p w14:paraId="3AA0CA56">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（4）项目所产生的成果是否达到预期的质量标准？</w:t>
      </w:r>
    </w:p>
    <w:p w14:paraId="25C916BC">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（5）项目的实施是否对社会公众产生了积极的影响？</w:t>
      </w:r>
    </w:p>
    <w:p w14:paraId="79F0BA86">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（6）项目是否有可持续性，即项目成果能否在未来持续发挥作用？</w:t>
      </w:r>
    </w:p>
    <w:p w14:paraId="385EDBCE">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2.评价重点：</w:t>
      </w:r>
    </w:p>
    <w:p w14:paraId="170AC344">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（1）对比项目设定的目标和实际完成的情况，评估目标实现程度。</w:t>
      </w:r>
    </w:p>
    <w:p w14:paraId="764F2EFF">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（2）考评项目按照预定的计划和时间表执行、资金支付一致性情况。</w:t>
      </w:r>
    </w:p>
    <w:p w14:paraId="0740F25D">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（3）考核预算资金的使用合法、合规、合理，专款专用情况。</w:t>
      </w:r>
    </w:p>
    <w:p w14:paraId="31D517A7">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（4）考核项目产生的社会效益、经济效益、可持续影响等绩效目标实现情况。</w:t>
      </w:r>
    </w:p>
    <w:p w14:paraId="56147A39">
      <w:pPr>
        <w:keepNext w:val="0"/>
        <w:keepLines w:val="0"/>
        <w:pageBreakBefore w:val="0"/>
        <w:kinsoku/>
        <w:wordWrap/>
        <w:overflowPunct/>
        <w:topLinePunct w:val="0"/>
        <w:autoSpaceDE/>
        <w:autoSpaceDN/>
        <w:bidi w:val="0"/>
        <w:spacing w:line="560" w:lineRule="exact"/>
        <w:ind w:firstLine="320" w:firstLineChars="1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（5）评价服务对象获得感和幸福感及满意度情况。</w:t>
      </w:r>
    </w:p>
    <w:p w14:paraId="1EA92540">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sz w:val="32"/>
          <w:szCs w:val="32"/>
          <w:lang w:val="zh-CN"/>
        </w:rPr>
        <w:t>（三）评价选点。</w:t>
      </w:r>
      <w:r>
        <w:rPr>
          <w:rFonts w:hint="default" w:ascii="Times New Roman" w:hAnsi="Times New Roman" w:eastAsia="仿宋_GB2312" w:cs="Times New Roman"/>
          <w:kern w:val="0"/>
          <w:sz w:val="32"/>
          <w:szCs w:val="32"/>
          <w:lang w:val="zh-CN"/>
        </w:rPr>
        <w:t>在项目实施过程中，严格划分</w:t>
      </w:r>
      <w:r>
        <w:rPr>
          <w:rFonts w:hint="default" w:ascii="Times New Roman" w:hAnsi="Times New Roman" w:eastAsia="仿宋_GB2312" w:cs="Times New Roman"/>
          <w:kern w:val="0"/>
          <w:sz w:val="32"/>
          <w:szCs w:val="32"/>
        </w:rPr>
        <w:t>单位的责、权、利，最大限度提高项目资金的使用效率。</w:t>
      </w:r>
      <w:r>
        <w:rPr>
          <w:rFonts w:hint="default" w:ascii="Times New Roman" w:hAnsi="Times New Roman" w:eastAsia="仿宋_GB2312" w:cs="Times New Roman"/>
          <w:kern w:val="0"/>
          <w:sz w:val="32"/>
          <w:szCs w:val="32"/>
          <w:lang w:val="zh-CN"/>
        </w:rPr>
        <w:t>项目资金的使用符合国家财经法规和财务管理制度及有关专项资金管理办法规定、符合项目预算批复和合同规定用途，审批程序完整严谨；项目实施遵守相关法律法规，无截留、挤占、挪用、虚列支出等情况；项目完成后合同签订、验收报告、技术鉴定等资料齐全并及时归档。</w:t>
      </w:r>
      <w:r>
        <w:rPr>
          <w:rFonts w:hint="default" w:ascii="Times New Roman" w:hAnsi="Times New Roman" w:eastAsia="仿宋_GB2312" w:cs="Times New Roman"/>
          <w:kern w:val="0"/>
          <w:sz w:val="32"/>
          <w:szCs w:val="32"/>
        </w:rPr>
        <w:t>确保州级科普专项资金使用安全、透明。预算执行率100%。</w:t>
      </w:r>
    </w:p>
    <w:p w14:paraId="6E9B255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rPr>
          <w:rFonts w:hint="default" w:ascii="Times New Roman" w:hAnsi="Times New Roman" w:eastAsia="仿宋_GB2312" w:cs="Times New Roman"/>
          <w:kern w:val="0"/>
          <w:sz w:val="32"/>
          <w:szCs w:val="32"/>
        </w:rPr>
      </w:pPr>
      <w:r>
        <w:rPr>
          <w:rFonts w:hint="default" w:ascii="Times New Roman" w:hAnsi="Times New Roman" w:eastAsia="楷体_GB2312" w:cs="Times New Roman"/>
          <w:b w:val="0"/>
          <w:bCs/>
          <w:sz w:val="32"/>
          <w:szCs w:val="32"/>
          <w:lang w:val="zh-CN"/>
        </w:rPr>
        <w:t>（四）评价方法。</w:t>
      </w:r>
      <w:r>
        <w:rPr>
          <w:rFonts w:hint="default" w:ascii="Times New Roman" w:hAnsi="Times New Roman" w:eastAsia="仿宋_GB2312" w:cs="Times New Roman"/>
          <w:kern w:val="0"/>
          <w:sz w:val="32"/>
          <w:szCs w:val="32"/>
        </w:rPr>
        <w:t>凉山州科学技术协会是项目组织、实施和监管的主管单位。办公室依照凉山州科学技术协会的工作布置和州财政局的“谁用钱、谁自评”和要求，对照“专项预算项目绩效目标完成情况自评表”和“专项预算绩效自评打分表”，按照表中项目</w:t>
      </w:r>
      <w:r>
        <w:rPr>
          <w:rFonts w:hint="eastAsia" w:eastAsia="仿宋_GB2312" w:cs="Times New Roman"/>
          <w:kern w:val="0"/>
          <w:sz w:val="32"/>
          <w:szCs w:val="32"/>
          <w:lang w:eastAsia="zh-CN"/>
        </w:rPr>
        <w:t>概况</w:t>
      </w:r>
      <w:r>
        <w:rPr>
          <w:rFonts w:hint="default" w:ascii="Times New Roman" w:hAnsi="Times New Roman" w:eastAsia="仿宋_GB2312" w:cs="Times New Roman"/>
          <w:kern w:val="0"/>
          <w:sz w:val="32"/>
          <w:szCs w:val="32"/>
        </w:rPr>
        <w:t>、项目总体目标，绩效指标等内容，结合项目决策、项目管理、项目实施、项目结果、民生保障、自设个性指标等特点逐项进行自评打分，较客观公正的对财政资金进行全面绩效评价。确保州级科普专项资金使用安全、透明、高速、效益化。</w:t>
      </w:r>
    </w:p>
    <w:p w14:paraId="51572DCE">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Cs/>
        </w:rPr>
      </w:pPr>
      <w:r>
        <w:rPr>
          <w:rFonts w:hint="default" w:ascii="Times New Roman" w:hAnsi="Times New Roman" w:eastAsia="楷体_GB2312" w:cs="Times New Roman"/>
          <w:b w:val="0"/>
          <w:bCs/>
          <w:sz w:val="32"/>
          <w:szCs w:val="32"/>
          <w:lang w:val="zh-CN"/>
        </w:rPr>
        <w:t>（五）评价组织。</w:t>
      </w:r>
      <w:r>
        <w:rPr>
          <w:rFonts w:hint="default" w:ascii="Times New Roman" w:hAnsi="Times New Roman" w:eastAsia="仿宋_GB2312" w:cs="Times New Roman"/>
          <w:kern w:val="0"/>
          <w:sz w:val="32"/>
          <w:szCs w:val="32"/>
        </w:rPr>
        <w:t>州科协党组负责该项目的制定与监督，办公室负责该项目的具体实施。</w:t>
      </w:r>
    </w:p>
    <w:p w14:paraId="1FDFA247">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cs="Times New Roman"/>
          <w:sz w:val="32"/>
          <w:szCs w:val="32"/>
          <w:lang w:val="zh-CN"/>
        </w:rPr>
      </w:pPr>
      <w:r>
        <w:rPr>
          <w:rFonts w:hint="default" w:ascii="Times New Roman" w:hAnsi="Times New Roman" w:eastAsia="黑体" w:cs="Times New Roman"/>
          <w:sz w:val="32"/>
          <w:szCs w:val="32"/>
        </w:rPr>
        <w:t>三、绩效分析</w:t>
      </w:r>
      <w:r>
        <w:rPr>
          <w:rFonts w:hint="default" w:ascii="Times New Roman" w:hAnsi="Times New Roman" w:cs="Times New Roman"/>
          <w:sz w:val="32"/>
          <w:szCs w:val="32"/>
          <w:lang w:val="zh-CN"/>
        </w:rPr>
        <w:tab/>
      </w:r>
    </w:p>
    <w:p w14:paraId="0C5FC224">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（一）通用指标绩效分析。（自评得分：54分）</w:t>
      </w:r>
    </w:p>
    <w:p w14:paraId="7C9746D0">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1.项目决策。本项目是</w:t>
      </w:r>
      <w:r>
        <w:rPr>
          <w:rFonts w:hint="default" w:ascii="Times New Roman" w:hAnsi="Times New Roman" w:eastAsia="仿宋_GB2312" w:cs="Times New Roman"/>
          <w:sz w:val="32"/>
          <w:szCs w:val="32"/>
        </w:rPr>
        <w:t>为贯彻落实省科协十届二次常委会和全委会关于天府科技云服务的工作部署，推动天府科技云高质量发展而开展的工作。</w:t>
      </w:r>
      <w:r>
        <w:rPr>
          <w:rFonts w:hint="default" w:ascii="Times New Roman" w:hAnsi="Times New Roman" w:eastAsia="仿宋_GB2312" w:cs="Times New Roman"/>
          <w:kern w:val="0"/>
          <w:sz w:val="32"/>
          <w:szCs w:val="32"/>
        </w:rPr>
        <w:t>项目由州科协办公室纳入年度工作计划，并经州科协党组认真研究后同意实施。</w:t>
      </w:r>
      <w:r>
        <w:rPr>
          <w:rFonts w:hint="default" w:ascii="Times New Roman" w:hAnsi="Times New Roman" w:eastAsia="仿宋_GB2312" w:cs="Times New Roman"/>
          <w:kern w:val="0"/>
          <w:sz w:val="32"/>
          <w:szCs w:val="32"/>
          <w:lang w:val="zh-CN"/>
        </w:rPr>
        <w:t>故此项自评得分</w:t>
      </w:r>
      <w:r>
        <w:rPr>
          <w:rFonts w:hint="default" w:ascii="Times New Roman" w:hAnsi="Times New Roman" w:eastAsia="仿宋_GB2312" w:cs="Times New Roman"/>
          <w:kern w:val="0"/>
          <w:sz w:val="32"/>
          <w:szCs w:val="32"/>
        </w:rPr>
        <w:t>18分。</w:t>
      </w:r>
    </w:p>
    <w:p w14:paraId="51F64C39">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2.项目管理。凉山州</w:t>
      </w:r>
      <w:r>
        <w:rPr>
          <w:rFonts w:hint="eastAsia" w:eastAsia="仿宋_GB2312" w:cs="Times New Roman"/>
          <w:kern w:val="0"/>
          <w:sz w:val="32"/>
          <w:szCs w:val="32"/>
          <w:lang w:eastAsia="zh-CN"/>
        </w:rPr>
        <w:t>科学技术协会</w:t>
      </w:r>
      <w:r>
        <w:rPr>
          <w:rFonts w:hint="default" w:ascii="Times New Roman" w:hAnsi="Times New Roman" w:eastAsia="仿宋_GB2312" w:cs="Times New Roman"/>
          <w:kern w:val="0"/>
          <w:sz w:val="32"/>
          <w:szCs w:val="32"/>
        </w:rPr>
        <w:t>在项目决策和实施方面坚持“资金跟着项目走、项目跟着决策走”的理念，按照各级财政项目资金绩效管理的程序和要求，专项项目设立均经过事前评估。</w:t>
      </w:r>
      <w:r>
        <w:rPr>
          <w:rFonts w:hint="default" w:ascii="Times New Roman" w:hAnsi="Times New Roman" w:eastAsia="仿宋_GB2312" w:cs="Times New Roman"/>
          <w:kern w:val="0"/>
          <w:sz w:val="32"/>
          <w:szCs w:val="32"/>
          <w:lang w:val="zh-CN"/>
        </w:rPr>
        <w:t>州本级</w:t>
      </w:r>
      <w:r>
        <w:rPr>
          <w:rFonts w:hint="default" w:ascii="Times New Roman" w:hAnsi="Times New Roman" w:eastAsia="仿宋_GB2312" w:cs="Times New Roman"/>
          <w:kern w:val="0"/>
          <w:sz w:val="32"/>
          <w:szCs w:val="32"/>
        </w:rPr>
        <w:t>对</w:t>
      </w:r>
      <w:r>
        <w:rPr>
          <w:rFonts w:hint="default" w:ascii="Times New Roman" w:hAnsi="Times New Roman" w:eastAsia="仿宋_GB2312" w:cs="Times New Roman"/>
          <w:kern w:val="0"/>
          <w:sz w:val="32"/>
          <w:szCs w:val="32"/>
          <w:lang w:val="zh-CN"/>
        </w:rPr>
        <w:t>项目的管理严谨，</w:t>
      </w:r>
      <w:r>
        <w:rPr>
          <w:rFonts w:hint="default" w:ascii="Times New Roman" w:hAnsi="Times New Roman" w:eastAsia="仿宋_GB2312" w:cs="Times New Roman"/>
          <w:kern w:val="0"/>
          <w:sz w:val="32"/>
          <w:szCs w:val="32"/>
        </w:rPr>
        <w:t>严格执行</w:t>
      </w:r>
      <w:r>
        <w:rPr>
          <w:rFonts w:hint="default" w:ascii="Times New Roman" w:hAnsi="Times New Roman" w:eastAsia="仿宋_GB2312" w:cs="Times New Roman"/>
          <w:color w:val="000000"/>
          <w:kern w:val="0"/>
          <w:sz w:val="32"/>
          <w:szCs w:val="32"/>
        </w:rPr>
        <w:t>《中央和省级财政科普科服专项资金管理办法》（川财规〔2024〕7号）。</w:t>
      </w:r>
      <w:r>
        <w:rPr>
          <w:rFonts w:hint="default" w:ascii="Times New Roman" w:hAnsi="Times New Roman" w:eastAsia="仿宋_GB2312" w:cs="Times New Roman"/>
          <w:kern w:val="0"/>
          <w:sz w:val="32"/>
          <w:szCs w:val="32"/>
        </w:rPr>
        <w:t>党组要求各</w:t>
      </w:r>
      <w:r>
        <w:rPr>
          <w:rFonts w:hint="default" w:ascii="Times New Roman" w:hAnsi="Times New Roman" w:eastAsia="仿宋_GB2312" w:cs="Times New Roman"/>
          <w:kern w:val="0"/>
          <w:sz w:val="32"/>
          <w:szCs w:val="32"/>
          <w:lang w:val="zh-CN"/>
        </w:rPr>
        <w:t>项目组</w:t>
      </w:r>
      <w:r>
        <w:rPr>
          <w:rFonts w:hint="default" w:ascii="Times New Roman" w:hAnsi="Times New Roman" w:eastAsia="仿宋_GB2312" w:cs="Times New Roman"/>
          <w:kern w:val="0"/>
          <w:sz w:val="32"/>
          <w:szCs w:val="32"/>
        </w:rPr>
        <w:t>要事前进行调研，掌握必要的基本情况；事中加强实地考察以指导项目不偏离预期计划；事后组织对项目进行验收，确保项目实现目标。</w:t>
      </w:r>
      <w:r>
        <w:rPr>
          <w:rFonts w:hint="default" w:ascii="Times New Roman" w:hAnsi="Times New Roman" w:eastAsia="仿宋_GB2312" w:cs="Times New Roman"/>
          <w:kern w:val="0"/>
          <w:sz w:val="32"/>
          <w:szCs w:val="32"/>
          <w:lang w:val="zh-CN"/>
        </w:rPr>
        <w:t>因此相关管理制度机制健全、组织程序完善。故此项自评得分</w:t>
      </w:r>
      <w:r>
        <w:rPr>
          <w:rFonts w:hint="default" w:ascii="Times New Roman" w:hAnsi="Times New Roman" w:eastAsia="仿宋_GB2312" w:cs="Times New Roman"/>
          <w:kern w:val="0"/>
          <w:sz w:val="32"/>
          <w:szCs w:val="32"/>
        </w:rPr>
        <w:t>18分。</w:t>
      </w:r>
    </w:p>
    <w:p w14:paraId="235AA4CF">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3.项目实施。经费纳入年初预算，工作纳入年度重点任务，按计划实施和完成。资金足额拨付到位，在项目圆满完成后，按协议及时支付。该项目全部经费都用于政府采购，采购落地价为25万元，无自留无上缴。</w:t>
      </w:r>
      <w:r>
        <w:rPr>
          <w:rFonts w:hint="default" w:ascii="Times New Roman" w:hAnsi="Times New Roman" w:eastAsia="仿宋_GB2312" w:cs="Times New Roman"/>
          <w:kern w:val="0"/>
          <w:sz w:val="32"/>
          <w:szCs w:val="32"/>
          <w:lang w:val="zh-CN"/>
        </w:rPr>
        <w:t>故此项自评得分</w:t>
      </w:r>
      <w:r>
        <w:rPr>
          <w:rFonts w:hint="default" w:ascii="Times New Roman" w:hAnsi="Times New Roman" w:eastAsia="仿宋_GB2312" w:cs="Times New Roman"/>
          <w:kern w:val="0"/>
          <w:sz w:val="32"/>
          <w:szCs w:val="32"/>
        </w:rPr>
        <w:t>9分。</w:t>
      </w:r>
    </w:p>
    <w:p w14:paraId="377AA6B0">
      <w:pPr>
        <w:keepNext w:val="0"/>
        <w:keepLines w:val="0"/>
        <w:pageBreakBefore w:val="0"/>
        <w:kinsoku/>
        <w:wordWrap/>
        <w:overflowPunct/>
        <w:topLinePunct w:val="0"/>
        <w:autoSpaceDE/>
        <w:autoSpaceDN/>
        <w:bidi w:val="0"/>
        <w:spacing w:line="560" w:lineRule="exact"/>
        <w:ind w:firstLine="640" w:firstLineChars="200"/>
        <w:textAlignment w:val="baseline"/>
        <w:rPr>
          <w:rFonts w:hint="default" w:ascii="Times New Roman" w:hAnsi="Times New Roman" w:eastAsia="楷体_GB2312" w:cs="Times New Roman"/>
          <w:b/>
          <w:color w:val="0000FF"/>
          <w:sz w:val="32"/>
          <w:szCs w:val="32"/>
          <w:lang w:val="zh-CN"/>
        </w:rPr>
      </w:pPr>
      <w:r>
        <w:rPr>
          <w:rFonts w:hint="default" w:ascii="Times New Roman" w:hAnsi="Times New Roman" w:eastAsia="仿宋_GB2312" w:cs="Times New Roman"/>
          <w:kern w:val="0"/>
          <w:sz w:val="32"/>
          <w:szCs w:val="32"/>
        </w:rPr>
        <w:t>4.项目结果。2025年全年，督促各县（市）科协推广宣介“天府科技云服务”平台，并为各县（市）科协提供业务指导和答疑。完成州本级工作任务，做好县（市）科协服务工作，及时沟通工作中的问题，总结每月工作。主动对接注册使用天府科技云平台的科技工作者（团队）、企事业单位、科研院所、高校院所等并建立常态联系，全程、精准、完整开展“一人一策”“一单一策”“保姆式”服务。做好培训及年底考核指标统计汇总。为进一步提升全州科服保姆的服务能力，2025年第三方为各县（市）保姆组织开展为期两天4场次的专题培训会，2场轮训会，并提供24小时在线答疑服务，保证其熟练平台规范和操作。故</w:t>
      </w:r>
      <w:r>
        <w:rPr>
          <w:rFonts w:hint="default" w:ascii="Times New Roman" w:hAnsi="Times New Roman" w:eastAsia="仿宋_GB2312" w:cs="Times New Roman"/>
          <w:kern w:val="0"/>
          <w:sz w:val="32"/>
          <w:szCs w:val="32"/>
          <w:lang w:val="zh-CN"/>
        </w:rPr>
        <w:t>此项自评得分</w:t>
      </w:r>
      <w:r>
        <w:rPr>
          <w:rFonts w:hint="default" w:ascii="Times New Roman" w:hAnsi="Times New Roman" w:eastAsia="仿宋_GB2312" w:cs="Times New Roman"/>
          <w:kern w:val="0"/>
          <w:sz w:val="32"/>
          <w:szCs w:val="32"/>
        </w:rPr>
        <w:t>9分。</w:t>
      </w:r>
    </w:p>
    <w:p w14:paraId="27ADB968">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 w:val="0"/>
          <w:bCs/>
          <w:sz w:val="32"/>
          <w:szCs w:val="32"/>
          <w:lang w:val="zh-CN"/>
        </w:rPr>
      </w:pPr>
      <w:r>
        <w:rPr>
          <w:rFonts w:hint="default" w:ascii="Times New Roman" w:hAnsi="Times New Roman" w:eastAsia="楷体_GB2312" w:cs="Times New Roman"/>
          <w:b w:val="0"/>
          <w:bCs/>
          <w:sz w:val="32"/>
          <w:szCs w:val="32"/>
          <w:lang w:val="zh-CN"/>
        </w:rPr>
        <w:t>（二）专用指标绩效分析。（此项自评得分：</w:t>
      </w:r>
      <w:r>
        <w:rPr>
          <w:rFonts w:hint="default" w:ascii="Times New Roman" w:hAnsi="Times New Roman" w:eastAsia="楷体_GB2312" w:cs="Times New Roman"/>
          <w:b w:val="0"/>
          <w:bCs/>
          <w:sz w:val="32"/>
          <w:szCs w:val="32"/>
          <w:lang w:val="en"/>
        </w:rPr>
        <w:t>30</w:t>
      </w:r>
      <w:r>
        <w:rPr>
          <w:rFonts w:hint="default" w:ascii="Times New Roman" w:hAnsi="Times New Roman" w:eastAsia="楷体_GB2312" w:cs="Times New Roman"/>
          <w:b w:val="0"/>
          <w:bCs/>
          <w:sz w:val="32"/>
          <w:szCs w:val="32"/>
          <w:lang w:val="zh-CN"/>
        </w:rPr>
        <w:t>分）</w:t>
      </w:r>
    </w:p>
    <w:p w14:paraId="009ED114">
      <w:pPr>
        <w:pStyle w:val="10"/>
        <w:keepNext w:val="0"/>
        <w:keepLines w:val="0"/>
        <w:pageBreakBefore w:val="0"/>
        <w:tabs>
          <w:tab w:val="left" w:pos="2160"/>
        </w:tabs>
        <w:kinsoku/>
        <w:wordWrap/>
        <w:overflowPunct/>
        <w:topLinePunct w:val="0"/>
        <w:autoSpaceDE/>
        <w:autoSpaceDN/>
        <w:bidi w:val="0"/>
        <w:spacing w:beforeLines="0" w:line="560" w:lineRule="exact"/>
        <w:ind w:firstLine="640" w:firstLineChars="200"/>
        <w:rPr>
          <w:rFonts w:hint="default" w:ascii="Times New Roman" w:hAnsi="Times New Roman" w:eastAsia="仿宋_GB2312" w:cs="Times New Roman"/>
          <w:color w:val="0000FF"/>
          <w:position w:val="0"/>
          <w:sz w:val="32"/>
          <w:szCs w:val="32"/>
          <w:lang w:val="zh-CN" w:eastAsia="zh-CN"/>
        </w:rPr>
      </w:pPr>
      <w:r>
        <w:rPr>
          <w:rFonts w:hint="default" w:ascii="Times New Roman" w:hAnsi="Times New Roman" w:eastAsia="仿宋_GB2312" w:cs="Times New Roman"/>
          <w:sz w:val="32"/>
          <w:szCs w:val="32"/>
          <w:lang w:val="zh-CN" w:eastAsia="zh-CN"/>
        </w:rPr>
        <w:t>民生保障。</w:t>
      </w:r>
      <w:r>
        <w:rPr>
          <w:rFonts w:hint="default" w:ascii="Times New Roman" w:hAnsi="Times New Roman" w:eastAsia="仿宋_GB2312" w:cs="Times New Roman"/>
          <w:sz w:val="32"/>
          <w:szCs w:val="32"/>
          <w:lang w:eastAsia="zh-CN"/>
        </w:rPr>
        <w:t>州科协高度重视，相关项目科室认真制定工作方案，主席办公会对经费预算、工作方案上会研究。项目实施阶段：委托代理机构，通过政府采购选择专业第三方服务团队，及时入驻州云服务中心，为各县（市）科协提供业务指导和答疑。为各县（市）保姆组织开展为期两天4场次的专题培训会，2场轮训会，提供24小时在线答疑服务，保证其熟练平台规范和操作，进一步提升了全州科服保姆的服务能力。故</w:t>
      </w:r>
      <w:r>
        <w:rPr>
          <w:rFonts w:hint="default" w:ascii="Times New Roman" w:hAnsi="Times New Roman" w:eastAsia="仿宋_GB2312" w:cs="Times New Roman"/>
          <w:sz w:val="32"/>
          <w:szCs w:val="32"/>
          <w:lang w:val="zh-CN" w:eastAsia="zh-CN"/>
        </w:rPr>
        <w:t>该项自评得分</w:t>
      </w:r>
      <w:r>
        <w:rPr>
          <w:rFonts w:hint="default" w:ascii="Times New Roman" w:hAnsi="Times New Roman" w:eastAsia="仿宋_GB2312" w:cs="Times New Roman"/>
          <w:sz w:val="32"/>
          <w:szCs w:val="32"/>
          <w:lang w:val="en" w:eastAsia="zh-CN"/>
        </w:rPr>
        <w:t>30</w:t>
      </w:r>
      <w:r>
        <w:rPr>
          <w:rFonts w:hint="default" w:ascii="Times New Roman" w:hAnsi="Times New Roman" w:eastAsia="仿宋_GB2312" w:cs="Times New Roman"/>
          <w:sz w:val="32"/>
          <w:szCs w:val="32"/>
          <w:lang w:eastAsia="zh-CN"/>
        </w:rPr>
        <w:t>分。</w:t>
      </w:r>
    </w:p>
    <w:p w14:paraId="6E00C9F8">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楷体_GB2312" w:cs="Times New Roman"/>
          <w:b w:val="0"/>
          <w:bCs/>
          <w:sz w:val="32"/>
          <w:szCs w:val="32"/>
          <w:lang w:val="zh-CN" w:eastAsia="zh-CN"/>
        </w:rPr>
      </w:pPr>
      <w:r>
        <w:rPr>
          <w:rFonts w:hint="default" w:ascii="Times New Roman" w:hAnsi="Times New Roman" w:eastAsia="楷体_GB2312" w:cs="Times New Roman"/>
          <w:b w:val="0"/>
          <w:bCs/>
          <w:sz w:val="32"/>
          <w:szCs w:val="32"/>
          <w:lang w:val="zh-CN"/>
        </w:rPr>
        <w:t>（三）</w:t>
      </w:r>
      <w:r>
        <w:rPr>
          <w:rFonts w:hint="default" w:ascii="Times New Roman" w:hAnsi="Times New Roman" w:eastAsia="楷体_GB2312" w:cs="Times New Roman"/>
          <w:b w:val="0"/>
          <w:bCs/>
          <w:sz w:val="32"/>
          <w:szCs w:val="32"/>
          <w:lang w:val="zh-CN" w:eastAsia="zh-CN"/>
        </w:rPr>
        <w:t>个性指标绩效分析。（该项自评得分14分）</w:t>
      </w:r>
    </w:p>
    <w:p w14:paraId="5699C37E">
      <w:pPr>
        <w:keepNext w:val="0"/>
        <w:keepLines w:val="0"/>
        <w:pageBreakBefore w:val="0"/>
        <w:kinsoku/>
        <w:wordWrap/>
        <w:overflowPunct/>
        <w:topLinePunct w:val="0"/>
        <w:autoSpaceDE/>
        <w:autoSpaceDN/>
        <w:bidi w:val="0"/>
        <w:adjustRightInd w:val="0"/>
        <w:snapToGrid w:val="0"/>
        <w:spacing w:line="560" w:lineRule="exact"/>
        <w:ind w:firstLine="720"/>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rPr>
        <w:t>保姆更换频率高，业务熟练程度不高。故</w:t>
      </w:r>
      <w:r>
        <w:rPr>
          <w:rFonts w:hint="default" w:ascii="Times New Roman" w:hAnsi="Times New Roman" w:eastAsia="仿宋_GB2312" w:cs="Times New Roman"/>
          <w:kern w:val="0"/>
          <w:sz w:val="32"/>
          <w:szCs w:val="32"/>
          <w:lang w:val="zh-CN"/>
        </w:rPr>
        <w:t>该项自评得分</w:t>
      </w:r>
      <w:r>
        <w:rPr>
          <w:rFonts w:hint="default" w:ascii="Times New Roman" w:hAnsi="Times New Roman" w:eastAsia="仿宋_GB2312" w:cs="Times New Roman"/>
          <w:kern w:val="0"/>
          <w:sz w:val="32"/>
          <w:szCs w:val="32"/>
        </w:rPr>
        <w:t>14分。</w:t>
      </w:r>
    </w:p>
    <w:p w14:paraId="7FD37D94">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、评价结论</w:t>
      </w:r>
    </w:p>
    <w:p w14:paraId="500FC748">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color w:val="000000"/>
          <w:kern w:val="0"/>
          <w:sz w:val="32"/>
          <w:szCs w:val="32"/>
          <w:lang w:val="zh-CN"/>
        </w:rPr>
      </w:pPr>
      <w:r>
        <w:rPr>
          <w:rFonts w:hint="default" w:ascii="Times New Roman" w:hAnsi="Times New Roman" w:eastAsia="仿宋_GB2312" w:cs="Times New Roman"/>
          <w:color w:val="000000"/>
          <w:sz w:val="32"/>
          <w:szCs w:val="32"/>
        </w:rPr>
        <w:t>本项目在推进凉山州科协天府科技云工作、深化科技云服务内容方面取得了显著成效，全面完成了设定的绩效目标，且部分指标超额完成。建议继续加大投入，优化服务流程，提升服务质量，进一步推动凉山科协工作再上新台阶。从产出、效益、满意度指标等进行了以上打分，预算执行率100%，执行情况良好，保姆更换频率高，业务熟练程度不高，自评扣2分。最后得分98分</w:t>
      </w:r>
      <w:r>
        <w:rPr>
          <w:rFonts w:hint="default" w:ascii="Times New Roman" w:hAnsi="Times New Roman" w:eastAsia="仿宋_GB2312" w:cs="Times New Roman"/>
          <w:color w:val="000000"/>
          <w:kern w:val="0"/>
          <w:position w:val="3"/>
          <w:sz w:val="32"/>
          <w:szCs w:val="32"/>
          <w:lang w:val="zh-CN"/>
        </w:rPr>
        <w:t>。</w:t>
      </w:r>
    </w:p>
    <w:p w14:paraId="4721BC0F">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五、存在主要问题</w:t>
      </w:r>
    </w:p>
    <w:p w14:paraId="55586884">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kern w:val="0"/>
          <w:position w:val="3"/>
          <w:sz w:val="32"/>
          <w:szCs w:val="32"/>
          <w:lang w:val="zh-CN"/>
        </w:rPr>
      </w:pPr>
      <w:r>
        <w:rPr>
          <w:rFonts w:hint="default" w:ascii="Times New Roman" w:hAnsi="Times New Roman" w:eastAsia="仿宋_GB2312" w:cs="Times New Roman"/>
          <w:color w:val="000000"/>
          <w:sz w:val="32"/>
          <w:szCs w:val="32"/>
        </w:rPr>
        <w:t>因“科服保姆”属于劳务派遣人员，保姆更换频率高，业务熟练程度不高</w:t>
      </w:r>
      <w:r>
        <w:rPr>
          <w:rFonts w:hint="default" w:ascii="Times New Roman" w:hAnsi="Times New Roman" w:eastAsia="仿宋_GB2312" w:cs="Times New Roman"/>
          <w:kern w:val="0"/>
          <w:position w:val="3"/>
          <w:sz w:val="32"/>
          <w:szCs w:val="32"/>
          <w:lang w:val="zh-CN"/>
        </w:rPr>
        <w:t>。</w:t>
      </w:r>
    </w:p>
    <w:p w14:paraId="154ED9EF">
      <w:pPr>
        <w:keepNext w:val="0"/>
        <w:keepLines w:val="0"/>
        <w:pageBreakBefore w:val="0"/>
        <w:kinsoku/>
        <w:wordWrap/>
        <w:overflowPunct/>
        <w:topLinePunct w:val="0"/>
        <w:autoSpaceDE/>
        <w:autoSpaceDN/>
        <w:bidi w:val="0"/>
        <w:spacing w:line="560" w:lineRule="exact"/>
        <w:ind w:firstLine="640"/>
        <w:rPr>
          <w:rFonts w:hint="default" w:ascii="Times New Roman" w:hAnsi="Times New Roman" w:eastAsia="黑体" w:cs="Times New Roman"/>
          <w:sz w:val="32"/>
          <w:szCs w:val="32"/>
          <w:lang w:val="zh-CN" w:eastAsia="zh-CN"/>
        </w:rPr>
      </w:pPr>
      <w:r>
        <w:rPr>
          <w:rFonts w:hint="default" w:ascii="Times New Roman" w:hAnsi="Times New Roman" w:eastAsia="黑体" w:cs="Times New Roman"/>
          <w:sz w:val="32"/>
          <w:szCs w:val="32"/>
          <w:lang w:val="zh-CN" w:eastAsia="zh-CN"/>
        </w:rPr>
        <w:t>六、改进建议</w:t>
      </w:r>
    </w:p>
    <w:p w14:paraId="1457D388">
      <w:pPr>
        <w:keepNext w:val="0"/>
        <w:keepLines w:val="0"/>
        <w:pageBreakBefore w:val="0"/>
        <w:tabs>
          <w:tab w:val="left" w:pos="1911"/>
        </w:tabs>
        <w:kinsoku/>
        <w:wordWrap/>
        <w:overflowPunct/>
        <w:topLinePunct w:val="0"/>
        <w:autoSpaceDE/>
        <w:autoSpaceDN/>
        <w:bidi w:val="0"/>
        <w:spacing w:line="560" w:lineRule="exact"/>
        <w:ind w:firstLine="64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根据工作部署安排，建立长效机制，制定好培训计划，定期开展排查，对新进保姆及时开展培训，鼓励“老带新”模式，调动保姆工作积极性。</w:t>
      </w:r>
    </w:p>
    <w:p w14:paraId="0D242CFF">
      <w:pPr>
        <w:pStyle w:val="2"/>
        <w:rPr>
          <w:rFonts w:hint="default" w:ascii="Times New Roman" w:hAnsi="Times New Roman" w:eastAsia="仿宋_GB2312" w:cs="Times New Roman"/>
          <w:kern w:val="0"/>
          <w:sz w:val="32"/>
          <w:szCs w:val="32"/>
        </w:rPr>
      </w:pPr>
    </w:p>
    <w:p w14:paraId="2B0CAD05">
      <w:pPr>
        <w:pStyle w:val="3"/>
        <w:rPr>
          <w:rFonts w:hint="default" w:ascii="Times New Roman" w:hAnsi="Times New Roman" w:eastAsia="仿宋_GB2312" w:cs="Times New Roman"/>
          <w:kern w:val="0"/>
          <w:sz w:val="32"/>
          <w:szCs w:val="32"/>
        </w:rPr>
      </w:pPr>
    </w:p>
    <w:p w14:paraId="148B07F6">
      <w:pPr>
        <w:rPr>
          <w:rFonts w:hint="default" w:ascii="Times New Roman" w:hAnsi="Times New Roman" w:eastAsia="仿宋_GB2312" w:cs="Times New Roman"/>
          <w:kern w:val="0"/>
          <w:sz w:val="32"/>
          <w:szCs w:val="32"/>
        </w:rPr>
      </w:pPr>
    </w:p>
    <w:p w14:paraId="0E8F87FB">
      <w:pPr>
        <w:pStyle w:val="2"/>
        <w:rPr>
          <w:rFonts w:hint="default" w:ascii="Times New Roman" w:hAnsi="Times New Roman" w:eastAsia="仿宋_GB2312" w:cs="Times New Roman"/>
          <w:kern w:val="0"/>
          <w:sz w:val="32"/>
          <w:szCs w:val="32"/>
        </w:rPr>
      </w:pPr>
    </w:p>
    <w:p w14:paraId="147F211B">
      <w:pPr>
        <w:pStyle w:val="3"/>
        <w:rPr>
          <w:rFonts w:hint="default" w:ascii="Times New Roman" w:hAnsi="Times New Roman" w:eastAsia="仿宋_GB2312" w:cs="Times New Roman"/>
          <w:kern w:val="0"/>
          <w:sz w:val="32"/>
          <w:szCs w:val="32"/>
        </w:rPr>
      </w:pPr>
    </w:p>
    <w:p w14:paraId="63901095">
      <w:pPr>
        <w:pStyle w:val="2"/>
        <w:rPr>
          <w:rFonts w:hint="default" w:ascii="Times New Roman" w:hAnsi="Times New Roman" w:cs="Times New Roman"/>
        </w:rPr>
      </w:pPr>
    </w:p>
    <w:p w14:paraId="408641D6">
      <w:pPr>
        <w:pStyle w:val="3"/>
        <w:rPr>
          <w:rFonts w:hint="default"/>
        </w:rPr>
      </w:pPr>
    </w:p>
    <w:p w14:paraId="1C70CDDD">
      <w:pPr>
        <w:rPr>
          <w:rFonts w:hint="default"/>
        </w:rPr>
      </w:pPr>
    </w:p>
    <w:p w14:paraId="6695940B">
      <w:pPr>
        <w:pStyle w:val="2"/>
        <w:rPr>
          <w:rFonts w:hint="default"/>
        </w:rPr>
      </w:pPr>
    </w:p>
    <w:p w14:paraId="1A851C51">
      <w:pPr>
        <w:pStyle w:val="3"/>
        <w:rPr>
          <w:rFonts w:hint="default"/>
        </w:rPr>
      </w:pPr>
    </w:p>
    <w:p w14:paraId="458F3363">
      <w:pPr>
        <w:rPr>
          <w:rFonts w:hint="default"/>
        </w:rPr>
      </w:pPr>
    </w:p>
    <w:p w14:paraId="47A1E7A5">
      <w:pPr>
        <w:pStyle w:val="2"/>
        <w:rPr>
          <w:rFonts w:hint="default"/>
        </w:rPr>
      </w:pPr>
    </w:p>
    <w:tbl>
      <w:tblPr>
        <w:tblStyle w:val="19"/>
        <w:tblpPr w:leftFromText="180" w:rightFromText="180" w:vertAnchor="text" w:horzAnchor="page" w:tblpX="1095" w:tblpY="109"/>
        <w:tblOverlap w:val="never"/>
        <w:tblW w:w="523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6"/>
        <w:gridCol w:w="962"/>
        <w:gridCol w:w="852"/>
        <w:gridCol w:w="1530"/>
        <w:gridCol w:w="585"/>
        <w:gridCol w:w="1125"/>
        <w:gridCol w:w="450"/>
        <w:gridCol w:w="390"/>
        <w:gridCol w:w="1140"/>
        <w:gridCol w:w="540"/>
        <w:gridCol w:w="600"/>
        <w:gridCol w:w="1251"/>
      </w:tblGrid>
      <w:tr w14:paraId="5784C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A39266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3EB96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95B5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1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EC99B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51340022T000000278902-学术交流活动业务经费</w:t>
            </w:r>
          </w:p>
        </w:tc>
      </w:tr>
      <w:tr w14:paraId="58C0A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7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9CC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4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5A27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67" w:type="pct"/>
            <w:tcBorders>
              <w:top w:val="nil"/>
              <w:left w:val="nil"/>
              <w:bottom w:val="nil"/>
              <w:right w:val="nil"/>
            </w:tcBorders>
            <w:shd w:val="clear" w:color="auto" w:fill="auto"/>
            <w:vAlign w:val="center"/>
          </w:tcPr>
          <w:p w14:paraId="6CBA2D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11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872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408A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8F6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7A63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4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FF3F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7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6754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6DC0F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4D2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EFE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4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8759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开展凉山州第十二届自然科学优秀论文评选活动，大力营造“尊重劳动、尊重知识、尊重人才”的良好社会氛围，鼓励全州广大科技工作者开展科学研究，探求真理， 促进科学技术的繁荣和发展，为推动全州的科技创新和科技进步做贡献。</w:t>
            </w:r>
          </w:p>
        </w:tc>
        <w:tc>
          <w:tcPr>
            <w:tcW w:w="175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1B5A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年度完成了开展凉山州第十二届自然科学优秀论文评选活动，大力营造“尊重劳动、尊重知识、尊重人才”的良好社会氛围，鼓励全州广大科技工作者开展科学研究，探求真理， 促进科学技术的繁荣和发展，为推动全州的科技创新和科技进步做贡献。</w:t>
            </w:r>
          </w:p>
        </w:tc>
      </w:tr>
      <w:tr w14:paraId="170D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4E3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37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1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95F8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届评选活动共收到近两年在国内外公开出版的学术性期刊上发表的自然科学论文等共计165篇，经评审委员会办公室初审，147篇论文符合评审条件。共评出医学组、农业组、教育组、综合组一、二、三等奖总计51个奖项进入公示。项目的完成，大力营造了“尊重劳动、尊重知识、尊重人才”的良好社会氛围，鼓励全州广大科技工作者开展科学研究，探求真理，促进科学技术的繁荣和发展，为推动全州的科技创新和科技进步做贡献。</w:t>
            </w:r>
          </w:p>
        </w:tc>
      </w:tr>
      <w:tr w14:paraId="6D0A1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B3B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0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60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09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6B04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8A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6EE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D47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3C8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C66F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DFF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0FF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9C9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BA5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BDC1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7BD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507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CC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51E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27BC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1C9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32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9FF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53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2C7D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9D5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9D4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E72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E0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5EE2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CD1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3E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03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7B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FF60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BF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6A9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6A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60B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2F5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677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E9D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932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72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50A9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15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39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8F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3DD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6F1E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B69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9EB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68B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0D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B16C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0B5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28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6D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BC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BA6A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8B9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6E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A4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8F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7C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46A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DE2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20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700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A43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DF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83BC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2AF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84C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F3A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B9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预计评选自然科学优秀论文篇数</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67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43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D1F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篇</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34D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60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7A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A19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37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68D33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DC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27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691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9F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自然科学优秀学术论文评选达标率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FA0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53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14C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7B2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F48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71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31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FBD5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90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6B4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01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B6B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工作完成时间</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7E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49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1CA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37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FC8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BC1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3DD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610FF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B8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559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5E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337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鼓励全州广大科技工作者开展科学研究，探求真理。</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DDE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2A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营造“尊重劳动、尊重知识、尊重人才”的良好社会氛围，促进科学技术的繁荣和发展。</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24F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21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营造“尊重劳动、尊重知识、尊重人才”的良好社会氛围，促进科学技术的繁荣和发展。</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88A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B0F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8D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0B4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0F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CAC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25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F45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评选活动影响力</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7D8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4D0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C33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2EB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196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358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34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31B8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CA9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482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475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344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参加评选人员满意度</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49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6F8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410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A25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650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7BE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F18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满意度未达预期目的。</w:t>
            </w:r>
          </w:p>
        </w:tc>
      </w:tr>
      <w:tr w14:paraId="261F1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C31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B0B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59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FF0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开展评选活动费用</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960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90E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7EF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98B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4EF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BE8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E7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265D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81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4AAB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621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B5F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7D6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AB63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F60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8"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0E89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第十二届自然科学优秀学术论文评选活动整体成效显著、价值突出，是凉山州自然科学研究成果的一次集中展示，更是推动本土科技与区域发展深度融合的重要载体。我们从产出、效益、满意度指标等进行了逐项认真的打分，预算执行率100%，执行情况良好。故自评得分98分。</w:t>
            </w:r>
          </w:p>
        </w:tc>
      </w:tr>
      <w:tr w14:paraId="43646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60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8"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77AB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项目资金有限，满意度未达预期目的；评选结果与成果转化、项目申报、职称评定的联动机制尚未完全建立，对优秀论文作者的后续支持力度不足，影响科研人员参与积极性。</w:t>
            </w:r>
          </w:p>
        </w:tc>
      </w:tr>
      <w:tr w14:paraId="0601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6FE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8"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4C26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做好资金预测，争取政府适度增加投入资金；强化特色、提升质量、促进转化、均衡发展，让评选更好服务凉山科技创新与高质量发展 。</w:t>
            </w:r>
          </w:p>
        </w:tc>
      </w:tr>
      <w:tr w14:paraId="49E3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226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1EC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项目负责人：李红</w:t>
            </w:r>
          </w:p>
        </w:tc>
        <w:tc>
          <w:tcPr>
            <w:tcW w:w="273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8294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71DD3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E0E346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F3E57F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1E4E4E1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745DD372">
            <w:pPr>
              <w:pStyle w:val="2"/>
              <w:keepNext w:val="0"/>
              <w:keepLines w:val="0"/>
              <w:suppressLineNumbers w:val="0"/>
              <w:spacing w:before="0" w:beforeAutospacing="0" w:after="0" w:afterAutospacing="0"/>
              <w:ind w:left="0" w:right="0"/>
              <w:rPr>
                <w:rFonts w:hint="default" w:ascii="Times New Roman" w:hAnsi="Times New Roman" w:eastAsia="宋体" w:cs="Times New Roman"/>
                <w:b/>
                <w:bCs/>
                <w:i w:val="0"/>
                <w:iCs w:val="0"/>
                <w:color w:val="000000"/>
                <w:kern w:val="0"/>
                <w:sz w:val="18"/>
                <w:szCs w:val="18"/>
                <w:u w:val="none"/>
                <w:lang w:val="en-US" w:eastAsia="zh-CN" w:bidi="ar"/>
              </w:rPr>
            </w:pPr>
          </w:p>
          <w:p w14:paraId="7087C849">
            <w:pPr>
              <w:pStyle w:val="3"/>
              <w:keepNext w:val="0"/>
              <w:keepLines w:val="0"/>
              <w:suppressLineNumbers w:val="0"/>
              <w:spacing w:before="0" w:beforeAutospacing="0" w:afterAutospacing="0"/>
              <w:ind w:right="0"/>
              <w:rPr>
                <w:rFonts w:hint="default" w:ascii="Times New Roman" w:hAnsi="Times New Roman" w:cs="Times New Roman"/>
                <w:lang w:val="en-US" w:eastAsia="zh-CN"/>
              </w:rPr>
            </w:pPr>
          </w:p>
          <w:p w14:paraId="4D02D66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68D1B30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EE83CB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47A3B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F304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1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82855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51340022T000000278903-老科技工作者科普活动保障经费</w:t>
            </w:r>
          </w:p>
        </w:tc>
      </w:tr>
      <w:tr w14:paraId="0DAE3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7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867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5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06E8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761" w:type="pct"/>
            <w:gridSpan w:val="2"/>
            <w:tcBorders>
              <w:top w:val="nil"/>
              <w:left w:val="nil"/>
              <w:bottom w:val="nil"/>
              <w:right w:val="nil"/>
            </w:tcBorders>
            <w:shd w:val="clear" w:color="auto" w:fill="auto"/>
            <w:vAlign w:val="center"/>
          </w:tcPr>
          <w:p w14:paraId="60977C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11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84B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09B5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A5EB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1C8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5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D22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9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CEFA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46C7B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D91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C1B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25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E805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该项目围绕认真学习贯彻党的二十大精神，落实习近平总书记对中国老科协重要批示“老有所为，积极作为”进行农村科普和城市科普活动，青少年科技教育活动，提升全民科学素质，对离退休老专家开展敬老月各项活动，进行党总支和党支部建设的各项活动，结合乡村振兴工作继续开展世界首创彩色花油菜示范种植，继续联手省老科协实施ESS（美国科技教育协会）资助贫困生，开展各类培训，科普宣传，科技咨询,健康义诊，积极探索金沙江流域合作调研、交流会、秘书处工作等。省和市州老科协工作研讨，筹建县老科协等活动及省上参加秘书长会及省老科协年度会议，在学校实施各类公益活动。</w:t>
            </w:r>
          </w:p>
        </w:tc>
        <w:tc>
          <w:tcPr>
            <w:tcW w:w="195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2661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该项目围绕认真学习贯彻党的二十大精神，落实习近平总书记对中国老科协重要批示“老有所为，积极作为”进行农村科普和城市科普活动，青少年科技教育活动，提升全民科学素质，对离退休老专家开展敬老月各项活动，进行党总支和党支部建设的各项活动，结合乡村振兴工作继续开展世界首创彩色花油菜示范种植，继续联手省老科协实施ESS（美国科技教育协会）资助贫困生，开展各类培训，科普宣传，科技咨询,健康义诊，积极探索金沙江流域合作调研、交流会、秘书处工作等。省和市州老科协工作研讨，筹建县老科协等活动及省上参加秘书长会及省老科协年度会议，在学校实施各类公益活动。</w:t>
            </w:r>
          </w:p>
        </w:tc>
      </w:tr>
      <w:tr w14:paraId="5D7CF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509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5F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1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16B8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参与协会学会完成资助35名困难高中生，发放助学金70000元；什邡市老科协推广的彩色花油菜试种；举办了农业牧业林业，卫生，康养等培训共5次，参加群众300多人次；参与四川省公益发展基金会的“致美四川.健康凉山”活动，开展基础卫生知识、爱牙护牙、男女生理卫生健康、防艾禁毒、科技启蒙等课程，活动总受益的学生共4138人，检查技术成本和捐赠物资价值总计约110万元；参与凉山州庆祝第九个“全国科技工作者日”活动，组织了州一医院分会多位主任医师现场义诊，共为300多人次提供义诊和咨询服务，发放《发展新质生产力，科技创新作引领》等11种、2300多份科普材料等。</w:t>
            </w:r>
          </w:p>
        </w:tc>
      </w:tr>
      <w:tr w14:paraId="4CC43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4E9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CB2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EF9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64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5D36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4E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956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CFC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F7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F52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7E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921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6B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FE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D9A6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0EB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FDC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B19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960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2F807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662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73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43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F7C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EA05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35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EA5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157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549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3AA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CA6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DF4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E6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16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4C34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A59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00F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5F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0C7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EC8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6AC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F85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FC5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4C4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3055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D40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16B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77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E68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F34B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61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51F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A7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2F0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12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3C7A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CDD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2F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994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3B0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1602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E36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DC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48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B1D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53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F67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022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D4F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6E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09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ABA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081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C03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E74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2A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B9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资助贫困生人数</w:t>
            </w:r>
          </w:p>
        </w:tc>
        <w:tc>
          <w:tcPr>
            <w:tcW w:w="29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184A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8" w:space="0"/>
              <w:left w:val="nil"/>
              <w:bottom w:val="single" w:color="000000" w:sz="8" w:space="0"/>
              <w:right w:val="single" w:color="000000" w:sz="8" w:space="0"/>
            </w:tcBorders>
            <w:shd w:val="clear" w:color="auto" w:fill="auto"/>
            <w:vAlign w:val="center"/>
          </w:tcPr>
          <w:p w14:paraId="4F2376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17" w:type="pct"/>
            <w:gridSpan w:val="2"/>
            <w:tcBorders>
              <w:top w:val="single" w:color="000000" w:sz="8" w:space="0"/>
              <w:left w:val="nil"/>
              <w:bottom w:val="single" w:color="000000" w:sz="8" w:space="0"/>
              <w:right w:val="single" w:color="000000" w:sz="8" w:space="0"/>
            </w:tcBorders>
            <w:shd w:val="clear" w:color="auto" w:fill="auto"/>
            <w:vAlign w:val="center"/>
          </w:tcPr>
          <w:p w14:paraId="653289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人次</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76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35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C0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63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DD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A94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1CB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D6F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2C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C0A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工作完成合格率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CF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58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86B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68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96</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4AB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0D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6A7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7346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9D5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F98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83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59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年度12月前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1A3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9C2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D27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159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D91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A8A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18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5F43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01B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B30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DC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275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老科技工作者发挥余热开展各项工作</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C2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F82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发挥老科技工作者长期积累的科技知识所长，继续为科普宣传、党建工作、乡村振兴等服务</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F28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群次</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BA8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发挥老科技工作者长期积累的科技知识所长，继续为科普宣传、党建工作、乡村振兴等服务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2E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19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26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46A6E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1B9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6BC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7B4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03B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发挥老科技工作者长期积累的科技知识所长，继续为科普宣传、党建工作、乡村振兴等服务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A99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5E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F8D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B2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1AD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ACF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77B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57D2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887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94A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C2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43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各社会群体及州科协领导满意度可达95%左右。</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F8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930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FC9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21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78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8B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BC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5B001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18E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0D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777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09E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州老科协开展各项工作年所需经费</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F0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4C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619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F94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BBC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72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05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5118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81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BB8E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49D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04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486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5D76A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951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8"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2444A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过程规范、有序，取得了显著成效，达到了预期目标。我们从产出、效益、满意度指标等进行了逐项认真的打分，预算执行率100%，执行情况良好。但因受资金短缺等限制，科普等工作的开展深度和广度不够，短期内收效不明显，满意度方面不能达到预期目的，故自评扣分2分、得分98分。</w:t>
            </w:r>
          </w:p>
        </w:tc>
      </w:tr>
      <w:tr w14:paraId="2C5CF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388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8"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001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由于经费有限，参与资助贫困学生和助力乡村振兴，参与致美四川健康凉山活动受限。科普宣传深度广度不够，未达到预期目的。</w:t>
            </w:r>
          </w:p>
        </w:tc>
      </w:tr>
      <w:tr w14:paraId="1F85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19D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8"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A7BC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建议合理增加老科协科普经费，用于开展科学技术普及和科技成果推广。</w:t>
            </w:r>
          </w:p>
        </w:tc>
      </w:tr>
      <w:tr w14:paraId="68774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226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625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项目负责人：黄发元</w:t>
            </w:r>
          </w:p>
        </w:tc>
        <w:tc>
          <w:tcPr>
            <w:tcW w:w="273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FD86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2F7F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26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3285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273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5843A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p>
          <w:p w14:paraId="6A155FFB">
            <w:pPr>
              <w:pStyle w:val="2"/>
              <w:keepNext w:val="0"/>
              <w:keepLines w:val="0"/>
              <w:suppressLineNumbers w:val="0"/>
              <w:spacing w:before="0" w:beforeAutospacing="0" w:after="0" w:afterAutospacing="0"/>
              <w:ind w:left="0" w:right="0"/>
              <w:rPr>
                <w:rFonts w:hint="default"/>
                <w:lang w:val="en-US" w:eastAsia="zh-CN"/>
              </w:rPr>
            </w:pPr>
          </w:p>
        </w:tc>
      </w:tr>
    </w:tbl>
    <w:tbl>
      <w:tblPr>
        <w:tblStyle w:val="19"/>
        <w:tblW w:w="533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6"/>
        <w:gridCol w:w="962"/>
        <w:gridCol w:w="744"/>
        <w:gridCol w:w="1471"/>
        <w:gridCol w:w="681"/>
        <w:gridCol w:w="1164"/>
        <w:gridCol w:w="660"/>
        <w:gridCol w:w="1296"/>
        <w:gridCol w:w="528"/>
        <w:gridCol w:w="708"/>
        <w:gridCol w:w="1388"/>
      </w:tblGrid>
      <w:tr w14:paraId="758EE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682BF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096B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87442">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2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0E68CC">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51340022T000000278904-科普宣传活动业务经费</w:t>
            </w:r>
          </w:p>
        </w:tc>
      </w:tr>
      <w:tr w14:paraId="452E3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6" w:hRule="atLeast"/>
          <w:jc w:val="center"/>
        </w:trPr>
        <w:tc>
          <w:tcPr>
            <w:tcW w:w="7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2154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30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8EEA3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633" w:type="pct"/>
            <w:tcBorders>
              <w:top w:val="nil"/>
              <w:left w:val="nil"/>
              <w:bottom w:val="nil"/>
              <w:right w:val="nil"/>
            </w:tcBorders>
            <w:shd w:val="clear" w:color="auto" w:fill="auto"/>
            <w:vAlign w:val="center"/>
          </w:tcPr>
          <w:p w14:paraId="4C710047">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12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DF91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369C3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296E8">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52902">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30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B6AF2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91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66CC7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4FB2C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3425B">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C5AD3">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30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F684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以青少年科技创新大赛为抓手，培养青少年科技创新精神和实践能力；组织全州科技辅导员参加培训交流学习，开阔视野，提升科技辅导员队伍素质，推动凉山中小学校科技教育事业的健康发展。</w:t>
            </w:r>
          </w:p>
        </w:tc>
        <w:tc>
          <w:tcPr>
            <w:tcW w:w="191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F59DB9">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以青少年科技创新大赛为抓手，培养青少年科技创新精神和实践能力；组织全州科技辅导员参加培训交流学习，开阔视野，提升科技辅导员队伍素质，推动凉山中小学校科技教育事业的健康发展。</w:t>
            </w:r>
          </w:p>
        </w:tc>
      </w:tr>
      <w:tr w14:paraId="1E7C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C9BD6">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FD17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2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84A917">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举办2025年科技辅导员能力提升培训班培训160余名科技辅导员；举办第40届凉山州青少年科技创新大赛，初评评审作品1026项，确定入围终评项目759项；依托智慧书柜开展常年科普阅读活动。</w:t>
            </w:r>
          </w:p>
        </w:tc>
      </w:tr>
      <w:tr w14:paraId="2279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AADD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937F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5FB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934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EF86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566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1F3A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955F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84BC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81FD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9AC4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9F7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65F8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6DDC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D536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2A6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A071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2CD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BC6D83">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07EF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9AA5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2733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86FE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900B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F8E2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12.00</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C85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32C7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CC4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4FFDF">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37232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9A82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0B34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E38E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7C9A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8C68E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FA7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D8A0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9E93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E877">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76429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BC2B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68C0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74EF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DB6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1496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1589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0D1C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DFE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F9A52">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7726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07A0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74B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3D1B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8044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122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3BB4C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CB3A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7873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7EF5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C970">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5544C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DD13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9F4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E72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27BB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C3E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208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F06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19A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8F08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A76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47AD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7A07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0E69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803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39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CAE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举办第40届凉山州青少年科创大赛初赛参加学生人数</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B67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1E0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91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万人</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15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32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000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BE9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1DE42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F442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76AE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742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D63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举办第40届凉山州青少年科创大赛专家初评作品达标率</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EF5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912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CF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1B2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96</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AD6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D34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80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30AB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F061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9953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93E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843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举办第40届凉山州青少年科创大赛初赛完成时间</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4E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48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99C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C0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1</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66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7CB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094F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6BF58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9B07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929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B00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9E8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举办第40届凉山州青少年科创大赛初赛社会效益</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0AC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1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组织全州科技辅导员参加培训交流学习提升科技辅导员队伍素质，推动凉山中小学校科技教育事业的健康发展</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43B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ADD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组织全州科技辅导员参加培训交流学习提升科技辅导员队伍素质，推动凉山中小学校科技教育事业的健康发展</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EFF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34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15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短期内收效不明显，扣1分。</w:t>
            </w:r>
          </w:p>
        </w:tc>
      </w:tr>
      <w:tr w14:paraId="39E61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7BF5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80D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AAE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1F0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举办第40届凉山州青少年科创大赛初赛可影响</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FE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889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FE2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8B7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CBC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79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4FDF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C050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3B96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B3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1F1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9C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参加学生及其家长满意度</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F8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022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FE2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00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9A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E5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D69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满意度和影响力方面不能达到预期目的扣2分。</w:t>
            </w:r>
          </w:p>
        </w:tc>
      </w:tr>
      <w:tr w14:paraId="4D579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2769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E50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4D2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F1D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预计举办第40届凉山州青少年科创大赛初赛年所需费用</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90C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25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DE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6B6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A2C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1AC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AF7F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A734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1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B2B4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3D8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56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337A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56A44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F45F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9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9F4A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本次项目实施过程规范、有序，取得了显著成效，达到了预期目标。我们从产出、效益、满意度指标等进行了逐项认真的打分，预算执行率100%，执行情况良好。但因受资金短缺等限制，学习的深度和广度不够，短期内收效不明显，满意度和影响力方面不能达到预期目的，故自评扣分3分、得分97分。</w:t>
            </w:r>
          </w:p>
        </w:tc>
      </w:tr>
      <w:tr w14:paraId="1682F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EE4F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9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917F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由于经费有限，学习培训及相关科普活动形式和内容都较传统、单一，创新度不够，不能很好顺应科技发展的新形势和公众需求。</w:t>
            </w:r>
          </w:p>
        </w:tc>
      </w:tr>
      <w:tr w14:paraId="72099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C0D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9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E0CA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青少年科学兴趣的培养和公民科学素质的提高，是实施科技强国的基础性工程，建议合理增加科普经费，用于开展青少年科技创新及科学普及活动。</w:t>
            </w:r>
          </w:p>
        </w:tc>
      </w:tr>
      <w:tr w14:paraId="3E5CA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78B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项目负责人：吴朝兰</w:t>
            </w:r>
          </w:p>
        </w:tc>
        <w:tc>
          <w:tcPr>
            <w:tcW w:w="28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D79C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bl>
    <w:p w14:paraId="61DD67AE">
      <w:pPr>
        <w:snapToGrid w:val="0"/>
        <w:rPr>
          <w:rFonts w:hint="default" w:ascii="Times New Roman" w:hAnsi="Times New Roman" w:eastAsia="宋体" w:cs="Times New Roman"/>
          <w:i w:val="0"/>
          <w:iCs w:val="0"/>
          <w:color w:val="000000"/>
          <w:sz w:val="18"/>
          <w:szCs w:val="18"/>
          <w:u w:val="none"/>
        </w:rPr>
        <w:sectPr>
          <w:footerReference r:id="rId6" w:type="first"/>
          <w:footerReference r:id="rId5" w:type="default"/>
          <w:pgSz w:w="11906" w:h="16838"/>
          <w:pgMar w:top="1213" w:right="1179" w:bottom="1213" w:left="1349" w:header="851" w:footer="992" w:gutter="0"/>
          <w:pgNumType w:fmt="decimal" w:start="1"/>
          <w:cols w:space="0" w:num="1"/>
          <w:titlePg/>
          <w:rtlGutter w:val="0"/>
          <w:docGrid w:type="lines" w:linePitch="312" w:charSpace="0"/>
        </w:sectPr>
      </w:pPr>
    </w:p>
    <w:tbl>
      <w:tblPr>
        <w:tblStyle w:val="19"/>
        <w:tblW w:w="533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6"/>
        <w:gridCol w:w="962"/>
        <w:gridCol w:w="744"/>
        <w:gridCol w:w="1471"/>
        <w:gridCol w:w="681"/>
        <w:gridCol w:w="1332"/>
        <w:gridCol w:w="612"/>
        <w:gridCol w:w="1860"/>
        <w:gridCol w:w="468"/>
        <w:gridCol w:w="636"/>
        <w:gridCol w:w="836"/>
      </w:tblGrid>
      <w:tr w14:paraId="1166E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AFFE3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部门预算项目支出绩效自评表（2025年度）</w:t>
            </w:r>
          </w:p>
        </w:tc>
      </w:tr>
      <w:tr w14:paraId="2330B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2244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2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85BE0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51340022T000000278905-凉山州全民科学素质提升专项</w:t>
            </w:r>
          </w:p>
        </w:tc>
      </w:tr>
      <w:tr w14:paraId="161F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8724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36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8069F4">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909" w:type="pct"/>
            <w:tcBorders>
              <w:top w:val="nil"/>
              <w:left w:val="nil"/>
              <w:bottom w:val="nil"/>
              <w:right w:val="nil"/>
            </w:tcBorders>
            <w:shd w:val="clear" w:color="auto" w:fill="auto"/>
            <w:vAlign w:val="center"/>
          </w:tcPr>
          <w:p w14:paraId="0C01B3E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94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4638B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2CDBC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113FC">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0ACA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36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7B032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5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3789E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32745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D3A5F">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B3785">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36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E30E3">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依据中央贯彻实施《全民科学素质行动纲要》等决策部署，省委、省政府制定和实施“十四五”时期全省明确了今后五年将经济建设、科技创新、乡村振兴作为社会发展的主要目标规划。项目能够实现传播科学思想，普及科技知识，提高公众科学素质，助力全州乡村振兴，更好为科技工作者、创新驱动发展、党和政府科学决策服务、为凉山经济社会发展服务。</w:t>
            </w:r>
          </w:p>
        </w:tc>
        <w:tc>
          <w:tcPr>
            <w:tcW w:w="185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89C16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依据中央贯彻实施《全民科学素质行动纲要》等决策部署，省委、省政府制定和实施“十四五”时期全省明确了今后五年将经济建设、科技创新、乡村振兴作为社会发展的主要目标规划。项目能够实现传播科学思想，普及科技知识，提高公众科学素质，助力全州乡村振兴，更好为科技工作者、创新驱动发展、党和政府科学决策服务、为凉山经济社会发展服务。</w:t>
            </w:r>
          </w:p>
        </w:tc>
      </w:tr>
      <w:tr w14:paraId="41E1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A48C">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48C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2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AD75F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项目实施以提高全民科学素质服务高质量发展为目标，开展科学普及、素质提升、科普活动进机关、进乡村、进学校、进企事业、进社区等全民科学素质提升相关工作。</w:t>
            </w:r>
          </w:p>
        </w:tc>
      </w:tr>
      <w:tr w14:paraId="61645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3D27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31E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E28A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41E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E2B31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0DF2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5E4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1870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BB3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A56C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AB8D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F8F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723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14.57</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827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14.57</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8E80B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14.57</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E28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EE8E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105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5D463">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13B25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BFB1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36EC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8EDE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14.57</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D2B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14.57</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5440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14.57</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8C2F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1647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EDF2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845ED">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249FF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0692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D9A1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F3C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13A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EE43E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7EDE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2751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3C3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B9583">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0972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71AE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FB33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459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89D4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D9A60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6E9E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4CD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25BD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0FA11">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2806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7570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8A7C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0BF0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F4B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8A8BA">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4C72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6B0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3635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1399">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021F4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4AB9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7F9B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E3D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F0D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5DB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49E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CE7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BD5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211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AE19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6B5B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4AC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6E4A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090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B18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6A0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年度内开展科学普及、素质调查等相关工作；开展科普“五进”活动；召开相关会议三项工作。</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8CB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B4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6A4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9FD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79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5D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18B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0BA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491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D67B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BC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FA2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各项工作单位考核合格率90%以上</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5FE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7C6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EE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C5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3A1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68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7109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8059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1769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105C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4D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912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年度12月前</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5F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F9C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5FF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9AA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FF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C8D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72BF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CBF6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1A6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415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3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53D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年度完成全民科学素质提升社会效益</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69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596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传播科学思想，普及科技知识，提高公众科学素质，助力全州乡村振兴。</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345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F6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传播科学思想，普及科技知识，提高公众科学素质，助力全州乡村振兴。</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C4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97E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D6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提升全民科学素质深度广度不够，扣2分</w:t>
            </w:r>
          </w:p>
        </w:tc>
      </w:tr>
      <w:tr w14:paraId="2B18E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A664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B44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2CB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E05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年度完成全民科学素质提升影响力</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C18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FA2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D2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77E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F3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5E8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125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57453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9C20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E5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6CF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2B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政府各部门、</w:t>
            </w:r>
            <w:r>
              <w:rPr>
                <w:rFonts w:hint="eastAsia" w:cs="Times New Roman"/>
                <w:i w:val="0"/>
                <w:iCs w:val="0"/>
                <w:color w:val="000000"/>
                <w:kern w:val="0"/>
                <w:sz w:val="18"/>
                <w:szCs w:val="18"/>
                <w:u w:val="none"/>
                <w:lang w:val="en-US" w:eastAsia="zh-CN" w:bidi="ar"/>
              </w:rPr>
              <w:t>群众</w:t>
            </w:r>
            <w:r>
              <w:rPr>
                <w:rFonts w:hint="default" w:ascii="Times New Roman" w:hAnsi="Times New Roman" w:eastAsia="宋体" w:cs="Times New Roman"/>
                <w:i w:val="0"/>
                <w:iCs w:val="0"/>
                <w:color w:val="000000"/>
                <w:kern w:val="0"/>
                <w:sz w:val="18"/>
                <w:szCs w:val="18"/>
                <w:u w:val="none"/>
                <w:lang w:val="en-US" w:eastAsia="zh-CN" w:bidi="ar"/>
              </w:rPr>
              <w:t>满意度。</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E0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3B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AB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8F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20D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210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3EC7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7626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1990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F3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55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21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年度完成全民科学素质提升所需费用</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569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34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14.569</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955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1E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14.569</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202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82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520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r>
      <w:tr w14:paraId="6945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051"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5E1D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04E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ACC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446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68B4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AAB0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9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2A4B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丰富多样的科普活动，努力提升全民科学素质高质量发展。从项目的立项政策依据、项目实施管理办法、专用指标和个性指标设置评定、完成结果将产生的经济效益、社会效益、可持续效益、服务对象满意度等进行了以上综述，据实据效、客观公正进行综合评估。自评扣分2分、得分98分。</w:t>
            </w:r>
          </w:p>
        </w:tc>
      </w:tr>
      <w:tr w14:paraId="2C13B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71B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9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5B27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项目资金偏少，在一定程度上制约了项目在当年实施完成进度。</w:t>
            </w:r>
          </w:p>
        </w:tc>
      </w:tr>
      <w:tr w14:paraId="08191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CA4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9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6DB6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建议合理增加科普经费，用于进一步提升全民科学素质提升。</w:t>
            </w:r>
          </w:p>
        </w:tc>
      </w:tr>
      <w:tr w14:paraId="570DE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219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1712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项目负责人：何剑</w:t>
            </w:r>
          </w:p>
        </w:tc>
        <w:tc>
          <w:tcPr>
            <w:tcW w:w="28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322A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bl>
    <w:p w14:paraId="5B87FE30">
      <w:pPr>
        <w:snapToGrid w:val="0"/>
        <w:rPr>
          <w:rFonts w:hint="default" w:ascii="Times New Roman" w:hAnsi="Times New Roman" w:eastAsia="宋体" w:cs="Times New Roman"/>
          <w:i w:val="0"/>
          <w:iCs w:val="0"/>
          <w:color w:val="000000"/>
          <w:sz w:val="18"/>
          <w:szCs w:val="18"/>
          <w:u w:val="none"/>
        </w:rPr>
        <w:sectPr>
          <w:pgSz w:w="11906" w:h="16838"/>
          <w:pgMar w:top="1213" w:right="1179" w:bottom="1213" w:left="1349" w:header="851" w:footer="992" w:gutter="0"/>
          <w:pgNumType w:fmt="decimal"/>
          <w:cols w:space="0" w:num="1"/>
          <w:titlePg/>
          <w:rtlGutter w:val="0"/>
          <w:docGrid w:type="lines" w:linePitch="312" w:charSpace="0"/>
        </w:sectPr>
      </w:pPr>
    </w:p>
    <w:tbl>
      <w:tblPr>
        <w:tblStyle w:val="19"/>
        <w:tblW w:w="53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6"/>
        <w:gridCol w:w="962"/>
        <w:gridCol w:w="1094"/>
        <w:gridCol w:w="1802"/>
        <w:gridCol w:w="82"/>
        <w:gridCol w:w="516"/>
        <w:gridCol w:w="898"/>
        <w:gridCol w:w="448"/>
        <w:gridCol w:w="164"/>
        <w:gridCol w:w="1696"/>
        <w:gridCol w:w="164"/>
        <w:gridCol w:w="304"/>
        <w:gridCol w:w="164"/>
        <w:gridCol w:w="472"/>
        <w:gridCol w:w="164"/>
        <w:gridCol w:w="734"/>
      </w:tblGrid>
      <w:tr w14:paraId="5086B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67B1E1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10E93C7D">
            <w:pPr>
              <w:pStyle w:val="2"/>
              <w:keepNext w:val="0"/>
              <w:keepLines w:val="0"/>
              <w:suppressLineNumbers w:val="0"/>
              <w:spacing w:before="0" w:beforeAutospacing="0" w:after="0" w:afterAutospacing="0"/>
              <w:ind w:left="0" w:right="0"/>
              <w:rPr>
                <w:rFonts w:hint="default"/>
                <w:lang w:val="en-US" w:eastAsia="zh-CN"/>
              </w:rPr>
            </w:pPr>
          </w:p>
          <w:p w14:paraId="0CFD0B3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部门预算项目支出绩效自评表（2025年度）</w:t>
            </w:r>
          </w:p>
        </w:tc>
      </w:tr>
      <w:tr w14:paraId="4E41B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jc w:val="center"/>
        </w:trPr>
        <w:tc>
          <w:tcPr>
            <w:tcW w:w="7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96A7D">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28"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C7DC4A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51340022T000000278908-凉山州级科普专项经费</w:t>
            </w:r>
          </w:p>
        </w:tc>
      </w:tr>
      <w:tr w14:paraId="07608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CB5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3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524B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903" w:type="pct"/>
            <w:gridSpan w:val="2"/>
            <w:tcBorders>
              <w:top w:val="nil"/>
              <w:left w:val="nil"/>
              <w:bottom w:val="nil"/>
              <w:right w:val="nil"/>
            </w:tcBorders>
            <w:shd w:val="clear" w:color="auto" w:fill="auto"/>
            <w:vAlign w:val="center"/>
          </w:tcPr>
          <w:p w14:paraId="0555FE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97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5CE0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31B3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ACC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9B5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3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A215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7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961C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70DDE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E6D8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5192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384E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依据州委州政府和省科协下达的年度重点工作任务，围绕省科协“天府科技云”重点项目，继续深入开展学术交流，传播科学思想，普及科技知识，推广先进技术，提高公众科学素质，表彰奖励优秀科技工作者，助力全州乡村振兴，维护视讯中心、互联网+科普平台建设网络运行，维护公共科普科服及各项目运维工作；实施学会能力提升计划、活动；组织开展青少年科技创新教育活动、院士(专家)工作站及企事业科协建设；组织全州科协系统干部能力提升培训，参加中国科协、省科协及相关部门业务学习及培训；开展科技小院建设；巩固乡村振兴各项工作，更好为凉山经济社会发展服务。</w:t>
            </w:r>
          </w:p>
        </w:tc>
        <w:tc>
          <w:tcPr>
            <w:tcW w:w="187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4C34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依据州委州政府和省科协下达的年度重点工作任务，围绕省科协“天府科技云”重点项目，继续深入开展学术交流，传播科学思想，普及科技知识，推广先进技术，提高公众科学素质，表彰奖励优秀科技工作者，助力全州乡村振兴，维护视讯中心、互联网+科普平台建设网络运行，维护公共科普科服及各项目运维工作；实施学会能力提升计划、活动；组织开展青少年科技创新教育活动、院士(专家)工作站及企事业科协建设；组织全州科协系统干部能力提升培训，参加中国科协、省科协及相关部门业务学习及培训；开展科技小院建设；巩固乡村振兴各项工作，更好为凉山经济社会发展服务。</w:t>
            </w:r>
          </w:p>
        </w:tc>
      </w:tr>
      <w:tr w14:paraId="21DD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14A6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E81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28"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7E53D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完成了组织全州科协系统干部能力提升培训；继续推进档案整理数字化建设；前往甘洛、越西、喜德等县（市）科协调研天府科技云工作；开展天府科技云科普创作行动；推动国家级科技小院、州级科技小院建设；完成木里科技馆筹备、盐源科技馆建设及金阳流动科技馆布展；组织开展“天府科普（研学）游”培训；积极开展院士（专家）工作站评审工作；开展“科学家（精神）进校园”活动；乡村振兴驻村第一书记牵头完成养殖技术培训等工作</w:t>
            </w:r>
          </w:p>
        </w:tc>
      </w:tr>
      <w:tr w14:paraId="1D4B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500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8E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45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429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7646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F1E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DD2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B00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445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A9E1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8251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B4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574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D29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9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864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96A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56B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4F4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3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29B4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C133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7372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008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157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9B4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9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BCB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637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FAD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0F9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591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5DC7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698B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CA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21E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BD0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695F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00A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EB7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D02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042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BF49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4F0A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39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53F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03F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608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0AA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3B9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95A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D5DF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1287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9F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4D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8EE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3E4C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9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1C1A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D3B9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841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883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2C60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A354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BF7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1D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55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DD73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D4F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82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CA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FD7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10C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FF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94D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7E2D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1CC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B35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B5C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791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共由7个大项目组成</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4C0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A4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FC3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个（套）</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E7C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047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FB7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2AE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172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F64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A80F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EE5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B13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7个大项目经各职能科室精心策划，较高质量提请党组集体论的工作安排。</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A28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7C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98E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4B2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DB3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652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D265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03641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FA06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1087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7D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CB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2025年1-12月完成</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9D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D5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4E2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752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150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5EB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503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17B3D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68E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867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08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812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组织全州科技人员和科普志愿者开展宣传科普知识、科普主题活动；在全州贫困地区开展科普进农民夜校工作，传播科学思想、倡导科学方法，激发群众的内生动力，助力乡村振兴。</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86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6E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27B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F93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DEF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2AE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C6E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基层科普队伍薄弱社会效益不显著扣1分</w:t>
            </w:r>
          </w:p>
        </w:tc>
      </w:tr>
      <w:tr w14:paraId="5AE9F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46F6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3A37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8D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231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影响力</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5A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35A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ACC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311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103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454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F5D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6E3D4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4AD3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DEA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27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C7F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相关部门、群众满意度能够达到95%左右。</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7D0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DA0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47D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C5F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328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E83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F2D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满意度不能达预期目的扣2分</w:t>
            </w:r>
          </w:p>
        </w:tc>
      </w:tr>
      <w:tr w14:paraId="3CE0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5C07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D0A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5DE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91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0DB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年度各项项目成本</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34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A2E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29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443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9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CC9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198.93</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53A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B2A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A4B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600F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02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00DD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557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98D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w:t>
            </w:r>
          </w:p>
        </w:tc>
        <w:tc>
          <w:tcPr>
            <w:tcW w:w="4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9BE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292C9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C0A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95"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54532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年度完成了公共服务及基础设施运行、“天府科技云服务”日常工作推进、学会能力提升计划、人才举荐院士（专家）工作站评审、青少年科技创新教育活动和乡村振兴科普宣传培训等项目工作。预算执行率100%，从社会效益、可持续效益、服务对象满意度等进行了综述，据实据效客观公正进行综合评价。自评扣分3分，得分97分。</w:t>
            </w:r>
          </w:p>
        </w:tc>
      </w:tr>
      <w:tr w14:paraId="53045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5D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95"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1339A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因受资金短缺制约，受益群众有限，满意度不能达预期目的，基层科普队伍薄弱。</w:t>
            </w:r>
          </w:p>
        </w:tc>
      </w:tr>
      <w:tr w14:paraId="5DB58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1C2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95"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7205F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广泛吸纳社会力量，强化培训赋能，持续壮大基层科普队伍；合理争取项目资金投入，让更多的群众受益，提高预期目的；扩大重点群众覆盖率，优化科普活动方案，针对老年人群体开展科普宣传活动。</w:t>
            </w:r>
          </w:p>
        </w:tc>
      </w:tr>
      <w:tr w14:paraId="26FE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jc w:val="center"/>
        </w:trPr>
        <w:tc>
          <w:tcPr>
            <w:tcW w:w="217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412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项目负责人：吴家英、吴朝兰、李红、齐雯、余敏</w:t>
            </w:r>
          </w:p>
        </w:tc>
        <w:tc>
          <w:tcPr>
            <w:tcW w:w="2821"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B25C0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bl>
    <w:p w14:paraId="11C94FC7">
      <w:pPr>
        <w:snapToGrid w:val="0"/>
        <w:rPr>
          <w:rFonts w:hint="default" w:ascii="Times New Roman" w:hAnsi="Times New Roman" w:eastAsia="宋体" w:cs="Times New Roman"/>
          <w:i w:val="0"/>
          <w:iCs w:val="0"/>
          <w:color w:val="000000"/>
          <w:sz w:val="18"/>
          <w:szCs w:val="18"/>
          <w:u w:val="none"/>
        </w:rPr>
        <w:sectPr>
          <w:type w:val="continuous"/>
          <w:pgSz w:w="11906" w:h="16838"/>
          <w:pgMar w:top="1213" w:right="1179" w:bottom="1213" w:left="1349" w:header="851" w:footer="992" w:gutter="0"/>
          <w:pgNumType w:fmt="decimal"/>
          <w:cols w:space="0" w:num="1"/>
          <w:titlePg/>
          <w:rtlGutter w:val="0"/>
          <w:docGrid w:type="lines" w:linePitch="312" w:charSpace="0"/>
        </w:sectPr>
      </w:pPr>
    </w:p>
    <w:tbl>
      <w:tblPr>
        <w:tblStyle w:val="19"/>
        <w:tblW w:w="574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6"/>
        <w:gridCol w:w="962"/>
        <w:gridCol w:w="884"/>
        <w:gridCol w:w="1470"/>
        <w:gridCol w:w="542"/>
        <w:gridCol w:w="118"/>
        <w:gridCol w:w="502"/>
        <w:gridCol w:w="180"/>
        <w:gridCol w:w="930"/>
        <w:gridCol w:w="113"/>
        <w:gridCol w:w="472"/>
        <w:gridCol w:w="1530"/>
        <w:gridCol w:w="507"/>
        <w:gridCol w:w="444"/>
        <w:gridCol w:w="1734"/>
      </w:tblGrid>
      <w:tr w14:paraId="03045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6409D6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341B3E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7498B7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5F83EC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778D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F6E90">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1207653">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51340022T000005849018-省级科普专项资金</w:t>
            </w:r>
          </w:p>
        </w:tc>
      </w:tr>
      <w:tr w14:paraId="4797A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E4120">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9B1007">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C25FC2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35F53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0BE62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1EA4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69F1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B5C2D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BF214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685C1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216DC">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97FFF">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70E51C">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年度中央和省级科普科服各项专项费用。完成天府科技云重点项目、科普宣传、科普阵地建设、科学研学实践活动等。以科技助推凉山巩固拓展脱贫攻坚成果接续乡村振兴，为建设社会主义现代化凉山新篇章作出应有贡献。</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D0044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年度中央和省级科普科服各项专项费用。完成天府科技云重点项目、科普宣传、科普阵地建设、科学研学实践活动等。以科技助推凉山巩固拓展脱贫攻坚成果接续乡村振兴，为建设社会主义现代化凉山新篇章作出应有贡献。</w:t>
            </w:r>
          </w:p>
        </w:tc>
      </w:tr>
      <w:tr w14:paraId="7D7B6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6ECE9">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AA13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65AA4D8">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r>
              <w:rPr>
                <w:rFonts w:hint="default" w:ascii="Times New Roman" w:hAnsi="Times New Roman" w:cs="Times New Roman"/>
                <w:i w:val="0"/>
                <w:iCs w:val="0"/>
                <w:color w:val="000000"/>
                <w:kern w:val="0"/>
                <w:sz w:val="18"/>
                <w:szCs w:val="18"/>
                <w:u w:val="none"/>
                <w:lang w:val="en-US" w:eastAsia="zh-CN" w:bidi="ar"/>
              </w:rPr>
              <w:t>年度</w:t>
            </w:r>
            <w:r>
              <w:rPr>
                <w:rFonts w:hint="default" w:ascii="Times New Roman" w:hAnsi="Times New Roman" w:eastAsia="宋体" w:cs="Times New Roman"/>
                <w:i w:val="0"/>
                <w:iCs w:val="0"/>
                <w:color w:val="000000"/>
                <w:kern w:val="0"/>
                <w:sz w:val="18"/>
                <w:szCs w:val="18"/>
                <w:u w:val="none"/>
                <w:lang w:val="en-US" w:eastAsia="zh-CN" w:bidi="ar"/>
              </w:rPr>
              <w:t>完成</w:t>
            </w:r>
            <w:r>
              <w:rPr>
                <w:rFonts w:hint="default" w:ascii="Times New Roman" w:hAnsi="Times New Roman" w:cs="Times New Roman"/>
                <w:i w:val="0"/>
                <w:iCs w:val="0"/>
                <w:color w:val="000000"/>
                <w:kern w:val="0"/>
                <w:sz w:val="18"/>
                <w:szCs w:val="18"/>
                <w:u w:val="none"/>
                <w:lang w:val="en-US" w:eastAsia="zh-CN" w:bidi="ar"/>
              </w:rPr>
              <w:t>了</w:t>
            </w:r>
            <w:r>
              <w:rPr>
                <w:rFonts w:hint="default" w:ascii="Times New Roman" w:hAnsi="Times New Roman" w:eastAsia="宋体" w:cs="Times New Roman"/>
                <w:i w:val="0"/>
                <w:iCs w:val="0"/>
                <w:color w:val="000000"/>
                <w:kern w:val="0"/>
                <w:sz w:val="18"/>
                <w:szCs w:val="18"/>
                <w:u w:val="none"/>
                <w:lang w:val="en-US" w:eastAsia="zh-CN" w:bidi="ar"/>
              </w:rPr>
              <w:t>天府科技云重点项目、科普宣传、科普阵地建设、科学研学实践活动等。以科技助推凉山巩固拓展脱贫攻坚成果接续乡村振兴，为建设社会主义现代化凉山新篇章作出应有贡献。</w:t>
            </w:r>
          </w:p>
        </w:tc>
      </w:tr>
      <w:tr w14:paraId="5E22E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5804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93B2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20A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2C5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5B29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F3E5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77FF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A15F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BCC2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C39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C426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60C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379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B7F1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498.30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5B6B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436.76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F8F3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87.65%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B5CC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2483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F24BF">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预算执行率未达90%，是因省级科普专项资金第二批次69.52万元2025年12月15日才下拨到位，此款仅支付“天府科普（研学）游”项目资金7.98万元，余款61.54万元结转下年专款专用。扣分1分</w:t>
            </w:r>
          </w:p>
        </w:tc>
      </w:tr>
      <w:tr w14:paraId="7E923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0F070">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00EC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6F37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77F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498.30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BAEC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436.76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4BCF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87.65%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A0C8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A4F8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CAE0C">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6E6D4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2359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0CE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35FF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DEE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65FC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0EB1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C35F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0805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86308">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504A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BC4D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EE2B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165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798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0A9EF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2918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EE7D7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9AEA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20B9F">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62873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1334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429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71D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227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BAC8F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D869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F84D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F013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19F54">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0495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BF03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71D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F9AE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B9C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A8D1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191B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4192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F57B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AF35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03F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B54A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D74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42583">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674B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C521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2FF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委托专业机构对场地的设计布置及网络维护等达标率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16B3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176B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68A9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A74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2FC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0F0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B015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58000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4E5B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1F51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8D3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9601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年度科普科服各项目任务完成时间</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3C41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EB66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7960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0BD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8E0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F0B0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F6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6E772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EB52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E7C3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A0F6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E54D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预计促成科技服务、成果转化、科研项目承接</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8C7B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B3615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0FE7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91F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F82A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F9A8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1F4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26F4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F3FD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33D0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332F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BBD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流动科普设施年服务观众总量</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1921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9EDE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B47B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亿人次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E87D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801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FE9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7CB8C">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79AFD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FCDF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939F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1F32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7EB5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科技人员</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D9EB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753A9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BE45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F35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B222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47FE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A92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满意度未完全达到设定目标，扣1分</w:t>
            </w:r>
          </w:p>
        </w:tc>
      </w:tr>
      <w:tr w14:paraId="062B4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6E32">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DD4B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0DDE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BFE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所需经济成本</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B4F3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CBFF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498.3</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8437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0B6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436.76</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0BF7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C75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01A8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r>
      <w:tr w14:paraId="40AE4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88652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6969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0BEF9">
            <w:pPr>
              <w:keepNext w:val="0"/>
              <w:keepLines w:val="0"/>
              <w:widowControl/>
              <w:suppressLineNumbers w:val="0"/>
              <w:snapToGrid w:val="0"/>
              <w:spacing w:before="0" w:beforeAutospacing="0" w:after="0" w:afterAutospacing="0"/>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F550D">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r>
      <w:tr w14:paraId="03D92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A8A3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C766D52">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完成省科协下达的“天府科技云”各项工作、创新制作动画沙画原创特色科普作品、拍摄“科普大咖说”合自评情况，开展科普示范单位、科普阵地创建等等任务，从项目的立项政策依据、项目实施管理办法、专用指标和个性指标设置评定、完成结果所产生的经济效益、社会效益、可持续效益、服务对象满意度等据实据效、客观公正进行综合评价，因预算执行率未达100%，民生保障项目群众实际满意度未完全达到设定目标，故总体自评扣分2分，得分98分。</w:t>
            </w:r>
          </w:p>
        </w:tc>
      </w:tr>
      <w:tr w14:paraId="1D534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90D6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0576ED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批次项目资金到位时间太晚（2025年12月中旬才拨入），是制约项目在当年实施完成的最主要因素；项目组跟踪问效有待跟进，少许项目推进滞后，影响支付进度；科普经费投入较少制约，部分项目开展深度广度受限，服务对象满意度达不到预期目标。</w:t>
            </w:r>
          </w:p>
        </w:tc>
      </w:tr>
      <w:tr w14:paraId="4399A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7780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CCFE0A3">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建议相关部门提早谋划布置拨付资金；项目组应加强对项目进度的关注及时支付项目资金；科普工作需要大量的人力、物力和财力的投入，上级部门适当加大对经费的投入。 </w:t>
            </w:r>
          </w:p>
        </w:tc>
      </w:tr>
      <w:tr w14:paraId="5125D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3"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1DB5B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项目负责人：吴家英、何剑、邓伟、吴朝兰、余敏</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431F92">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3ADCA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DECC60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390C219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F97770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1198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5BD50">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DBDD0E4">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51340022T000005849396-人才发展专项</w:t>
            </w:r>
          </w:p>
        </w:tc>
      </w:tr>
      <w:tr w14:paraId="13A9A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F4FE1">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2D8F8A">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363097D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664AC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3E3F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2DD89">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18121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6BB7E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95DE9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7A196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96EA0">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18BBC">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B0B9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贯彻落实好《四川省“天府万人计划”实施办法》，加快培养一支“凉山牌”急需紧缺高层次人才队伍，适应推动凉山经济社会发展现实需求，从2020年至2029年利用10年时间，重点围绕我州民生发展、产业发展和自主创新需求，采取分层分类遴选方式，州级层面重点支持50名左右杰出人才、550名左右领军人才和100名左右青年拔尖人才，示范带动各县市支持培养2000名左右各类高层次人才。</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46BCF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贯彻落实好《四川省“天府万人计划”实施办法》，加快培养一支“凉山牌”急需紧缺高层次人才队伍，适应推动凉山经济社会发展现实需求，从2020年至2029年利用10年时间，重点围绕我州民生发展、产业发展和自主创新需求，采取分层分类遴选方式，州级层面重点支持50名左右杰出人才、550名左右领军人才和100名左右青年拔尖人才，示范带动各县市支持培养2000名左右各类高层次人才。</w:t>
            </w:r>
          </w:p>
        </w:tc>
      </w:tr>
      <w:tr w14:paraId="10176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C2A36">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147A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58EA62">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协牵头开展2024年“菁英计划”凉山杰出科技工作者，是凉山州高层次人才选拔的最高类别之一，其决策全程遵循“公开、公平、公正、竞争、择优”原则，严格评选出五位人才并给予50万元支持资金；为了加快培育一支“凉山牌”急需紧缺高层次人才队伍，州委人才办给予州科协19名顶岗实习大学生名额，并拨付20.25万元用于支持实习期间生活补助。意在拓宽高素质专业化干部人才队伍建设来源渠道，加快建设特色优势产业人才集聚地。</w:t>
            </w:r>
          </w:p>
        </w:tc>
      </w:tr>
      <w:tr w14:paraId="44038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E163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606E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5DF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7F71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C04ED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1307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E141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64B7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C552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9EFF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E35D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34A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59F7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FCD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B599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E24FC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D379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E53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5B8EA">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10A9A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4765">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8AF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1CA5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9DE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3CC5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9475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E1E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7B1E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77CE3">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51243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708B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6D92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266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222F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EEAB1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95B7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9A3F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B5EB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5CE10">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1D7C9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A59CA">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7432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F2AC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1780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F42E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3E2B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99A6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B5A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1D23D">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4B86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B77A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33A2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BF9E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E1E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C8486">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C2FF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CEAE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298F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3888F">
            <w:pPr>
              <w:keepNext w:val="0"/>
              <w:keepLines w:val="0"/>
              <w:suppressLineNumbers w:val="0"/>
              <w:snapToGrid w:val="0"/>
              <w:spacing w:before="0" w:beforeAutospacing="0" w:after="0" w:afterAutospacing="0"/>
              <w:ind w:left="0" w:right="0"/>
              <w:rPr>
                <w:rFonts w:hint="default" w:ascii="Times New Roman" w:hAnsi="Times New Roman" w:eastAsia="宋体" w:cs="Times New Roman"/>
                <w:i/>
                <w:iCs/>
                <w:color w:val="000000"/>
                <w:sz w:val="18"/>
                <w:szCs w:val="18"/>
                <w:u w:val="none"/>
              </w:rPr>
            </w:pPr>
          </w:p>
        </w:tc>
      </w:tr>
      <w:tr w14:paraId="0F10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196A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36D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603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5FAC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54F2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1303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F510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DEC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3507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E25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6829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65D3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5F5B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2317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4E60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8CFA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菁英计划5人；顶岗实习14人</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CB5FF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924E1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CCB0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人数</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B2A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BD7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4DC3">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5E54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7C82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5515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DB8E">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CE55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B31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菁英杰出人才，顶岗实习拔尖人才</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3577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4E2DE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杰出、拔尖人才</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7909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6AD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杰出、拔尖人才</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24B8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D6CE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0EFF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6BBF9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8812F">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6D50A">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52CD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DBA7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完成项目时间</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17CD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2D52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BE52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F702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171B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9BA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D355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02FE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5980D">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E221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9AA60">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1CB0">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培养一支“凉山牌”急需紧缺高层次人才队伍，适应推动凉山经济社会发展。</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FBA3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1BA0E9">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E9C51">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0B9E">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培养一支“凉山牌”急需紧缺高层次人才队伍，适应推动凉山经济社会发展。</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BB62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207D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44098">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1B2A3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F04C4">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0ABE">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00E4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002F">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领导及服务社会部门</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F5BF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104EA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AA1FC">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E603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E47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CD8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2CC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5F3B9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9C2E7">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DDAF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3709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9F18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所需经济成本</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78DC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D7045">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CA87D">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B9907">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70.25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C7792">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61C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550B">
            <w:pPr>
              <w:keepNext w:val="0"/>
              <w:keepLines w:val="0"/>
              <w:suppressLineNumbers w:val="0"/>
              <w:snapToGrid w:val="0"/>
              <w:spacing w:before="0" w:beforeAutospacing="0" w:after="0" w:afterAutospacing="0"/>
              <w:ind w:left="0" w:right="0"/>
              <w:jc w:val="center"/>
              <w:rPr>
                <w:rFonts w:hint="default" w:ascii="Times New Roman" w:hAnsi="Times New Roman" w:eastAsia="宋体" w:cs="Times New Roman"/>
                <w:i/>
                <w:iCs/>
                <w:color w:val="000000"/>
                <w:sz w:val="18"/>
                <w:szCs w:val="18"/>
                <w:u w:val="none"/>
              </w:rPr>
            </w:pPr>
          </w:p>
        </w:tc>
      </w:tr>
      <w:tr w14:paraId="5C16E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631F94">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CB94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DD542">
            <w:pPr>
              <w:keepNext w:val="0"/>
              <w:keepLines w:val="0"/>
              <w:widowControl/>
              <w:suppressLineNumbers w:val="0"/>
              <w:snapToGrid w:val="0"/>
              <w:spacing w:before="0" w:beforeAutospacing="0" w:after="0" w:afterAutospacing="0"/>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1CDD8">
            <w:pPr>
              <w:keepNext w:val="0"/>
              <w:keepLines w:val="0"/>
              <w:suppressLineNumbers w:val="0"/>
              <w:snapToGrid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r>
      <w:tr w14:paraId="20F94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705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EBD8CE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本次项目实施过程规范、有序，取得了显著成效，达到了预期目标。我们从产出、效益、满意度指标等进行了逐项认真的打分，预算执行率100%，执行情况良好。故自评得分100分。</w:t>
            </w:r>
          </w:p>
        </w:tc>
      </w:tr>
      <w:tr w14:paraId="4653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6627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C7C184F">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实习期较短，不能最大化发挥顶岗实习大学生作用。</w:t>
            </w:r>
          </w:p>
        </w:tc>
      </w:tr>
      <w:tr w14:paraId="1778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7E5C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88DE042">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建议对特别优秀的顶岗实习大学生延长实习期至1年。</w:t>
            </w:r>
          </w:p>
        </w:tc>
      </w:tr>
      <w:tr w14:paraId="515DA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941F6">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项目负责人：俄木乌洛 、李红</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B3307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6B430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9"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C54DE26">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p>
          <w:p w14:paraId="21AA38E8">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p>
          <w:p w14:paraId="1DDE789B">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p>
          <w:p w14:paraId="1FF02AF9">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48D7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3ED07">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1555054">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51340023T000009491998-天府科技云服务项目</w:t>
            </w:r>
          </w:p>
        </w:tc>
      </w:tr>
      <w:tr w14:paraId="71D91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CC701">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AB8065">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473" w:type="pct"/>
            <w:gridSpan w:val="2"/>
            <w:tcBorders>
              <w:top w:val="nil"/>
              <w:left w:val="nil"/>
              <w:bottom w:val="nil"/>
              <w:right w:val="nil"/>
            </w:tcBorders>
            <w:shd w:val="clear" w:color="auto" w:fill="auto"/>
            <w:vAlign w:val="center"/>
          </w:tcPr>
          <w:p w14:paraId="3FE77F1B">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2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2F9451">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16AEF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A9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712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5B6A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00AA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59F0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CAD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EF9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25DC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凉山州科协体制外配备从事天府科技云服务“保姆式”专职工作人员，主要完成：</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1、促使科技工作者（团队）、企事业单位在平台注册量不断增长。</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2、做大有效科技所能所需精准信息发布量。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3、精准反映生产生活状况，促进双方对接交易量。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4、打造永不落幕“科创会”，遴选高精难项目集中推荐入会。</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5、对17个县市进行调研；对“专职保姆”进行线下线上培训指导。</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6、助力平台功能优化，保障高效运转。</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 xml:space="preserve">   通过以上任务的完成，能促进更多有效的科技供需对接，以加快汇聚足够的有效科技供给和旺盛的有效科技需求、尽快形成有效科技市场、切实为用户提供高效便捷的科技服，更好地为科技助力乡村振兴服务、为提高全民科学素质服务、为党和政府科学决策服务，为凉山经济社会发展服务的最终目的。</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BD4E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凉山州科协体制外配备从事天府科技云服务“保姆式”专职工作人员，主要完成：</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1、促使科技工作者（团队）、企事业单位在平台注册量不断增长。</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2、做大有效科技所能所需精准信息发布量。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3、精准反映生产生活状况，促进双方对接交易量。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4、打造永不落幕“科创会”，遴选高精难项目集中推荐入会。</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5、对17个县市进行调研；对“专职保姆”进行线下线上培训指导。</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6、助力平台功能优化，保障高效运转。</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 xml:space="preserve">   通过以上任务的完成，能促进更多有效的科技供需对接，以加快汇聚足够的有效科技供给和旺盛的有效科技需求、尽快形成有效科技市场、切实为用户提供高效便捷的科技服，更好地为科技助力乡村振兴服务、为提高全民科学素质服务、为党和政府科学决策服务，为凉山经济社会发展服务的最终目的。</w:t>
            </w:r>
          </w:p>
        </w:tc>
      </w:tr>
      <w:tr w14:paraId="21D0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46E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7AB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9E9D5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督促各县（市）科协推广宣介“天府科技云服务”平台，并为各县（市）科协提供业务指导和答疑。完成州本级工作任务，做好县（市）科协服务工作，及时沟通工作中的问题，总结每月工作。主动对接注册使用天府科技云平台的科技工作者（团队）、企事业单位、科研院所、高校院所等并建立常态联系，全程、精准、完整开展“一人一策”“一单一策”“保姆式”服务。做好培训及年底考核指标统计汇总。为进一步提升全州科服保姆的服务能力，2025年第三方为各县（市）保姆组织开展为期两天4场次的专题培训会，2场轮训会，并提供24小时在线答疑服务，保证其熟练平台规范和操作。</w:t>
            </w:r>
          </w:p>
        </w:tc>
      </w:tr>
      <w:tr w14:paraId="690E6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EF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22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AE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3EB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127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690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1CC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3E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D73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1238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B0B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94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A60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E4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4D6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1DD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703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374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D22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903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B3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B37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7F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A9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241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3EC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64D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313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020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680F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91A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AE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5D6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259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C9C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9E9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BFD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B3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FF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B4C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9C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0D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0C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93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6B0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550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8A8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D8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8C2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67BB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D38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B54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2A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069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DCB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06F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79A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60E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DE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5772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C05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3FD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76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82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765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AAB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AD6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099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02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22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22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742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609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E1F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F9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707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聘请专业人员</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258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74C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E1C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人数</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D4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63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61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3A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8582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4E2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DBD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99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A0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工作完成合格率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60B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C83F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CCF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9A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2E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76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63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02920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9EB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93B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DC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D60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年度12月前</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EED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0A5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6EA6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CB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5A3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6CF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6E8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D012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E78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DE0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56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7D3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天府科技云服务</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212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EA0F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能促进更多有效的科技供需对接,为凉山经济社会发展服务.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6FD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rPr>
                <w:rFonts w:hint="default" w:ascii="Times New Roman" w:hAnsi="Times New Roman" w:eastAsia="宋体" w:cs="Times New Roman"/>
                <w:i w:val="0"/>
                <w:iCs w:val="0"/>
                <w:color w:val="000000"/>
                <w:sz w:val="18"/>
                <w:szCs w:val="18"/>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CA8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能促进更多有效的科技供需对接,为凉山经济社会发展服务.</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23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89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5C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rPr>
                <w:rFonts w:hint="default" w:ascii="Times New Roman" w:hAnsi="Times New Roman" w:eastAsia="宋体" w:cs="Times New Roman"/>
                <w:i/>
                <w:iCs/>
                <w:color w:val="000000"/>
                <w:sz w:val="18"/>
                <w:szCs w:val="18"/>
                <w:u w:val="none"/>
              </w:rPr>
            </w:pPr>
          </w:p>
        </w:tc>
      </w:tr>
      <w:tr w14:paraId="2895D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8FE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692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F9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A71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天府科技云服务“保姆式”工作的影响力</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DB7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6D85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9C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59E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C3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7D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F9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rPr>
                <w:rFonts w:hint="default" w:ascii="Times New Roman" w:hAnsi="Times New Roman" w:eastAsia="宋体" w:cs="Times New Roman"/>
                <w:i/>
                <w:iCs/>
                <w:color w:val="000000"/>
                <w:sz w:val="18"/>
                <w:szCs w:val="18"/>
                <w:u w:val="none"/>
              </w:rPr>
            </w:pPr>
          </w:p>
        </w:tc>
      </w:tr>
      <w:tr w14:paraId="48A64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7DC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F3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B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28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66A0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34A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F16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393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FE4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266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C2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保姆更换频率高，业务熟练程度不高，相关部门满意度受限，自评扣2分</w:t>
            </w:r>
          </w:p>
        </w:tc>
      </w:tr>
      <w:tr w14:paraId="491F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51E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8E3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AC1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社会成本指标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19A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天府科技云服务“保姆式”工作所需费用</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B32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A04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468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54C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23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D37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F48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rPr>
                <w:rFonts w:hint="default" w:ascii="Times New Roman" w:hAnsi="Times New Roman" w:eastAsia="宋体" w:cs="Times New Roman"/>
                <w:i w:val="0"/>
                <w:iCs w:val="0"/>
                <w:color w:val="000000"/>
                <w:sz w:val="18"/>
                <w:szCs w:val="18"/>
                <w:u w:val="none"/>
              </w:rPr>
            </w:pPr>
          </w:p>
        </w:tc>
      </w:tr>
      <w:tr w14:paraId="61CBE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62D5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BDD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BB5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right"/>
              <w:textAlignment w:val="center"/>
              <w:rPr>
                <w:rFonts w:hint="default" w:ascii="Times New Roman" w:hAnsi="Times New Roman" w:eastAsia="宋体" w:cs="Times New Roman"/>
                <w:i w:val="0"/>
                <w:iCs w:val="0"/>
                <w:color w:val="000000"/>
                <w:sz w:val="18"/>
                <w:szCs w:val="18"/>
                <w:u w:val="none"/>
              </w:rPr>
            </w:pP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6AC2C6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firstLine="540" w:firstLineChars="300"/>
              <w:jc w:val="left"/>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r>
      <w:tr w14:paraId="5DB5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75A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0B34F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项目在推进凉山州科协天府科技云工作、深化科技云服务内容方面取得了显著成效，全面完成了设定的绩效目标，且部分指标超额完成。从产出、效益、满意度指标等进行了以上打分，预算执行率100%，执行情况良好，因保姆更换频率高，业务熟练程度不高，自评扣2分。最后得分98分。</w:t>
            </w:r>
          </w:p>
        </w:tc>
      </w:tr>
      <w:tr w14:paraId="3518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B8B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12EB4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因“科服保姆”属于劳务派遣人员，保姆更换频率高，业务熟练程度不高。</w:t>
            </w:r>
          </w:p>
        </w:tc>
      </w:tr>
      <w:tr w14:paraId="2B9B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00B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95A8B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0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根据工作部署安排，建立长效机制，制定好培训计划，定期开展排查，对新进保姆及时开展培训，鼓励“老带新”模式，调动保姆工作积极性。</w:t>
            </w:r>
          </w:p>
        </w:tc>
      </w:tr>
      <w:tr w14:paraId="4F76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03D5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6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项目负责人：吴家英、余敏</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58C1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6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260C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B59197A">
            <w:pPr>
              <w:keepNext w:val="0"/>
              <w:keepLines w:val="0"/>
              <w:widowControl/>
              <w:suppressLineNumbers w:val="0"/>
              <w:snapToGrid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029F6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E72C8">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89AE190">
            <w:pPr>
              <w:keepNext w:val="0"/>
              <w:keepLines w:val="0"/>
              <w:widowControl/>
              <w:suppressLineNumbers w:val="0"/>
              <w:snapToGrid w:val="0"/>
              <w:spacing w:before="0" w:beforeAutospacing="0" w:after="0" w:afterAutospacing="0"/>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51340023Y000007909602-青少年科技活动</w:t>
            </w:r>
          </w:p>
        </w:tc>
      </w:tr>
      <w:tr w14:paraId="1868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BAD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FC9E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667BFE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C219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6020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1DBC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14E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2410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D482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32504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E17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B4D6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BD90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用于开展第40届凉山州青少年科技创新大赛，青少年科学营、影像节等各类活动，培养青少年科学兴趣、科技创新精神和实践能力，提升青少年科学素养，推动凉山中小学校科普活动</w:t>
            </w:r>
            <w:r>
              <w:rPr>
                <w:rFonts w:hint="eastAsia" w:cs="Times New Roman"/>
                <w:i w:val="0"/>
                <w:iCs w:val="0"/>
                <w:color w:val="000000"/>
                <w:kern w:val="0"/>
                <w:sz w:val="18"/>
                <w:szCs w:val="18"/>
                <w:u w:val="none"/>
                <w:lang w:val="en-US" w:eastAsia="zh-CN" w:bidi="ar"/>
              </w:rPr>
              <w:t>蓬勃</w:t>
            </w:r>
            <w:r>
              <w:rPr>
                <w:rFonts w:hint="default" w:ascii="Times New Roman" w:hAnsi="Times New Roman" w:eastAsia="宋体" w:cs="Times New Roman"/>
                <w:i w:val="0"/>
                <w:iCs w:val="0"/>
                <w:color w:val="000000"/>
                <w:kern w:val="0"/>
                <w:sz w:val="18"/>
                <w:szCs w:val="18"/>
                <w:u w:val="none"/>
                <w:lang w:val="en-US" w:eastAsia="zh-CN" w:bidi="ar"/>
              </w:rPr>
              <w:t>开展和整个科技教育事业的健康发展各项活动的工作补助经费。</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CEED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用于开展第40届凉山州青少年科技创新大赛，青少年科学营、影像节等各类活动，培养青少年科学兴趣、科技创新精神和实践能力，提升青少年科学素养，推动凉山中小学校科普活动</w:t>
            </w:r>
            <w:r>
              <w:rPr>
                <w:rFonts w:hint="eastAsia" w:cs="Times New Roman"/>
                <w:i w:val="0"/>
                <w:iCs w:val="0"/>
                <w:color w:val="000000"/>
                <w:kern w:val="0"/>
                <w:sz w:val="18"/>
                <w:szCs w:val="18"/>
                <w:u w:val="none"/>
                <w:lang w:val="en-US" w:eastAsia="zh-CN" w:bidi="ar"/>
              </w:rPr>
              <w:t>蓬勃</w:t>
            </w:r>
            <w:r>
              <w:rPr>
                <w:rFonts w:hint="default" w:ascii="Times New Roman" w:hAnsi="Times New Roman" w:eastAsia="宋体" w:cs="Times New Roman"/>
                <w:i w:val="0"/>
                <w:iCs w:val="0"/>
                <w:color w:val="000000"/>
                <w:kern w:val="0"/>
                <w:sz w:val="18"/>
                <w:szCs w:val="18"/>
                <w:u w:val="none"/>
                <w:lang w:val="en-US" w:eastAsia="zh-CN" w:bidi="ar"/>
              </w:rPr>
              <w:t>开展和整个科技教育事业的健康发展各项活动的工作补助经费。</w:t>
            </w:r>
          </w:p>
        </w:tc>
      </w:tr>
      <w:tr w14:paraId="5966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4D90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E75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41814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项目支持举办第40届凉山州青少年科技创新大赛、培养青少年科技创新精神和实践能力、开展青少年科学研学活动等工作补助评审，印制、差旅等经费。</w:t>
            </w:r>
          </w:p>
        </w:tc>
      </w:tr>
      <w:tr w14:paraId="47831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6BA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5B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6E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E6A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E630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FB1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B6A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C7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3B4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AE72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D20A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E8B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96E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671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57C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EF1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611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2D2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D27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215D6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B9B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809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E44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A6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8A1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77E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8F4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98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B18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10B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0C2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A3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92E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E77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21F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8B9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106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45A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7F1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2058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52D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0BA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95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882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9EC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195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16B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7C9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7D3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D78A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21F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99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98E6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F1C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8FF6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1D4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4DC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8C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937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444C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BC4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0A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571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CC1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F0C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877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ED4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4E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4BF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61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74A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F3E7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A306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D47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7FB7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0CD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提高工作效率确保工作完成</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C07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198F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3CD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054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3D0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EE1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7C2F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1BDF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B10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188B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5F2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CF1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开展各类青少年科技创新等活动项数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B85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C39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FA1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098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19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AF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FED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731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3E1F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DC16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053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D9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各类科学科普活动完成时间</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476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16E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DAB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23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A0F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D1E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6AB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6A3C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F0C2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DEE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60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D94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青少年科学素质提升率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6A5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B944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0DD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5B7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1E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F5D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B71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整体科普基础设施薄弱、科普资源非常匮乏.扣1分</w:t>
            </w:r>
          </w:p>
        </w:tc>
      </w:tr>
      <w:tr w14:paraId="24817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682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6D77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48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20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青少年科学科普活动影响力</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3F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9225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9DF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59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61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84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A40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4ED8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F94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4C8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DDF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51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青少年及家长满意度</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86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FE9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805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FCF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7A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42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69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致参赛项目作品创新度不高、科普活动形式单一，扣2分</w:t>
            </w:r>
          </w:p>
        </w:tc>
      </w:tr>
      <w:tr w14:paraId="4E5B6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772A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31C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42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88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开展各类青少年科技创新等活动工作补助经费</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961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EA2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611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E94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9F3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E3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401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5EAB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EDD8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771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D50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1968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1C15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E1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47E97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本次项目实施过程规范、有序，取得了显著成效，达到了预期目标。我们从产出、效益、满意度指标等进行了逐项认真的打分，预算执行率100%，执行情况良好，自评得分97分。</w:t>
            </w:r>
          </w:p>
        </w:tc>
      </w:tr>
      <w:tr w14:paraId="2A3A6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70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D0E0A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活动的宣传面还需继续加强 ；部分县市和学校对科学教育的重视程度不够；中小学校科学教育严重缺乏，致参赛项目作品创新度不高、科普活动形式单一。</w:t>
            </w:r>
          </w:p>
        </w:tc>
      </w:tr>
      <w:tr w14:paraId="4846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42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702EF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凉山整体科普基础设施薄弱、科普资源非常匮乏。建议一是要加大经费保障，二是要加大资源整合力度。</w:t>
            </w:r>
          </w:p>
        </w:tc>
      </w:tr>
      <w:tr w14:paraId="06AB1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E417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项目负责人：吴朝兰</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E941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0D50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114A5A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cs="Times New Roman"/>
              </w:rPr>
            </w:pPr>
          </w:p>
          <w:p w14:paraId="0CEA55FA">
            <w:pPr>
              <w:pStyle w:val="2"/>
              <w:keepNext w:val="0"/>
              <w:keepLines w:val="0"/>
              <w:suppressLineNumbers w:val="0"/>
              <w:spacing w:before="0" w:beforeAutospacing="0" w:after="0" w:afterAutospacing="0"/>
              <w:ind w:left="0" w:right="0"/>
              <w:rPr>
                <w:rFonts w:hint="default" w:ascii="Times New Roman" w:hAnsi="Times New Roman" w:cs="Times New Roman"/>
              </w:rPr>
            </w:pPr>
          </w:p>
          <w:p w14:paraId="6DDCCCA3">
            <w:pPr>
              <w:pStyle w:val="3"/>
              <w:keepNext w:val="0"/>
              <w:keepLines w:val="0"/>
              <w:suppressLineNumbers w:val="0"/>
              <w:spacing w:before="0" w:beforeAutospacing="0" w:afterAutospacing="0"/>
              <w:ind w:right="0"/>
              <w:rPr>
                <w:rFonts w:hint="default" w:ascii="Times New Roman" w:hAnsi="Times New Roman" w:cs="Times New Roman"/>
              </w:rPr>
            </w:pPr>
          </w:p>
          <w:p w14:paraId="6BBF7114">
            <w:pPr>
              <w:keepNext w:val="0"/>
              <w:keepLines w:val="0"/>
              <w:suppressLineNumbers w:val="0"/>
              <w:spacing w:before="0" w:beforeAutospacing="0" w:after="0" w:afterAutospacing="0"/>
              <w:ind w:left="0" w:right="0"/>
              <w:rPr>
                <w:rFonts w:hint="default" w:ascii="Times New Roman" w:hAnsi="Times New Roman" w:cs="Times New Roman"/>
              </w:rPr>
            </w:pPr>
          </w:p>
          <w:p w14:paraId="34A00617">
            <w:pPr>
              <w:pStyle w:val="2"/>
              <w:keepNext w:val="0"/>
              <w:keepLines w:val="0"/>
              <w:suppressLineNumbers w:val="0"/>
              <w:spacing w:before="0" w:beforeAutospacing="0" w:after="0" w:afterAutospacing="0"/>
              <w:ind w:left="0" w:right="0"/>
              <w:rPr>
                <w:rFonts w:hint="default" w:ascii="Times New Roman" w:hAnsi="Times New Roman" w:cs="Times New Roman"/>
              </w:rPr>
            </w:pPr>
          </w:p>
          <w:p w14:paraId="78D4AD74">
            <w:pPr>
              <w:pStyle w:val="3"/>
              <w:keepNext w:val="0"/>
              <w:keepLines w:val="0"/>
              <w:suppressLineNumbers w:val="0"/>
              <w:spacing w:before="0" w:beforeAutospacing="0" w:afterAutospacing="0"/>
              <w:ind w:right="0"/>
              <w:rPr>
                <w:rFonts w:hint="default" w:ascii="Times New Roman" w:hAnsi="Times New Roman" w:cs="Times New Roman"/>
              </w:rPr>
            </w:pPr>
          </w:p>
          <w:p w14:paraId="240623E7">
            <w:pPr>
              <w:keepNext w:val="0"/>
              <w:keepLines w:val="0"/>
              <w:suppressLineNumbers w:val="0"/>
              <w:spacing w:before="0" w:beforeAutospacing="0" w:after="0" w:afterAutospacing="0"/>
              <w:ind w:left="0" w:right="0"/>
              <w:rPr>
                <w:rFonts w:hint="default" w:ascii="Times New Roman" w:hAnsi="Times New Roman" w:cs="Times New Roman"/>
              </w:rPr>
            </w:pPr>
          </w:p>
          <w:p w14:paraId="435A2F3D">
            <w:pPr>
              <w:pStyle w:val="2"/>
              <w:keepNext w:val="0"/>
              <w:keepLines w:val="0"/>
              <w:suppressLineNumbers w:val="0"/>
              <w:spacing w:before="0" w:beforeAutospacing="0" w:after="0" w:afterAutospacing="0"/>
              <w:ind w:left="0" w:right="0"/>
              <w:rPr>
                <w:rFonts w:hint="default" w:ascii="Times New Roman" w:hAnsi="Times New Roman" w:cs="Times New Roman"/>
              </w:rPr>
            </w:pPr>
          </w:p>
          <w:p w14:paraId="1A662CC2">
            <w:pPr>
              <w:pStyle w:val="3"/>
              <w:keepNext w:val="0"/>
              <w:keepLines w:val="0"/>
              <w:suppressLineNumbers w:val="0"/>
              <w:spacing w:before="0" w:beforeAutospacing="0" w:afterAutospacing="0"/>
              <w:ind w:right="0"/>
              <w:rPr>
                <w:rFonts w:hint="default" w:ascii="Times New Roman" w:hAnsi="Times New Roman" w:cs="Times New Roman"/>
              </w:rPr>
            </w:pPr>
          </w:p>
          <w:p w14:paraId="0DDAAF02">
            <w:pPr>
              <w:keepNext w:val="0"/>
              <w:keepLines w:val="0"/>
              <w:suppressLineNumbers w:val="0"/>
              <w:spacing w:before="0" w:beforeAutospacing="0" w:after="0" w:afterAutospacing="0"/>
              <w:ind w:left="0" w:right="0"/>
              <w:rPr>
                <w:rFonts w:hint="default" w:ascii="Times New Roman" w:hAnsi="Times New Roman" w:cs="Times New Roman"/>
              </w:rPr>
            </w:pPr>
          </w:p>
          <w:p w14:paraId="0BBADD95">
            <w:pPr>
              <w:pStyle w:val="2"/>
              <w:keepNext w:val="0"/>
              <w:keepLines w:val="0"/>
              <w:suppressLineNumbers w:val="0"/>
              <w:spacing w:before="0" w:beforeAutospacing="0" w:after="0" w:afterAutospacing="0"/>
              <w:ind w:left="0" w:right="0"/>
              <w:rPr>
                <w:rFonts w:hint="default" w:ascii="Times New Roman" w:hAnsi="Times New Roman" w:cs="Times New Roman"/>
              </w:rPr>
            </w:pPr>
          </w:p>
          <w:p w14:paraId="4EE85D60">
            <w:pPr>
              <w:pStyle w:val="3"/>
              <w:keepNext w:val="0"/>
              <w:keepLines w:val="0"/>
              <w:suppressLineNumbers w:val="0"/>
              <w:spacing w:before="0" w:beforeAutospacing="0" w:afterAutospacing="0"/>
              <w:ind w:right="0"/>
              <w:rPr>
                <w:rFonts w:hint="default" w:ascii="Times New Roman" w:hAnsi="Times New Roman" w:cs="Times New Roman"/>
              </w:rPr>
            </w:pPr>
          </w:p>
        </w:tc>
        <w:tc>
          <w:tcPr>
            <w:tcW w:w="436" w:type="pct"/>
            <w:tcBorders>
              <w:top w:val="nil"/>
              <w:left w:val="nil"/>
              <w:bottom w:val="nil"/>
              <w:right w:val="nil"/>
            </w:tcBorders>
            <w:shd w:val="clear" w:color="auto" w:fill="auto"/>
            <w:vAlign w:val="center"/>
          </w:tcPr>
          <w:p w14:paraId="197063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477E426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1E5E6FC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34C82D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A22C87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AE5BB7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9B97AE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4E63CB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890619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67D935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FD5D7F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EEAC93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5B4834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7802516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19DD753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66A7211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2747FE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0082F5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67B76F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65DCFEB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1E55BE7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94D1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36A16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部门预算项目支出绩效自评表（2025年度）</w:t>
            </w:r>
          </w:p>
        </w:tc>
      </w:tr>
      <w:tr w14:paraId="6DA8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7B5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37496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51340024R000010184587-州本级工资支出（行政）</w:t>
            </w:r>
          </w:p>
        </w:tc>
      </w:tr>
      <w:tr w14:paraId="1BA4D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A76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14B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07B97D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93B6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1A16D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E13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CC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C9A8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5083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25F3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CF04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2D02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338D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456F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2AD08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AECF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54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A5990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职工工作及时、足额缴纳。预算编制科学合理，减少结余资金。年度用于人员类项目按照配置定额，逐人核定编制执行。年度内不存在无故拖延、错发、误发职工工资发等情况发生，也无超范围发放职工工资等违纪记录情况发生。</w:t>
            </w:r>
          </w:p>
        </w:tc>
      </w:tr>
      <w:tr w14:paraId="642A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D54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B4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29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7F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1A8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3B7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FFE1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C8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AF98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1B3C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322C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91A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28D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78.94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90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76.93</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B6F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76.93</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6AB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886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013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C3C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3749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F01D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BD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590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78.94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12C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76.93</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EA7B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76.93</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B61D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D2D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8C8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1A34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A6A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21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AC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8E7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87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290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2A8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021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91B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022E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587F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D266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6E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75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EF0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5BA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4D9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416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555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5AB9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0502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9617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55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8D3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4E6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111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FFF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F6C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DD6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22E6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CF4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294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F8E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BA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F9A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CC4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6CF4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AC3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2A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16B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9B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1C0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3866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AAB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B7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72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71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CE7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660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86C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F08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98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E96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AFF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56C4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688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233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E34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22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64D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52A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A1C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CDE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C1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8A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EAA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3E2D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1B3F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0A8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02E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65E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F091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4A6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0F082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职工工作及时、足额缴纳。预算编制科学合理，减少结余资金。年度用于人员类项目按照配置定额，逐人核定编制执行。年度内不存在无故拖延、错发、误发职工工资发等情况发生，也无超范围发放职工工资等违纪记录情况发生。从产出、效益、满意度指标等进行了以上打分，预算执行率100%，执行情况良好，自评得分100分。</w:t>
            </w:r>
          </w:p>
        </w:tc>
      </w:tr>
      <w:tr w14:paraId="531AC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B8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9550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16C96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214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9FCEC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6BDC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3A3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C222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5A2E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 w:hRule="atLeast"/>
          <w:jc w:val="center"/>
        </w:trPr>
        <w:tc>
          <w:tcPr>
            <w:tcW w:w="284" w:type="pct"/>
            <w:tcBorders>
              <w:top w:val="nil"/>
              <w:left w:val="nil"/>
              <w:bottom w:val="nil"/>
              <w:right w:val="nil"/>
            </w:tcBorders>
            <w:shd w:val="clear" w:color="auto" w:fill="auto"/>
            <w:vAlign w:val="center"/>
          </w:tcPr>
          <w:p w14:paraId="76F5975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0306B6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48EED7A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58D531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73EB238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42E65D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1C5BB6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D8910D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05839E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B51D5F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70307B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002FE4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4A92B6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943330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D01B55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166284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2FBBB4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CDE8C6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548CA4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3EF1F6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55EBB2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53D596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8A8ED5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94E3F4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AAA70B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8B91E88">
            <w:pPr>
              <w:pStyle w:val="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3E5CC53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549B84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558D36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26F22CC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1D883F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30ABDC2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227B4A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59888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07D3C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3A46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AFF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AEF6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51340024R000010184871-州本级工资支出（事业）</w:t>
            </w:r>
          </w:p>
        </w:tc>
      </w:tr>
      <w:tr w14:paraId="17D89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5E4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7B04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6CB6B6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94F8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1205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DE0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32C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9AB3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C4D9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373EC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0E82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5266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1C9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4557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0B9B7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6C43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457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EA9E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职工工作及时、足额缴纳。预算编制科学合理，减少结余资金。年度用于人员类项目按照配置定额，逐人核定编制执行。年度内不存在无故拖延、错发、误发职工工资发等情况发生，也无超范围发放职工工资等违纪记录情况发生。</w:t>
            </w:r>
          </w:p>
        </w:tc>
      </w:tr>
      <w:tr w14:paraId="75A34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173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B36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A6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B36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02F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E49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1A8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554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C7C2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E008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BAEC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A0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B0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34.36</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83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39.21</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8B41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39.21</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685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F7A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4C6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3368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BD56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86F7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38C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69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34.36</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47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39.21</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26E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39.21</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71C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6C0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ED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AED9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5B908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9A11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D4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D72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186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9C0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48E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D9C8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242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195B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26172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F98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D5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07F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36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56A9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F8F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290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79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0BB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BBD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B96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E6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1D1C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1E9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6ACC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733D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D4D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F45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07B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D4B6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EF8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A2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E85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7ED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FEC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F08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476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6C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947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F4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14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02C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86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ABA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C7A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55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204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471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3A5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DB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91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5F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5D1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FBD2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3A58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63F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47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91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5AE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3C4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06C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35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62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D0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CC5B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17D0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640A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8DC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32E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C61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5A4B6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462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EB74F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职工工作及时、足额缴纳。预算编制科学合理，减少结余资金。年度用于人员类项目按照配置定额，逐人核定编制执行。年度内不存在无故拖延、错发、误发职工工资发等情况发生，也无超范围发放职工工资等违纪记录情况发生。从产出、效益、满意度指标等进行了以上打分，预算执行率100%，执行情况良好，自评得分100分。</w:t>
            </w:r>
          </w:p>
        </w:tc>
      </w:tr>
      <w:tr w14:paraId="594C3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1A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E1391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4671B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9E1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71C4B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5A245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E9A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3BC3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04577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6DF78A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50D71C9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5540258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2988386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22E8A91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855DF3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224DB0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647599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CEB2B3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1EBFF8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F43E47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1074B2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30B2FA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2E04F0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A54FAD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40E79B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B1ADB6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4850BD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3AF311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8CF3DF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C58802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4B6E04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8A8033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60C6AD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63BED9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3167C9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5F0349A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4A55B5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7AF857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31C7613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2076A9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0627E13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31A0771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34E4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94AC9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部门预算项目支出绩效自评表（2025年度）</w:t>
            </w:r>
          </w:p>
        </w:tc>
      </w:tr>
      <w:tr w14:paraId="424E1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097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15EB8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51340024R000010188283-州本级目标绩效（行政）</w:t>
            </w:r>
          </w:p>
        </w:tc>
      </w:tr>
      <w:tr w14:paraId="177E2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2A3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10BE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2E808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9474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22BBB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73A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D0E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4E67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BB58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0F70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78E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361F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8ADD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8EA0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38787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4D4D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98F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62FC1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保障职工目标绩效及时、足额发放。预算执行中不存在无故拖延、错发、误发职工工目标绩效情况发生，也无超范围发放职工目标绩效等违纪记录情况发生。预算编制科学合理，减少结余资金。</w:t>
            </w:r>
          </w:p>
        </w:tc>
      </w:tr>
      <w:tr w14:paraId="239B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C14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91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2F8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B57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E4F6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D18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5C1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BF0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273C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27A9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C1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F7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7F0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49.86</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FC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43.46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A850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43.46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1A5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AE1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8F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2ED6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DF96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0E49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E7A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AEF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49.86</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160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43.46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E0D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43.46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6C0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AC5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03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0AA0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4DDD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B54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241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AC0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C1B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E96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5EA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CD9F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9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2E41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CA99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DA0D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89F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BA0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67B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0A7B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F72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C9F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1E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138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28A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F341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94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668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87B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010A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616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E4F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AD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F58E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3FC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C109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DB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807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21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AB3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4AA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1D0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C6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8EF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5C9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EB5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CB36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B16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A1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34C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A1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6BE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A399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06A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50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FCA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E4A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26D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6EAA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6084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C0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F25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9C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4BB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A36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EBC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E9F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212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F6F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D341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C01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F0AF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C3D2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34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69AA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2DB7E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9E4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10E30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严格执行相关政策，定额定编逐人核定。保障职工目标绩效及时、足额发放。预算执行中不存在无故拖延、错发、误发职工目标绩效情况发生，也无超范围发放职工目标绩效等违纪记录情况发生。预算编制科学合理，减少结余资金。从产出、效益、满意度指标等进行了以上打分，预算执行率100%，执行情况良好，自评得分100分。</w:t>
            </w:r>
          </w:p>
        </w:tc>
      </w:tr>
      <w:tr w14:paraId="3C518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E14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C9E4A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336C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0C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73579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0488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56F0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B702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7571A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6CA904B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11ED5D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6E9FCCD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6683BB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16F99CD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7E0E80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73B9AA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851A48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87C612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B0F6CE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D69323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038109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39302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F6C6E1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8E9CD7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EC1353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FE6281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1247A0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42E749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DEC15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BE138A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E0D348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F8DF16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C84AAB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F48C7D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2A1774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26146F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C7B1F0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39C4446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153513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649CCE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0C16E8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0CACC97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7719603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0B66B40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6A7C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5CC69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部门预算项目支出绩效自评表（2025年度）</w:t>
            </w:r>
          </w:p>
        </w:tc>
      </w:tr>
      <w:tr w14:paraId="5F9BF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EE9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E2275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51340024R000010188546-州本级目标绩效（事业）</w:t>
            </w:r>
          </w:p>
        </w:tc>
      </w:tr>
      <w:tr w14:paraId="65D0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8FB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DDAA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660908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6506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259D3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476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9E0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6897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8973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6287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F2E1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EF7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88F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6A34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0BAE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3273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11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021CE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保障职工目标绩效及时、足额发放。预算执行中不存在无故拖延、错发、误发职工工目标绩效情况发生，也无超范围发放职工目标绩效等违纪记录情况发生。预算编制科学合理，减少结余资金。</w:t>
            </w:r>
          </w:p>
        </w:tc>
      </w:tr>
      <w:tr w14:paraId="096E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6D3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D3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57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D5B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D4C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680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495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CFD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E145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6C95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AD39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52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CA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7D9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B66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00C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30E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C27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B9F5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F4F6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F40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936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A7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3B3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37E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CE7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2DC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8D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C18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8F0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F4A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56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1AC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B64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AF2C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DC0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CDE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9E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CA59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709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E626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E16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E39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51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FC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22C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9F0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F4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B67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F4C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3E8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F29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01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BEC7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0A59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8DB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86E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6F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909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0746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2D5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EB9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17B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7A6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E1A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1EF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7AE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04D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894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84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23B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4BB7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46E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9C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6E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9F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B04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B05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8E7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03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37E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15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7D14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164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62A3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93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6B3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1F9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7D1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10F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0FB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D7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84D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D7F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C286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35BCD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9FB9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37D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4CA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0759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7812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170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BC728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严格执行相关政策，定额定编逐人核定。保障职工目标绩效及时、足额发放。预算执行中不存在无故拖延、错发、误发职工目标绩效情况发生，也无超范围发放职工目标绩效等违纪记录情况发生。预算编制科学合理，减少结余资金。从产出、效益、满意度指标等进行了以上打分，预算执行率100%，执行情况良好，自评得分100分。</w:t>
            </w:r>
          </w:p>
        </w:tc>
      </w:tr>
      <w:tr w14:paraId="2D295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4B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E37DB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186BB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1D9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EFBD0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28A7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5D12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E02F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49DC7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718C591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417EF4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3393E6A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1930550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454F78A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A5B267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7864C0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88DC02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A1EC9B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BE352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58EA85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FD2A22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821520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EC1E6D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88CFD9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71B78C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399DED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9A2A32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505458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733409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2F2510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F3383F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FD08C8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754622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21831E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B49589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00ADF3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325984A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033CB0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3C3CAB8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3F7A5F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0406726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319732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5C98E7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2C42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23B91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33A85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B8E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874F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51340024R000010188820-州本级在职工资附加性支出（行政）</w:t>
            </w:r>
          </w:p>
        </w:tc>
      </w:tr>
      <w:tr w14:paraId="556A6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BB2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41F3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1706AC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B6AA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6271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936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71C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0BFB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F914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6D951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FC01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60A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619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BB3D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5BD5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9A9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41A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DF11E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保障职工工资附加性支出及时、足额发放。预算执行中不存在无故拖延、错发、误发职工的情况发生，也无超范围发放等违纪记录情况发生。预算编制科学合理，减少结余资金。</w:t>
            </w:r>
          </w:p>
        </w:tc>
      </w:tr>
      <w:tr w14:paraId="4D4FA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7C5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85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27A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1E4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99D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7EF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982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FAC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43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107A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7B43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A25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368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66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D4C3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054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37E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31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7BB6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2027B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2D06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CD8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78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45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BDA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D90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99D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5F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0266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CD27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F31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52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3B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2C5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86A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467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A9F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2FA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24CE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2CB7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12F2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933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EA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C1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F05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582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293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DB8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B8F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618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33B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6B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689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966C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1BC1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47D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855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4DA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6B9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23E4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B8F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32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C0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6BD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E8B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C5C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CB9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51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51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84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C48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271A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21F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EB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1A9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CEE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5AB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999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18B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C9F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7F5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54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28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AD3E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E31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079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33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654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E8B4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DD8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721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9B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47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707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824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0CE7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33AD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916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B6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EBC0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65BBD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EE4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F07B8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职工工资附加性支出及时、足额发放。预算执行中不存在无故拖延、错发、误发职工工资附加性支出情况发生，也无超范围发放等违纪记录情况发生。预算编制科学合理，减少结余资金。从产出、效益、满意度指标等进行了以上打分，预算执行率100%，执行情况良好，自评得分100分。</w:t>
            </w:r>
          </w:p>
        </w:tc>
      </w:tr>
      <w:tr w14:paraId="3D0D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069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27A8B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53D82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2C2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28455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1BAC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B68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02EF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2FB5B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7FFE239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1623487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2A8940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5E847A9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4108B75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80F7A4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A35994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565C07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0131A1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28C1E3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F9C51F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9C20C6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8BAAA1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07C3A9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74BD13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FA8D95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A74A6E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CDAACA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E69315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2D9793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655CAC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3E161D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FDADA3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C46950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1739A2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4A79DC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68A63B6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410356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6C6F5C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09D117C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64493B5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3406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A6074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052DA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FB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6D769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51340024R000010189088-州本级在职工资附加性支出（事业）</w:t>
            </w:r>
          </w:p>
        </w:tc>
      </w:tr>
      <w:tr w14:paraId="3D422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900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683C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3D14D8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CF54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00731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5D9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F1B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531C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D8C12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4EB0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49B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AAE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E9E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6CB9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29CCF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838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76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DB18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保障职工工资附加性支出及时、足额发放。预算执行中不存在无故拖延、错发、误发职工的情况发生，也无超范围发放等违纪记录情况发生。预算编制科学合理，减少结余资金。</w:t>
            </w:r>
          </w:p>
        </w:tc>
      </w:tr>
      <w:tr w14:paraId="2EF34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CCA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E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7A5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99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390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BE8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E09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6B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D83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456A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78F7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90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50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33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22.64</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E5E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22.64</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9F0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427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812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DB27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C60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D40A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E50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217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0E7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22.64</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FD5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22.64</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E61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6D3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2B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92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2C08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95B3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48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69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A64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020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3FD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6A8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A3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6B2A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439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E6E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AEB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ED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089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A28C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E02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731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08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295F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A263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380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92F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6DCA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8F6A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A8F93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839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DEE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F86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834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C26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A9A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B7C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0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CF8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D7F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9D4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157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B9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55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C0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DB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0F88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7B1F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09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EA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B6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709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6D8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E0B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E8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40A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F0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F20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F071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0D1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9EE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770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FEA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6270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ECAB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7B7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BF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0F6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E34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8695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901A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667D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9F9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0BC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1F2E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3D94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60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3A7BC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职工工资附加性支出及时、足额发放。预算执行中不存在无故拖延、错发、误发职工工资附加性支出情况发生，也无超范围发放等违纪记录情况发生。预算编制科学合理，减少结余资金。从产出、效益、满意度指标等进行了以上打分，预算执行率100%，执行情况良好，自评得分100分。</w:t>
            </w:r>
          </w:p>
        </w:tc>
      </w:tr>
      <w:tr w14:paraId="26D73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1D2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DB651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23FC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59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7F994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0EEA2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1F9D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12A7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57C9B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151058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35152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5A9E588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600082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0A4C289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3E8EB9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2E7113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57E51C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4A491B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518478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FE4C79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5BF4D9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AF80CA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AEEEAA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3107B3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73D29B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87C795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542662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738931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4E15BA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A2C917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B50044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9E4CDE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3A0E88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FB64B7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4CDE96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44336AD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AFDBC1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9077AE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243070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B9D77F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6B8BB5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02F79D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F3D01E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71C582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E49309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F1B1B2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CB33B9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588A774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11E214B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2ECB3AD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1FA678C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46E7B8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26E1850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9B96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328C4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4CBA2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F74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058FC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51340024R000010189892-州本级离休人员经费（行政)</w:t>
            </w:r>
          </w:p>
        </w:tc>
      </w:tr>
      <w:tr w14:paraId="7F2C1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0A7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CDE2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086E1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0655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38D9D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DE5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EB8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9FFE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F81C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06BF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806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55E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6BF7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22D3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299DB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7FA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3F0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D152D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严格执行相关政策，定额定编逐人核定。保障离休人员经费及时、足额发放。预算执行中不存在无故拖延、错发、误发的情况发生，也无超范围发放等违纪记录情况发生。预算编制科学合理，减少结余资金。</w:t>
            </w:r>
          </w:p>
        </w:tc>
      </w:tr>
      <w:tr w14:paraId="07A2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F6D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A0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90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F5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1B9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B22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01A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889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E5A0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AE8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5FCA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12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19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12.27</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E6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C708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1CA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B70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9A5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EF7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A00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3098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AC6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4D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12.27</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0E6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28A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9E1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53C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807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C7EE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FF6C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0967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97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50B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F8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E0D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A2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A1C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B22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66A1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2A7C9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002A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AD0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7DE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2D5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D03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18E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41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C89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3BE9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B0F5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BCB2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787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DE4F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B6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A3E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FDA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CE0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3F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4D7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0CC1D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27D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BF1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98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047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95A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DDE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628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02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3CE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E21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F9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1941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71AE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FE9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FBF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87F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FE5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A98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826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CD6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40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F3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8A8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ECF0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1380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364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F8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4B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AA3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7AC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D32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92A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166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4B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FFD9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D0B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60CB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B58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12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94C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B75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877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C2394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离休人员经费支出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422C7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05C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F1ED4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6A9FF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63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76046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47025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84A5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9EA1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2BB8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498ED13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42E1BB1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1CCA7FD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0B982AD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476F361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BF9EA1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11362D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DD53F1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3F0397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0CD320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6C3B8A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5686EC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076E95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F578D4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2C5A07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61954B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30A2E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2DBCF1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61B7EB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42AA07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119762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1DAC0A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C6C35F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60F9F6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A49638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3A181B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572170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580A80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3D701C1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0C60A6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2ACAA41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2F55876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3845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31C26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0A95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DC0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EA49A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51340024R000010190962-州本级退休（职）人员生活补助(行政）</w:t>
            </w:r>
          </w:p>
        </w:tc>
      </w:tr>
      <w:tr w14:paraId="2AE4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A74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3945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20C926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85E2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3834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394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C2B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6471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EF01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255C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E731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AFB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772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37B8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r>
      <w:tr w14:paraId="4BE73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538A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F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16688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严格执行相关政策，定额定编逐人核定。保障退休人员生活补助及时、足额发放。预算执行中不存在无故拖延、错发、误发的情况发生，也无超范围发放等违纪记录情况发生。预算编制科学合理，减少结余资金。</w:t>
            </w:r>
          </w:p>
        </w:tc>
      </w:tr>
      <w:tr w14:paraId="1B646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A73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A3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00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1D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8B1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564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57D2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E3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E1E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2AD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7EB7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F5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AC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50.61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13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48.70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5C5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48.70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67E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944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A87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E75E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E920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E7FC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0B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303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50.61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EE5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48.70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A77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48.70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536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C02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77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54E3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52E93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306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A99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A1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31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28D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3DE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D3A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9D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AC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5188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DE0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AA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4A7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B62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56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A66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0C7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9F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ACD0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3CBEA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7FB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1E6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717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002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09F4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4D6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193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0C1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3BB4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5F76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441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9B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4E9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AE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D29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A239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DC8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182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B4C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004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2D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E8A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EAF6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D69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F23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7D3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23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8A4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D84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E04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19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0C2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1B2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0C0A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163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295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105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2D7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6AC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F58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F0F6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81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11D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50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97DB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D9A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4771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D14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DAA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7068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5C675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716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89F32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退休人员生活补助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44419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9D1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AA3E8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 xml:space="preserve"> 无</w:t>
            </w:r>
          </w:p>
        </w:tc>
      </w:tr>
      <w:tr w14:paraId="218D8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672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857F0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 xml:space="preserve">无 </w:t>
            </w:r>
          </w:p>
        </w:tc>
      </w:tr>
      <w:tr w14:paraId="1993C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0962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D99C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6060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624652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5334C2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5EF95A0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59E5AFF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3909444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13FBC69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C1980A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4CBEAE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FF2711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31B733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6CE0C9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7084CA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45DD07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836579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7446B3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4474D5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42B6E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B5222C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E63E5F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95FF99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33049E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B18C15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5EE3D4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760AFF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65E98AD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03C229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01C7E7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4B9913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31EA09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462BB0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7D41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EEA30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60F32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E61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F83A4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51340024R000010191316-州本级退休（职）人员生活补助(事业）</w:t>
            </w:r>
          </w:p>
        </w:tc>
      </w:tr>
      <w:tr w14:paraId="0DA16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6A9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354B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09A6F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0C9A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1DAE1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C39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577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5E94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24B3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3DDEF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A4B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735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19E8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DC3F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5631E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346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69D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BD356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严格执行相关政策，定额定编逐人核定。保障退休人员生活补助及时、足额发放。预算执行中不存在无故拖延、错发、误发的情况发生，也无超范围发放等违纪记录情况发生。预算编制科学合理，减少结余资金。</w:t>
            </w:r>
          </w:p>
        </w:tc>
      </w:tr>
      <w:tr w14:paraId="020A6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397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D01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BC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181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C78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7C2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12F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67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47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2BA84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7896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09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9D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B69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E02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EA8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CA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C93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935E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7F2C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7A4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E69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08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833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812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2.18</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0B3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133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D06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0A48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2ECE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CA01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65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70A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345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325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8C6C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A23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05F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F860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EF86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0F04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BAA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61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BE9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6C8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27C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4B2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EDF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3B29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F6B4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367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8C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99E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011D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946E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EC0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0DC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56B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457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7498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FC4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2F2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FA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81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8E8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06C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5E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7B4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86C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8DF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82D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72CD8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116A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623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F3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90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084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FBF5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AF9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B2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7B7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4E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744C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5C048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1ACA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208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C7B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C93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3D2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651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175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68B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D97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5A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CB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2B344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897F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FF3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E8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4FAC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64711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741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6B670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退休人员生活补助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612A2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7C3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F2175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 无</w:t>
            </w:r>
          </w:p>
        </w:tc>
      </w:tr>
      <w:tr w14:paraId="413D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279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24E91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4CB22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0510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9054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47E31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100B36D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nil"/>
              <w:left w:val="nil"/>
              <w:bottom w:val="nil"/>
              <w:right w:val="nil"/>
            </w:tcBorders>
            <w:shd w:val="clear" w:color="auto" w:fill="auto"/>
            <w:vAlign w:val="center"/>
          </w:tcPr>
          <w:p w14:paraId="67E412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01" w:type="pct"/>
            <w:tcBorders>
              <w:top w:val="nil"/>
              <w:left w:val="nil"/>
              <w:bottom w:val="nil"/>
              <w:right w:val="nil"/>
            </w:tcBorders>
            <w:shd w:val="clear" w:color="auto" w:fill="auto"/>
            <w:vAlign w:val="center"/>
          </w:tcPr>
          <w:p w14:paraId="3F7FE7F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67" w:type="pct"/>
            <w:tcBorders>
              <w:top w:val="nil"/>
              <w:left w:val="nil"/>
              <w:bottom w:val="nil"/>
              <w:right w:val="nil"/>
            </w:tcBorders>
            <w:shd w:val="clear" w:color="auto" w:fill="auto"/>
            <w:vAlign w:val="center"/>
          </w:tcPr>
          <w:p w14:paraId="3E3243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p w14:paraId="1F349E8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5C43DA4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5FBA18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1560ECD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26FD999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1F870F6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334819F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1843157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tc>
        <w:tc>
          <w:tcPr>
            <w:tcW w:w="299" w:type="pct"/>
            <w:gridSpan w:val="2"/>
            <w:tcBorders>
              <w:top w:val="nil"/>
              <w:left w:val="nil"/>
              <w:bottom w:val="nil"/>
              <w:right w:val="nil"/>
            </w:tcBorders>
            <w:shd w:val="clear" w:color="auto" w:fill="auto"/>
            <w:vAlign w:val="center"/>
          </w:tcPr>
          <w:p w14:paraId="0756A0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31" w:type="pct"/>
            <w:gridSpan w:val="3"/>
            <w:tcBorders>
              <w:top w:val="nil"/>
              <w:left w:val="nil"/>
              <w:bottom w:val="nil"/>
              <w:right w:val="nil"/>
            </w:tcBorders>
            <w:shd w:val="clear" w:color="auto" w:fill="auto"/>
            <w:vAlign w:val="center"/>
          </w:tcPr>
          <w:p w14:paraId="38512A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65" w:type="pct"/>
            <w:gridSpan w:val="2"/>
            <w:tcBorders>
              <w:top w:val="nil"/>
              <w:left w:val="nil"/>
              <w:bottom w:val="nil"/>
              <w:right w:val="nil"/>
            </w:tcBorders>
            <w:shd w:val="clear" w:color="auto" w:fill="auto"/>
            <w:vAlign w:val="center"/>
          </w:tcPr>
          <w:p w14:paraId="0737891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94" w:type="pct"/>
            <w:tcBorders>
              <w:top w:val="nil"/>
              <w:left w:val="nil"/>
              <w:bottom w:val="nil"/>
              <w:right w:val="nil"/>
            </w:tcBorders>
            <w:shd w:val="clear" w:color="auto" w:fill="auto"/>
            <w:vAlign w:val="center"/>
          </w:tcPr>
          <w:p w14:paraId="4FFD49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30" w:type="pct"/>
            <w:tcBorders>
              <w:top w:val="nil"/>
              <w:left w:val="nil"/>
              <w:bottom w:val="nil"/>
              <w:right w:val="nil"/>
            </w:tcBorders>
            <w:shd w:val="clear" w:color="auto" w:fill="auto"/>
            <w:vAlign w:val="center"/>
          </w:tcPr>
          <w:p w14:paraId="3A8D4D3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01" w:type="pct"/>
            <w:tcBorders>
              <w:top w:val="nil"/>
              <w:left w:val="nil"/>
              <w:bottom w:val="nil"/>
              <w:right w:val="nil"/>
            </w:tcBorders>
            <w:shd w:val="clear" w:color="auto" w:fill="auto"/>
            <w:vAlign w:val="center"/>
          </w:tcPr>
          <w:p w14:paraId="0CD16CE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87" w:type="pct"/>
            <w:tcBorders>
              <w:top w:val="nil"/>
              <w:left w:val="nil"/>
              <w:bottom w:val="nil"/>
              <w:right w:val="nil"/>
            </w:tcBorders>
            <w:shd w:val="clear" w:color="auto" w:fill="auto"/>
            <w:vAlign w:val="center"/>
          </w:tcPr>
          <w:p w14:paraId="7D8E3E2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3811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2E25A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62F95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7FD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E81C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51340024R000010192947-州本级其他人员类支出（行政）</w:t>
            </w:r>
          </w:p>
        </w:tc>
      </w:tr>
      <w:tr w14:paraId="1B046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C21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B83C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38C876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34BC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0664E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B26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18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E3CC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5BA3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1E115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15D3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453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3B05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EB26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26DD6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3ED5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87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16752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严格执行相关政策，定额定编逐人核定。保障其他人员类支出及时、足额发放。预算执行中不存在无故拖延、错发、误发的情况发生，也无超范围发放等违纪记录情况发生。预算编制科学合理，减少结余资金。</w:t>
            </w:r>
          </w:p>
        </w:tc>
      </w:tr>
      <w:tr w14:paraId="61F3F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818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163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FB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DF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4C9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AAA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A6C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3B7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0D9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271BD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01DD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C03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1E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0B1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57.00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C96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57.00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DDF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9E0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5A9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9928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232B6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49A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9B9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456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F70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57.00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C85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57.00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219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EA5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DC1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FC65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5AA6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8D28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82D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B0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57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8D9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040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EB9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E8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633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1C44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BD9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AD0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B2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E8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A268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920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2C2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569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7C0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450F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E3F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34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03D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9689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0502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4CFD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D4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82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A1D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0CDE0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E90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6C4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244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F2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FE6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F2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B87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CFE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2C0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E0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C0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396C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001F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267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89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3C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ED4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383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AEB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25F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EA0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F9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E0C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13F4D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8737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A4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062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3A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773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76F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3DB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63A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9F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173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F1B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68AB0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4787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170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95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438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769D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A10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22162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其他人员类支出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3E9C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AF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32A2A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74C8C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004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7CD79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2B38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2204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2818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6CCD0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10AEECD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nil"/>
              <w:left w:val="nil"/>
              <w:bottom w:val="nil"/>
              <w:right w:val="nil"/>
            </w:tcBorders>
            <w:shd w:val="clear" w:color="auto" w:fill="auto"/>
            <w:vAlign w:val="center"/>
          </w:tcPr>
          <w:p w14:paraId="5F04006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01" w:type="pct"/>
            <w:tcBorders>
              <w:top w:val="nil"/>
              <w:left w:val="nil"/>
              <w:bottom w:val="nil"/>
              <w:right w:val="nil"/>
            </w:tcBorders>
            <w:shd w:val="clear" w:color="auto" w:fill="auto"/>
            <w:vAlign w:val="center"/>
          </w:tcPr>
          <w:p w14:paraId="12E6127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67" w:type="pct"/>
            <w:tcBorders>
              <w:top w:val="nil"/>
              <w:left w:val="nil"/>
              <w:bottom w:val="nil"/>
              <w:right w:val="nil"/>
            </w:tcBorders>
            <w:shd w:val="clear" w:color="auto" w:fill="auto"/>
            <w:vAlign w:val="center"/>
          </w:tcPr>
          <w:p w14:paraId="50AA420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p w14:paraId="2F535D2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421C874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99401A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348FCD3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405B1E8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4BB48D8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0F4F8A7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68D81A1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C6F340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tc>
        <w:tc>
          <w:tcPr>
            <w:tcW w:w="299" w:type="pct"/>
            <w:gridSpan w:val="2"/>
            <w:tcBorders>
              <w:top w:val="nil"/>
              <w:left w:val="nil"/>
              <w:bottom w:val="nil"/>
              <w:right w:val="nil"/>
            </w:tcBorders>
            <w:shd w:val="clear" w:color="auto" w:fill="auto"/>
            <w:vAlign w:val="center"/>
          </w:tcPr>
          <w:p w14:paraId="0BB288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31" w:type="pct"/>
            <w:gridSpan w:val="3"/>
            <w:tcBorders>
              <w:top w:val="nil"/>
              <w:left w:val="nil"/>
              <w:bottom w:val="nil"/>
              <w:right w:val="nil"/>
            </w:tcBorders>
            <w:shd w:val="clear" w:color="auto" w:fill="auto"/>
            <w:vAlign w:val="center"/>
          </w:tcPr>
          <w:p w14:paraId="5A9AFA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65" w:type="pct"/>
            <w:gridSpan w:val="2"/>
            <w:tcBorders>
              <w:top w:val="nil"/>
              <w:left w:val="nil"/>
              <w:bottom w:val="nil"/>
              <w:right w:val="nil"/>
            </w:tcBorders>
            <w:shd w:val="clear" w:color="auto" w:fill="auto"/>
            <w:vAlign w:val="center"/>
          </w:tcPr>
          <w:p w14:paraId="04FDAD7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94" w:type="pct"/>
            <w:tcBorders>
              <w:top w:val="nil"/>
              <w:left w:val="nil"/>
              <w:bottom w:val="nil"/>
              <w:right w:val="nil"/>
            </w:tcBorders>
            <w:shd w:val="clear" w:color="auto" w:fill="auto"/>
            <w:vAlign w:val="center"/>
          </w:tcPr>
          <w:p w14:paraId="01B845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30" w:type="pct"/>
            <w:tcBorders>
              <w:top w:val="nil"/>
              <w:left w:val="nil"/>
              <w:bottom w:val="nil"/>
              <w:right w:val="nil"/>
            </w:tcBorders>
            <w:shd w:val="clear" w:color="auto" w:fill="auto"/>
            <w:vAlign w:val="center"/>
          </w:tcPr>
          <w:p w14:paraId="4F37C55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01" w:type="pct"/>
            <w:tcBorders>
              <w:top w:val="nil"/>
              <w:left w:val="nil"/>
              <w:bottom w:val="nil"/>
              <w:right w:val="nil"/>
            </w:tcBorders>
            <w:shd w:val="clear" w:color="auto" w:fill="auto"/>
            <w:vAlign w:val="center"/>
          </w:tcPr>
          <w:p w14:paraId="215C95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87" w:type="pct"/>
            <w:tcBorders>
              <w:top w:val="nil"/>
              <w:left w:val="nil"/>
              <w:bottom w:val="nil"/>
              <w:right w:val="nil"/>
            </w:tcBorders>
            <w:shd w:val="clear" w:color="auto" w:fill="auto"/>
            <w:vAlign w:val="center"/>
          </w:tcPr>
          <w:p w14:paraId="006049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35850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F582C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22EA1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199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0B0DD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51340024R000010193215-州本级其他人员类支出（事业）</w:t>
            </w:r>
          </w:p>
        </w:tc>
      </w:tr>
      <w:tr w14:paraId="58B72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04B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1D5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7846DC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5012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2663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AE2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9A8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079C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A253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6A26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438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934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ABE1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38F9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1977A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ED9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B7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1B75A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严格执行相关政策，定额定编逐人核定。保障其他人员类支出及时、足额发放。预算执行中不存在无故拖延、错发、误发的情况发生，也无超范围发放等违纪记录情况发生。预算编制科学合理，减少结余资金。</w:t>
            </w:r>
          </w:p>
        </w:tc>
      </w:tr>
      <w:tr w14:paraId="39552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20B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D1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10E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A8C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A65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101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AA3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3EB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7F30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18AB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0A92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CDF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C74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C07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E4D6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5A7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579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8CD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E72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067BB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5220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C9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2B1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BDB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CB48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3.54</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47C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40A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6F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14A7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2818C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A3B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AE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465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70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BFA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040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98B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739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58B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3307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866E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09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B1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95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A93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A65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086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3F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C853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4B9AF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7CA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042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B46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1D3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E6D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6E1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A72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EFA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113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3DD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AC3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CDE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821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DE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952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586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9EB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73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BD7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9BE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9DA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53BF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5E21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B3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12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63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7D2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E5F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732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34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68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CC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19A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7A657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278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D8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11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135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AFC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4E67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AB8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88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015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362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CA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1CD5C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4F66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B1A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34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AB7AE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413B2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BF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86D4E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其他人员类支出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69D7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D8F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05DAE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2A2E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2E5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3594E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27696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A0B6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9219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7EF4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6B8E12F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nil"/>
              <w:left w:val="nil"/>
              <w:bottom w:val="nil"/>
              <w:right w:val="nil"/>
            </w:tcBorders>
            <w:shd w:val="clear" w:color="auto" w:fill="auto"/>
            <w:vAlign w:val="center"/>
          </w:tcPr>
          <w:p w14:paraId="205594B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01" w:type="pct"/>
            <w:tcBorders>
              <w:top w:val="nil"/>
              <w:left w:val="nil"/>
              <w:bottom w:val="nil"/>
              <w:right w:val="nil"/>
            </w:tcBorders>
            <w:shd w:val="clear" w:color="auto" w:fill="auto"/>
            <w:vAlign w:val="center"/>
          </w:tcPr>
          <w:p w14:paraId="25CDF3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67" w:type="pct"/>
            <w:tcBorders>
              <w:top w:val="nil"/>
              <w:left w:val="nil"/>
              <w:bottom w:val="nil"/>
              <w:right w:val="nil"/>
            </w:tcBorders>
            <w:shd w:val="clear" w:color="auto" w:fill="auto"/>
            <w:vAlign w:val="center"/>
          </w:tcPr>
          <w:p w14:paraId="13B6CC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p w14:paraId="2C65349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1687898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29B9799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4A19626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0E3791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tc>
        <w:tc>
          <w:tcPr>
            <w:tcW w:w="299" w:type="pct"/>
            <w:gridSpan w:val="2"/>
            <w:tcBorders>
              <w:top w:val="nil"/>
              <w:left w:val="nil"/>
              <w:bottom w:val="nil"/>
              <w:right w:val="nil"/>
            </w:tcBorders>
            <w:shd w:val="clear" w:color="auto" w:fill="auto"/>
            <w:vAlign w:val="center"/>
          </w:tcPr>
          <w:p w14:paraId="1F0B4A4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31" w:type="pct"/>
            <w:gridSpan w:val="3"/>
            <w:tcBorders>
              <w:top w:val="nil"/>
              <w:left w:val="nil"/>
              <w:bottom w:val="nil"/>
              <w:right w:val="nil"/>
            </w:tcBorders>
            <w:shd w:val="clear" w:color="auto" w:fill="auto"/>
            <w:vAlign w:val="center"/>
          </w:tcPr>
          <w:p w14:paraId="53F294E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65" w:type="pct"/>
            <w:gridSpan w:val="2"/>
            <w:tcBorders>
              <w:top w:val="nil"/>
              <w:left w:val="nil"/>
              <w:bottom w:val="nil"/>
              <w:right w:val="nil"/>
            </w:tcBorders>
            <w:shd w:val="clear" w:color="auto" w:fill="auto"/>
            <w:vAlign w:val="center"/>
          </w:tcPr>
          <w:p w14:paraId="6F9C18E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94" w:type="pct"/>
            <w:tcBorders>
              <w:top w:val="nil"/>
              <w:left w:val="nil"/>
              <w:bottom w:val="nil"/>
              <w:right w:val="nil"/>
            </w:tcBorders>
            <w:shd w:val="clear" w:color="auto" w:fill="auto"/>
            <w:vAlign w:val="center"/>
          </w:tcPr>
          <w:p w14:paraId="6B55883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30" w:type="pct"/>
            <w:tcBorders>
              <w:top w:val="nil"/>
              <w:left w:val="nil"/>
              <w:bottom w:val="nil"/>
              <w:right w:val="nil"/>
            </w:tcBorders>
            <w:shd w:val="clear" w:color="auto" w:fill="auto"/>
            <w:vAlign w:val="center"/>
          </w:tcPr>
          <w:p w14:paraId="106BED2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01" w:type="pct"/>
            <w:tcBorders>
              <w:top w:val="nil"/>
              <w:left w:val="nil"/>
              <w:bottom w:val="nil"/>
              <w:right w:val="nil"/>
            </w:tcBorders>
            <w:shd w:val="clear" w:color="auto" w:fill="auto"/>
            <w:vAlign w:val="center"/>
          </w:tcPr>
          <w:p w14:paraId="174F79E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87" w:type="pct"/>
            <w:tcBorders>
              <w:top w:val="nil"/>
              <w:left w:val="nil"/>
              <w:bottom w:val="nil"/>
              <w:right w:val="nil"/>
            </w:tcBorders>
            <w:shd w:val="clear" w:color="auto" w:fill="auto"/>
            <w:vAlign w:val="center"/>
          </w:tcPr>
          <w:p w14:paraId="0754A15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02710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C05F0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11AE7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068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53671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51340024R000010721449-州本级其他工资及附加支出（行政）</w:t>
            </w:r>
          </w:p>
        </w:tc>
      </w:tr>
      <w:tr w14:paraId="50E4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AF4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0A0B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1534F6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D9D9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314FE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C13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179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EE3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011A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6BF3A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81B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C4E5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95B8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9906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47A76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6CD6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967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74C81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其他工资及附加支出及时、足额发放。预算执行中不存在无故拖延、错发、误发的情况发生，也无超范围发放等违纪记录情况发生。预算编制科学合理，减少结余资金。</w:t>
            </w:r>
          </w:p>
        </w:tc>
      </w:tr>
      <w:tr w14:paraId="73908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38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548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255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86C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D0C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065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F9D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7E8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60E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3DEAB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C1EF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008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A6E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BE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34D4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E24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F80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738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01BC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0E9E8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C4C3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B8C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A1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39A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27F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BB9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E88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D7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CB6D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0BD6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7AB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12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3AC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FC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856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6BF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3D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E79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BA8A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5B43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5D3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A69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540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32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EEF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1A1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84A5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3BC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539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22B15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CC3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9B3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A176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F6F5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B91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B99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EB0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A05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DE5A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33B9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90A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846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FC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5B1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765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631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1CC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278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A0B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AB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14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3D730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F3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02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FA0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C15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2F8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BD6A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911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92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685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92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D6B7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2C5D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FE0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1C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D6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CEC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974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089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F72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A51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FAD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605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F08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5C73C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00A4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32A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C8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92D0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15E96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E03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E1F0F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其他工资及附加支出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66656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77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11E9F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0462D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74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07A08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61F48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7D01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1E8D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15DC2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7EE44F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nil"/>
              <w:left w:val="nil"/>
              <w:bottom w:val="nil"/>
              <w:right w:val="nil"/>
            </w:tcBorders>
            <w:shd w:val="clear" w:color="auto" w:fill="auto"/>
            <w:vAlign w:val="center"/>
          </w:tcPr>
          <w:p w14:paraId="5F43E9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01" w:type="pct"/>
            <w:tcBorders>
              <w:top w:val="nil"/>
              <w:left w:val="nil"/>
              <w:bottom w:val="nil"/>
              <w:right w:val="nil"/>
            </w:tcBorders>
            <w:shd w:val="clear" w:color="auto" w:fill="auto"/>
            <w:vAlign w:val="center"/>
          </w:tcPr>
          <w:p w14:paraId="2EC257E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67" w:type="pct"/>
            <w:tcBorders>
              <w:top w:val="nil"/>
              <w:left w:val="nil"/>
              <w:bottom w:val="nil"/>
              <w:right w:val="nil"/>
            </w:tcBorders>
            <w:shd w:val="clear" w:color="auto" w:fill="auto"/>
            <w:vAlign w:val="center"/>
          </w:tcPr>
          <w:p w14:paraId="4FEB2C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p w14:paraId="21CDB1E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2FD1850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02B8439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5FFD8BD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3C59048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33565A9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18AD6AA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4317C7F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tc>
        <w:tc>
          <w:tcPr>
            <w:tcW w:w="299" w:type="pct"/>
            <w:gridSpan w:val="2"/>
            <w:tcBorders>
              <w:top w:val="nil"/>
              <w:left w:val="nil"/>
              <w:bottom w:val="nil"/>
              <w:right w:val="nil"/>
            </w:tcBorders>
            <w:shd w:val="clear" w:color="auto" w:fill="auto"/>
            <w:vAlign w:val="center"/>
          </w:tcPr>
          <w:p w14:paraId="030BF03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31" w:type="pct"/>
            <w:gridSpan w:val="3"/>
            <w:tcBorders>
              <w:top w:val="nil"/>
              <w:left w:val="nil"/>
              <w:bottom w:val="nil"/>
              <w:right w:val="nil"/>
            </w:tcBorders>
            <w:shd w:val="clear" w:color="auto" w:fill="auto"/>
            <w:vAlign w:val="center"/>
          </w:tcPr>
          <w:p w14:paraId="13B72A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65" w:type="pct"/>
            <w:gridSpan w:val="2"/>
            <w:tcBorders>
              <w:top w:val="nil"/>
              <w:left w:val="nil"/>
              <w:bottom w:val="nil"/>
              <w:right w:val="nil"/>
            </w:tcBorders>
            <w:shd w:val="clear" w:color="auto" w:fill="auto"/>
            <w:vAlign w:val="center"/>
          </w:tcPr>
          <w:p w14:paraId="775E455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94" w:type="pct"/>
            <w:tcBorders>
              <w:top w:val="nil"/>
              <w:left w:val="nil"/>
              <w:bottom w:val="nil"/>
              <w:right w:val="nil"/>
            </w:tcBorders>
            <w:shd w:val="clear" w:color="auto" w:fill="auto"/>
            <w:vAlign w:val="center"/>
          </w:tcPr>
          <w:p w14:paraId="48A4B5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30" w:type="pct"/>
            <w:tcBorders>
              <w:top w:val="nil"/>
              <w:left w:val="nil"/>
              <w:bottom w:val="nil"/>
              <w:right w:val="nil"/>
            </w:tcBorders>
            <w:shd w:val="clear" w:color="auto" w:fill="auto"/>
            <w:vAlign w:val="center"/>
          </w:tcPr>
          <w:p w14:paraId="1A5AE6F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01" w:type="pct"/>
            <w:tcBorders>
              <w:top w:val="nil"/>
              <w:left w:val="nil"/>
              <w:bottom w:val="nil"/>
              <w:right w:val="nil"/>
            </w:tcBorders>
            <w:shd w:val="clear" w:color="auto" w:fill="auto"/>
            <w:vAlign w:val="center"/>
          </w:tcPr>
          <w:p w14:paraId="1FB00E5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87" w:type="pct"/>
            <w:tcBorders>
              <w:top w:val="nil"/>
              <w:left w:val="nil"/>
              <w:bottom w:val="nil"/>
              <w:right w:val="nil"/>
            </w:tcBorders>
            <w:shd w:val="clear" w:color="auto" w:fill="auto"/>
            <w:vAlign w:val="center"/>
          </w:tcPr>
          <w:p w14:paraId="51B8C81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50B3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27B56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08B4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804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8FB6F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51340024R000010721454-州本级其他工资及附加支出（事业）</w:t>
            </w:r>
          </w:p>
        </w:tc>
      </w:tr>
      <w:tr w14:paraId="31BE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9B2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C6E4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180921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163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38437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D0C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D8D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09A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411F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4446A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30C5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526E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FB53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EE43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4DE7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F49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07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88476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其他工资及附加支出及时、足额发放。预算执行中不存在无故拖延、错发、误发的情况发生，也无超范围发放等违纪记录情况发生。预算编制科学合理，减少结余资金。</w:t>
            </w:r>
          </w:p>
        </w:tc>
      </w:tr>
      <w:tr w14:paraId="1D65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347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6F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A22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1F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777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3D2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0CD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E5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AB6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319FE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5932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72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2C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5A7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2.19</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07C4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2.19</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A64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0ED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2E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398B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10CB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F36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B4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A80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2.34</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9D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2.19</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DF7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2.19</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715D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FD8E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5BB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129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24FAA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2B4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6A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6E3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54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F49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86B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AC6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EEF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F6D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709E1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EA4D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5EE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9EE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0C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8E7D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6EC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3E2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29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5AF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2943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C7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8B8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1A09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A9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5972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A6A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C7A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3B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1BCA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2A69F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832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C3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D17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43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698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1660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BD5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AB8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71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70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345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29492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1A84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E5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94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62C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26A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56C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53A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B7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42E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5E5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0E39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13202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DDA6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D45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08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013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35D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6BA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B485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A05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F2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A1C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DA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21DD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BC73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439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ADD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C910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45E3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32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61FCD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其他工资及附加支出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70B46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FA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14625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23ADB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78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8D1DB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56955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A16E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B7F0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3F79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66122A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nil"/>
              <w:left w:val="nil"/>
              <w:bottom w:val="nil"/>
              <w:right w:val="nil"/>
            </w:tcBorders>
            <w:shd w:val="clear" w:color="auto" w:fill="auto"/>
            <w:vAlign w:val="center"/>
          </w:tcPr>
          <w:p w14:paraId="57ED93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01" w:type="pct"/>
            <w:tcBorders>
              <w:top w:val="nil"/>
              <w:left w:val="nil"/>
              <w:bottom w:val="nil"/>
              <w:right w:val="nil"/>
            </w:tcBorders>
            <w:shd w:val="clear" w:color="auto" w:fill="auto"/>
            <w:vAlign w:val="center"/>
          </w:tcPr>
          <w:p w14:paraId="781C52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67" w:type="pct"/>
            <w:tcBorders>
              <w:top w:val="nil"/>
              <w:left w:val="nil"/>
              <w:bottom w:val="nil"/>
              <w:right w:val="nil"/>
            </w:tcBorders>
            <w:shd w:val="clear" w:color="auto" w:fill="auto"/>
            <w:vAlign w:val="center"/>
          </w:tcPr>
          <w:p w14:paraId="0D763C3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p w14:paraId="6AB2D47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46993BD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CB783C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57B4FF9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09096C9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4D57FF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tc>
        <w:tc>
          <w:tcPr>
            <w:tcW w:w="299" w:type="pct"/>
            <w:gridSpan w:val="2"/>
            <w:tcBorders>
              <w:top w:val="nil"/>
              <w:left w:val="nil"/>
              <w:bottom w:val="nil"/>
              <w:right w:val="nil"/>
            </w:tcBorders>
            <w:shd w:val="clear" w:color="auto" w:fill="auto"/>
            <w:vAlign w:val="center"/>
          </w:tcPr>
          <w:p w14:paraId="6DA0D9A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31" w:type="pct"/>
            <w:gridSpan w:val="3"/>
            <w:tcBorders>
              <w:top w:val="nil"/>
              <w:left w:val="nil"/>
              <w:bottom w:val="nil"/>
              <w:right w:val="nil"/>
            </w:tcBorders>
            <w:shd w:val="clear" w:color="auto" w:fill="auto"/>
            <w:vAlign w:val="center"/>
          </w:tcPr>
          <w:p w14:paraId="53CB8E1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65" w:type="pct"/>
            <w:gridSpan w:val="2"/>
            <w:tcBorders>
              <w:top w:val="nil"/>
              <w:left w:val="nil"/>
              <w:bottom w:val="nil"/>
              <w:right w:val="nil"/>
            </w:tcBorders>
            <w:shd w:val="clear" w:color="auto" w:fill="auto"/>
            <w:vAlign w:val="center"/>
          </w:tcPr>
          <w:p w14:paraId="0E8685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94" w:type="pct"/>
            <w:tcBorders>
              <w:top w:val="nil"/>
              <w:left w:val="nil"/>
              <w:bottom w:val="nil"/>
              <w:right w:val="nil"/>
            </w:tcBorders>
            <w:shd w:val="clear" w:color="auto" w:fill="auto"/>
            <w:vAlign w:val="center"/>
          </w:tcPr>
          <w:p w14:paraId="67B110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30" w:type="pct"/>
            <w:tcBorders>
              <w:top w:val="nil"/>
              <w:left w:val="nil"/>
              <w:bottom w:val="nil"/>
              <w:right w:val="nil"/>
            </w:tcBorders>
            <w:shd w:val="clear" w:color="auto" w:fill="auto"/>
            <w:vAlign w:val="center"/>
          </w:tcPr>
          <w:p w14:paraId="29A5121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01" w:type="pct"/>
            <w:tcBorders>
              <w:top w:val="nil"/>
              <w:left w:val="nil"/>
              <w:bottom w:val="nil"/>
              <w:right w:val="nil"/>
            </w:tcBorders>
            <w:shd w:val="clear" w:color="auto" w:fill="auto"/>
            <w:vAlign w:val="center"/>
          </w:tcPr>
          <w:p w14:paraId="319155A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87" w:type="pct"/>
            <w:tcBorders>
              <w:top w:val="nil"/>
              <w:left w:val="nil"/>
              <w:bottom w:val="nil"/>
              <w:right w:val="nil"/>
            </w:tcBorders>
            <w:shd w:val="clear" w:color="auto" w:fill="auto"/>
            <w:vAlign w:val="center"/>
          </w:tcPr>
          <w:p w14:paraId="15A5B0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779E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015B3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737AF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7"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D4B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6A9A0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51340024R000010721466-州本级离退休（职）人员经费（行政）</w:t>
            </w:r>
          </w:p>
        </w:tc>
      </w:tr>
      <w:tr w14:paraId="37BD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DC4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5234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7261C0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D541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75B56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9B1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089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A1D7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121B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5110E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E5A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0DE9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D978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4158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2839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E858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C9A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A84E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严格执行相关政策，定额定编逐人核定。保障离退休人员经费及时、足额发放。预算执行中不存在无故拖延、错发、误发的情况发生，也无超范围发放等违纪记录情况发生。预算编制科学合理，减少结余资金。</w:t>
            </w:r>
          </w:p>
        </w:tc>
      </w:tr>
      <w:tr w14:paraId="56E5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4CB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9C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F0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6EA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43C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DC5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9E4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E0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E8E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3E30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AEB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BC0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857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19.07</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15B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29.52</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B42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29.52</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E20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1E44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A86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6D7E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0676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AA9D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26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4A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19.07</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009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29.52</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30CA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29.52</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3B4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679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8E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B0AD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887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34EE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1A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33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25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231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E11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81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0B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4103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1E0C4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275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47D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48C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FD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194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75A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B32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3D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A14A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62EB8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C64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E3A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21B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995F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A9C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BB2C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C99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086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088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0EE0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42C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24A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832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E1E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119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34F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A6EB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A52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EB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31D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26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704A6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BBAF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D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C8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36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400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C5B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BC7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2BE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C4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ED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3B4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49C64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EB9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84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83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95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E68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BCF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3D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3A2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E3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358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F7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5E31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43B6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45A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5C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2B9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55049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5F5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5712A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离退休人员经费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4729C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ED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DC380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61DC8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A0F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25E44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无</w:t>
            </w:r>
          </w:p>
        </w:tc>
      </w:tr>
      <w:tr w14:paraId="15111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5D36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969E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00FFC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2666403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nil"/>
              <w:left w:val="nil"/>
              <w:bottom w:val="nil"/>
              <w:right w:val="nil"/>
            </w:tcBorders>
            <w:shd w:val="clear" w:color="auto" w:fill="auto"/>
            <w:vAlign w:val="center"/>
          </w:tcPr>
          <w:p w14:paraId="771961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01" w:type="pct"/>
            <w:tcBorders>
              <w:top w:val="nil"/>
              <w:left w:val="nil"/>
              <w:bottom w:val="nil"/>
              <w:right w:val="nil"/>
            </w:tcBorders>
            <w:shd w:val="clear" w:color="auto" w:fill="auto"/>
            <w:vAlign w:val="center"/>
          </w:tcPr>
          <w:p w14:paraId="1638F40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67" w:type="pct"/>
            <w:tcBorders>
              <w:top w:val="nil"/>
              <w:left w:val="nil"/>
              <w:bottom w:val="nil"/>
              <w:right w:val="nil"/>
            </w:tcBorders>
            <w:shd w:val="clear" w:color="auto" w:fill="auto"/>
            <w:vAlign w:val="center"/>
          </w:tcPr>
          <w:p w14:paraId="7C17652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p w14:paraId="6E60774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260A694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7130ABA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p w14:paraId="1F6E511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20"/>
                <w:szCs w:val="20"/>
                <w:u w:val="none"/>
              </w:rPr>
            </w:pPr>
          </w:p>
        </w:tc>
        <w:tc>
          <w:tcPr>
            <w:tcW w:w="299" w:type="pct"/>
            <w:gridSpan w:val="2"/>
            <w:tcBorders>
              <w:top w:val="nil"/>
              <w:left w:val="nil"/>
              <w:bottom w:val="nil"/>
              <w:right w:val="nil"/>
            </w:tcBorders>
            <w:shd w:val="clear" w:color="auto" w:fill="auto"/>
            <w:vAlign w:val="center"/>
          </w:tcPr>
          <w:p w14:paraId="22DD7B8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31" w:type="pct"/>
            <w:gridSpan w:val="3"/>
            <w:tcBorders>
              <w:top w:val="nil"/>
              <w:left w:val="nil"/>
              <w:bottom w:val="nil"/>
              <w:right w:val="nil"/>
            </w:tcBorders>
            <w:shd w:val="clear" w:color="auto" w:fill="auto"/>
            <w:vAlign w:val="center"/>
          </w:tcPr>
          <w:p w14:paraId="5562F0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65" w:type="pct"/>
            <w:gridSpan w:val="2"/>
            <w:tcBorders>
              <w:top w:val="nil"/>
              <w:left w:val="nil"/>
              <w:bottom w:val="nil"/>
              <w:right w:val="nil"/>
            </w:tcBorders>
            <w:shd w:val="clear" w:color="auto" w:fill="auto"/>
            <w:vAlign w:val="center"/>
          </w:tcPr>
          <w:p w14:paraId="02AB569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694" w:type="pct"/>
            <w:tcBorders>
              <w:top w:val="nil"/>
              <w:left w:val="nil"/>
              <w:bottom w:val="nil"/>
              <w:right w:val="nil"/>
            </w:tcBorders>
            <w:shd w:val="clear" w:color="auto" w:fill="auto"/>
            <w:vAlign w:val="center"/>
          </w:tcPr>
          <w:p w14:paraId="7CB087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30" w:type="pct"/>
            <w:tcBorders>
              <w:top w:val="nil"/>
              <w:left w:val="nil"/>
              <w:bottom w:val="nil"/>
              <w:right w:val="nil"/>
            </w:tcBorders>
            <w:shd w:val="clear" w:color="auto" w:fill="auto"/>
            <w:vAlign w:val="center"/>
          </w:tcPr>
          <w:p w14:paraId="60EC5EE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201" w:type="pct"/>
            <w:tcBorders>
              <w:top w:val="nil"/>
              <w:left w:val="nil"/>
              <w:bottom w:val="nil"/>
              <w:right w:val="nil"/>
            </w:tcBorders>
            <w:shd w:val="clear" w:color="auto" w:fill="auto"/>
            <w:vAlign w:val="center"/>
          </w:tcPr>
          <w:p w14:paraId="69198B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787" w:type="pct"/>
            <w:tcBorders>
              <w:top w:val="nil"/>
              <w:left w:val="nil"/>
              <w:bottom w:val="nil"/>
              <w:right w:val="nil"/>
            </w:tcBorders>
            <w:shd w:val="clear" w:color="auto" w:fill="auto"/>
            <w:vAlign w:val="center"/>
          </w:tcPr>
          <w:p w14:paraId="3A49CB1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4ADDF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41FDF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4EC04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A05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7821A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51340024R000010721470-州本级离退休（职）人员经费（事业）</w:t>
            </w:r>
          </w:p>
        </w:tc>
      </w:tr>
      <w:tr w14:paraId="2BBC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F6E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CCB9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286C65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F70A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凉山州科学技术协会</w:t>
            </w:r>
          </w:p>
        </w:tc>
      </w:tr>
      <w:tr w14:paraId="05D97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A7E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CF8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BA6C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CE63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年度目标完成情况</w:t>
            </w:r>
          </w:p>
        </w:tc>
      </w:tr>
      <w:tr w14:paraId="7099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8CA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D12F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1472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F0A2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严格执行相关政策，保障工资及时、足额发放或社保及时、足额缴纳，预算编制科学合理，减少结余资金。</w:t>
            </w:r>
          </w:p>
        </w:tc>
      </w:tr>
      <w:tr w14:paraId="2AC83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CB2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F54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6545E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严格执行相关政策，定额定编逐人核定。保障离退休人员经费及时、足额发放。预算执行中不存在无故拖延、错发、误发的情况发生，也无超范围发放等违纪记录情况发生。预算编制科学合理，减少结余资金。</w:t>
            </w:r>
          </w:p>
        </w:tc>
      </w:tr>
      <w:tr w14:paraId="7BDFD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4308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A7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4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D4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2BC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C5E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D1A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C2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9E5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原因</w:t>
            </w:r>
          </w:p>
        </w:tc>
      </w:tr>
      <w:tr w14:paraId="5849E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59F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C81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EB8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86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0.37</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1B2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E67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ADD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130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659F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7D920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1C7F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7E9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279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7DE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0.37</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51B7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4CB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873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A0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60F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7D925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7503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0F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E39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91E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CC59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DF9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30A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684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06ED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38CE7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30C4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64F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97D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E6D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DDA3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656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340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C1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98E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40D55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572F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747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992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BB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398C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2230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3FD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67B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822C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20"/>
                <w:szCs w:val="20"/>
                <w:u w:val="none"/>
              </w:rPr>
            </w:pPr>
          </w:p>
        </w:tc>
      </w:tr>
      <w:tr w14:paraId="493CB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5FC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453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86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256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1EC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0E7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E0F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942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39B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659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C0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未完成原因分析</w:t>
            </w:r>
          </w:p>
        </w:tc>
      </w:tr>
      <w:tr w14:paraId="35E6F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06B6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DD9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7E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49A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发放（缴纳）覆盖率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6CF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76A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416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D5D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E4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794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B93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1A381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FF2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20"/>
                <w:szCs w:val="20"/>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269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06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CF2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足额保障率（参保率）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F43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292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84E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DA3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13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073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BED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20"/>
                <w:szCs w:val="20"/>
                <w:u w:val="none"/>
              </w:rPr>
            </w:pPr>
          </w:p>
        </w:tc>
      </w:tr>
      <w:tr w14:paraId="5A2F2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3043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257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7C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AB06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20"/>
                <w:szCs w:val="20"/>
                <w:u w:val="none"/>
              </w:rPr>
            </w:pPr>
          </w:p>
        </w:tc>
      </w:tr>
      <w:tr w14:paraId="321A3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158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EC4F7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保障离退休人员经费及时、足额发放。预算执行中不存在无故拖延、错发、误发的情况发生，也无超范围发放等违纪记录情况发生。预算编制科学合理，减少结余资金。从产出、效益、满意度指标等进行了以上打分，预算执行率100%，执行情况良好，自评得分100分。</w:t>
            </w:r>
          </w:p>
        </w:tc>
      </w:tr>
      <w:tr w14:paraId="0E42F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919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21B66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 xml:space="preserve">无 </w:t>
            </w:r>
          </w:p>
        </w:tc>
      </w:tr>
      <w:tr w14:paraId="4379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97E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CB49A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20"/>
                <w:szCs w:val="20"/>
                <w:u w:val="none"/>
              </w:rPr>
            </w:pPr>
            <w:r>
              <w:rPr>
                <w:rFonts w:hint="default" w:ascii="Times New Roman" w:hAnsi="Times New Roman" w:eastAsia="宋体" w:cs="Times New Roman"/>
                <w:i/>
                <w:iCs/>
                <w:color w:val="000000"/>
                <w:kern w:val="0"/>
                <w:sz w:val="20"/>
                <w:szCs w:val="20"/>
                <w:u w:val="none"/>
                <w:lang w:val="en-US" w:eastAsia="zh-CN" w:bidi="ar"/>
              </w:rPr>
              <w:t>无</w:t>
            </w:r>
          </w:p>
        </w:tc>
      </w:tr>
      <w:tr w14:paraId="1D675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EBE6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4318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财务负责人：毛正华</w:t>
            </w:r>
          </w:p>
        </w:tc>
      </w:tr>
      <w:tr w14:paraId="55382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4B0FCC6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130460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5527CA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534124F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3B1BD39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CD6E6C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0995FF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B34CF4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13B3BB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4C765B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10127D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24086B2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794E3B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0AC491B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77F1698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D39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1B8BD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0"/>
                <w:szCs w:val="20"/>
                <w:u w:val="none"/>
                <w:lang w:val="en-US" w:eastAsia="zh-CN" w:bidi="ar"/>
              </w:rPr>
              <w:t>部门预算项目支出绩效自评表（2025年度）</w:t>
            </w:r>
          </w:p>
        </w:tc>
      </w:tr>
      <w:tr w14:paraId="0EEFD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613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40912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51340024T000010558143-科创中国.天府科技云服务大会</w:t>
            </w:r>
          </w:p>
        </w:tc>
      </w:tr>
      <w:tr w14:paraId="05E3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1D9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6C1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773B79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A7C4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1F5B6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8AC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570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3A1D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CE2D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1B608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C4A8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37CE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1DC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创会“”是省科协在中国科协指导下联合省委组织部、省发改委等22家省级单位（部门）共同主办的科技服务大会。“”科创会“”每年召开一次，大会依托天府科技云平台，通过线上线下相结合的方式推广一批重大高新技术、转化一批重大科技成果、攻克一批重大科技难题，服务科技创新体系建设，实现科技项目推荐发布、对接洽谈、现场签约、交易合作、跟踪服务、落地运用，促进凉山经济、社会高速发展。</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38A3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创会“”是省科协在中国科协指导下联合省委组织部、省发改委等22家省级单位（部门）共同主办的科技服务大会。“”科创会“”每年召开一次，大会依托天府科技云平台，通过线上线下相结合的方式推广一批重大高新技术、转化一批重大科技成果、攻克一批重大科技难题，服务科技创新体系建设，实现科技项目推荐发布、对接洽谈、现场签约、交易合作、跟踪服务、落地运用，促进凉山经济、社会高速发展。</w:t>
            </w:r>
          </w:p>
        </w:tc>
      </w:tr>
      <w:tr w14:paraId="3712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D76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58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59887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本项目通过政府采购，委托专业第三方精心征集遴选优质科创项目、精心组织意向企业参会，确保项目落地转化效果；本次活动广泛宣介凉山本地高新技术、科技成果，解决企业技术难题，吸引多家本地企业主动表达合作意向，提高了企业的积极性。</w:t>
            </w:r>
          </w:p>
        </w:tc>
      </w:tr>
      <w:tr w14:paraId="7E8A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199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96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FB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37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733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4C2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55A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9F6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78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D134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CCF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498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34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5E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B18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1C5F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AA0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09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0AEF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54E1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D8F5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F3A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87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6E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E7CC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63C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711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273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681F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8257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B482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94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EE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D94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5A6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CE9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B327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9E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0A8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BECE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5BB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925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AF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94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2715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275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42B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2AA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DEA8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91FD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E0C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77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62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74F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14E47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42935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040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301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BFB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13441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76C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846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C82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BB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4E2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7A9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A99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D1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09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A4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323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C6AC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4AF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1AC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DD5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8A8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科创项目推介个数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AC1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690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E5A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C4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C96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06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4598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85A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B9A5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064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660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A2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搭建线下展区行业合格率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C06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162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2491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0D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B8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25C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EDF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6A4BD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E88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307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DC9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099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科创会完成时间</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254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9B4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年度1-5月</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060D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E4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年度1-5月</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25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15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08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1E9B6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8317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D88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121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E6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科创会产生的社会效益</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26D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205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推广一批重大高新技术、转化一批重大科技成果、攻克一批重大科技难题，服务科技创新体系建设。</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DAB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8EC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推广一批重大高新技术、转化一批重大科技成果、攻克一批重大科技难题，服务科技创新体系建设。</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6C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EAA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D1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12001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0C44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8F3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328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EC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科创会社会影响</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DE7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DA4E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CB6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481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DD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77C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C4CE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5D22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F574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F5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C7A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77C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科技工作者满意度</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A3F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F550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930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84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68F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8F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40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满意度和影响力方面不能达到预期目的，扣2分。</w:t>
            </w:r>
          </w:p>
        </w:tc>
      </w:tr>
      <w:tr w14:paraId="01C64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6761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754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B43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79B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预计科创会年所需费用</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885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DD4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F35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B23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97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31C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C50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D39D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1DC3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C1A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FB8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107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6D4C8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34F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E3C82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项目实施过程规范、有序，取得了显著成效，达到了预期目标。我们从产出、效益、满意度指标等进行了逐项认真的打分，预算执行率100%，执行情况良好。但因活动持续时间较短，活动主题单一，没有全覆盖州内各个行业和企业，产生的效果和影响不够长远，活动的宣传力度不够，满意度和影响力方面不能达到预期目的，故自评扣分2分、得分98分。</w:t>
            </w:r>
          </w:p>
        </w:tc>
      </w:tr>
      <w:tr w14:paraId="301B0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35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62817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由于活动持续时间较短，活动主题单一，没有全覆盖州内各个行业和企业，产生的效果和影响不够长远，活动的宣传力度不够。</w:t>
            </w:r>
          </w:p>
        </w:tc>
      </w:tr>
      <w:tr w14:paraId="7544D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0EB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1F8BA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根据工作部署安排，在年初开展政府采购，确定好第三方服务团队，开展好各项工作，扩大影响力和影响面。</w:t>
            </w:r>
          </w:p>
        </w:tc>
      </w:tr>
      <w:tr w14:paraId="270B9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FE13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项目负责人：余敏</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135C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1FDA7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6ACF2A5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6D9273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3377228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7D8585E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p w14:paraId="67E47C4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DD7745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7AC6D9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6C2DE5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18293F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43F264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30D8D0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B8EC93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A6AB0F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7395F7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2780CE5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7B3B965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49E181D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709196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2024050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33008F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7B524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C4D27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3594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4C7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F4F2B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51340024T000010581447-“最美科技工作者”评选活动</w:t>
            </w:r>
          </w:p>
        </w:tc>
      </w:tr>
      <w:tr w14:paraId="3088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51E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5AB3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E8E05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499C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74649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2BE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413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5578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6048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7F3A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BF38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CA2E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EB22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以“全国科技工作者日”庆祝活动为契机，开展“最美科技工作者”活动，积极宣传科技创新成果和科技工作者先进事迹，弘扬科学精神、传播科学思想，凝聚全州广大科技工作者力量，为发展新质生产力推动凉山高质量发展贡献科协力量。</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3ECF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以“全国科技工作者日”庆祝活动为契机，开展“最美科技工作者”活动，积极宣传科技创新成果和科技工作者先进事迹，弘扬科学精神、传播科学思想，凝聚全州广大科技工作者力量，为发展新质生产力推动凉山高质量发展贡献科协力量。</w:t>
            </w:r>
          </w:p>
        </w:tc>
      </w:tr>
      <w:tr w14:paraId="43E54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BCD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B0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632D5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2025年5月30日开展了以“矢志创新发展 建设科技强州”为主题的第九个“全国科技工作者日”活动。吸引了众多科技工作者、市民群众积极参与。科技工作者代表进行文艺表演，活动现场还开展科普进社区等活动。拍摄的最美科技工作者记录片《追光2》在庆祝活动和融媒体中心进行播放。项目得到参与群众和科技工作者等的高度评价。</w:t>
            </w:r>
          </w:p>
        </w:tc>
      </w:tr>
      <w:tr w14:paraId="6787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C36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5C7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E9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01F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026F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237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640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F37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A94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5CC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461B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653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CE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ADF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C2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D1F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380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F8F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7C97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69B0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B647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C4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B3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0E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B0C3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951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849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563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B22C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49092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A273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51B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55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043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B7E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150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BD4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84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7BE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2A13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CA7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DC9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957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E1D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96B5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84D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73A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83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2ED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7DD0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25B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73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357E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CA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761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F5B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1C5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3F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CD18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iCs/>
                <w:color w:val="000000"/>
                <w:sz w:val="18"/>
                <w:szCs w:val="18"/>
                <w:u w:val="none"/>
              </w:rPr>
            </w:pPr>
          </w:p>
        </w:tc>
      </w:tr>
      <w:tr w14:paraId="5BEAE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AE8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137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A6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C1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9EE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411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E1C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64B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A07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1E6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E14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A145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AD8F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A2E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07F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FC9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评选州级最美优秀科技工作者人数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FE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50A9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366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61A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9DE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B6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BD87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585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213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C24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8755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16C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聘请第三方专业团队</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06E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2CB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F2F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家/个/批次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FAC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EBF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3A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C90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7924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BDD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77E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F70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57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评选出州级最美优秀科技工作者达标率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BA4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C2E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858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6D8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1A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50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9A86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4C8A9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D973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E7C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8D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5C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评选最美优秀科技工作者完成时间</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DD5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D1C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CA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4D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A3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DB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15E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0177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533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2A0E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4A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13A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评选最美优秀科技工作者取得的社会效益</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4A4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CF06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积极宣传科技创新成果和科技工作者先进事迹，弘扬科学精神、传播科学思想，凝聚全州广大科技工作者力量。</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C09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AB2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积极宣传科技创新成果和科技工作者先进事迹，弘扬科学精神、传播科学思想，凝聚全州广大科技工作者力量。</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85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F39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8A8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短期见效不明显，培养储备最美科技工作者方面较欠缺。扣2分</w:t>
            </w:r>
          </w:p>
        </w:tc>
      </w:tr>
      <w:tr w14:paraId="2B2CE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FF61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24C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126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4E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评选最美优秀科技工作者可持续影响时间</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76E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0B2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451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710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3F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58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30D3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291F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C037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F9EB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7C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9C5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822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EC49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339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C7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0B3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BA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E4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满意度未达预期目的。扣2分</w:t>
            </w:r>
          </w:p>
        </w:tc>
      </w:tr>
      <w:tr w14:paraId="2F4C1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3A7C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FAF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66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6AB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预计评选最美优秀科技工作者所需经费</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ADD0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77D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A0E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BB7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5FD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EEC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6AB1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jc w:val="center"/>
              <w:rPr>
                <w:rFonts w:hint="default" w:ascii="Times New Roman" w:hAnsi="Times New Roman" w:eastAsia="宋体" w:cs="Times New Roman"/>
                <w:i/>
                <w:iCs/>
                <w:color w:val="000000"/>
                <w:sz w:val="18"/>
                <w:szCs w:val="18"/>
                <w:u w:val="none"/>
              </w:rPr>
            </w:pPr>
          </w:p>
        </w:tc>
      </w:tr>
      <w:tr w14:paraId="53B0E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AC8B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160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13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7E5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055C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79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0BA6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项目符合国家大政方针政策，预期社会效益较显著，资金得到财政支持，属于可持续项目。由于项目资金有限，不能完全满足科技工作者等的愿望，满意度未达预期目的；服务科技工作者是长期性工作，短期见效不明显；培养、储备最美科技工作者方面较欠缺。综合以上情况，故自评扣分4分，得分96分。</w:t>
            </w:r>
          </w:p>
        </w:tc>
      </w:tr>
      <w:tr w14:paraId="33C9F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AD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1ABFD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项目资金有限，满意度未达预期目的；培养、储备最美科技工作者方面较欠缺。</w:t>
            </w:r>
          </w:p>
        </w:tc>
      </w:tr>
      <w:tr w14:paraId="60B1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D2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9C986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180" w:lineRule="exact"/>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 xml:space="preserve">  做好资金预测，争取政府适度增加投入资金；日常工作中注重培育科技工作者，并收集整理其优秀素材。</w:t>
            </w:r>
          </w:p>
        </w:tc>
      </w:tr>
      <w:tr w14:paraId="2E11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C4A8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项目负责人：饿木乌洛、李红</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7327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6C01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8CDA5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268578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73CB8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p w14:paraId="0EA3FE15">
            <w:pPr>
              <w:pStyle w:val="8"/>
              <w:keepNext w:val="0"/>
              <w:keepLines w:val="0"/>
              <w:suppressLineNumbers w:val="0"/>
              <w:spacing w:before="0" w:beforeAutospacing="0" w:after="0" w:afterAutospacing="0"/>
              <w:ind w:left="0" w:leftChars="0" w:right="0" w:firstLine="0" w:firstLineChars="0"/>
              <w:rPr>
                <w:rFonts w:hint="default" w:ascii="Times New Roman" w:hAnsi="Times New Roman" w:cs="Times New Roman"/>
                <w:lang w:val="en-US" w:eastAsia="zh-CN"/>
              </w:rPr>
            </w:pPr>
          </w:p>
          <w:p w14:paraId="22500C76">
            <w:pPr>
              <w:pStyle w:val="8"/>
              <w:keepNext w:val="0"/>
              <w:keepLines w:val="0"/>
              <w:suppressLineNumbers w:val="0"/>
              <w:spacing w:before="0" w:beforeAutospacing="0" w:after="0" w:afterAutospacing="0"/>
              <w:ind w:left="0" w:leftChars="0" w:right="0" w:firstLine="0" w:firstLineChars="0"/>
              <w:rPr>
                <w:rFonts w:hint="default" w:ascii="Times New Roman" w:hAnsi="Times New Roman" w:cs="Times New Roman"/>
                <w:lang w:val="en-US" w:eastAsia="zh-CN"/>
              </w:rPr>
            </w:pPr>
          </w:p>
          <w:p w14:paraId="6634173A">
            <w:pPr>
              <w:pStyle w:val="8"/>
              <w:keepNext w:val="0"/>
              <w:keepLines w:val="0"/>
              <w:suppressLineNumbers w:val="0"/>
              <w:spacing w:before="0" w:beforeAutospacing="0" w:after="0" w:afterAutospacing="0"/>
              <w:ind w:left="0" w:leftChars="0" w:right="0" w:firstLine="0" w:firstLineChars="0"/>
              <w:rPr>
                <w:rFonts w:hint="default" w:ascii="Times New Roman" w:hAnsi="Times New Roman" w:cs="Times New Roman"/>
                <w:lang w:val="en-US" w:eastAsia="zh-CN"/>
              </w:rPr>
            </w:pPr>
          </w:p>
          <w:p w14:paraId="0018BB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1B05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8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4F249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51340024Y000010282374-州本级定额公用经费（行政）</w:t>
            </w:r>
          </w:p>
        </w:tc>
      </w:tr>
      <w:tr w14:paraId="41D90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364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1DD8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1EFE09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FE97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4AB1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BD4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C9D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D08E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BCE8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6C4F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75E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6087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252B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BC0D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63C91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A8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C8A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CA729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严格执行相关政策，定额定编逐人核定。厉行节约，保障公用经费及时支付，确保单位日常工作高效运转。预算编制科学合理，减少结余资金。</w:t>
            </w:r>
          </w:p>
        </w:tc>
      </w:tr>
      <w:tr w14:paraId="01B4A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A1A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F62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D28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7FC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B9D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B93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793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BC5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DBB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14E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BC9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40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78A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51F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35A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061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421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80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F25C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003DC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9768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28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30E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22C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64D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9A9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B03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4B3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F271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892A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E670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AA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44D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33F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02F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2B7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B6D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C7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7985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8A16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BF43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42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AD7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E3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C40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AC6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628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40B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50EB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4193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16C9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084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3AB1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F0B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447B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D6EE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FF9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FF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5A24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3B8CE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31A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F4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E2D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7FC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86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1B6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AD5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D9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5D5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71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E32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B171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BDF3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48B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37D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C64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65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3FE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9D0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A9D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AA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A3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B5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CAF9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B9A6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1AA1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17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74B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216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827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429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945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80F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6B6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2C4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9B53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F443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61A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2B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C24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B00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815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934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333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5D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8A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5D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33891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BDD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DBC6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19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F8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EB1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B1E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A22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2F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6DB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22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A31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4CDC5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8C92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FE8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08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EE8D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5B0AA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D5B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D4387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保障公用经费及时支付，确保单位日常工作高效运转。预算编制科学合理，减少结余资金。预算执行率100%，自评得分100分。</w:t>
            </w:r>
          </w:p>
        </w:tc>
      </w:tr>
      <w:tr w14:paraId="6DDEB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60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9E51D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61B9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C8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E4A4B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65476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9198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68C0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6349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jc w:val="center"/>
        </w:trPr>
        <w:tc>
          <w:tcPr>
            <w:tcW w:w="284" w:type="pct"/>
            <w:tcBorders>
              <w:top w:val="nil"/>
              <w:left w:val="nil"/>
              <w:bottom w:val="nil"/>
              <w:right w:val="nil"/>
            </w:tcBorders>
            <w:shd w:val="clear" w:color="auto" w:fill="auto"/>
            <w:vAlign w:val="center"/>
          </w:tcPr>
          <w:p w14:paraId="060542C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498C9A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26950EF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462E02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08CB4FE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C1699C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2E9A89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260B52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A5476E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C89616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9D274F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5B4483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CF3AF7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839F9D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2C32C2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1662583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6657F34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1584CA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1334D1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300E27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57B5AEA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3EA9302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661D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661B4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r>
              <w:rPr>
                <w:rFonts w:hint="default" w:ascii="Times New Roman" w:hAnsi="Times New Roman" w:eastAsia="宋体" w:cs="Times New Roman"/>
                <w:b/>
                <w:bCs/>
                <w:i w:val="0"/>
                <w:iCs w:val="0"/>
                <w:color w:val="000000"/>
                <w:kern w:val="0"/>
                <w:sz w:val="18"/>
                <w:szCs w:val="18"/>
                <w:u w:val="none"/>
                <w:lang w:val="en-US" w:eastAsia="zh-CN" w:bidi="ar"/>
              </w:rPr>
              <w:t>）</w:t>
            </w:r>
          </w:p>
        </w:tc>
      </w:tr>
      <w:tr w14:paraId="05403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FFD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513C1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51340024Y000010282596-州本级定额公用经费（事业）</w:t>
            </w:r>
          </w:p>
        </w:tc>
      </w:tr>
      <w:tr w14:paraId="61AD2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22A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CAEF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79EF66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F0CD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2A25C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F06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3D8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3674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3739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7295B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97A5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4C39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7E68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C849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0CB0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262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D4E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F9776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严格执行相关政策，定额定编逐人核定。厉行节约，保障公用经费及时支付，确保单位日常工作高效运转。预算编制科学合理，减少结余资金。</w:t>
            </w:r>
          </w:p>
        </w:tc>
      </w:tr>
      <w:tr w14:paraId="5EB82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2C6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9B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F4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E27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E00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5A1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FDC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3AE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3EE5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B9F5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4F2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3CF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06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F0F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5A0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8F4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6A0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43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3E3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1DC8D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DCE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96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417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BB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2FE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2A0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DE2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C5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4218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21E9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B6C4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F7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3D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96C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584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918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EFC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17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9BF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60004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4B4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7CD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8DC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86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20D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7658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627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6BF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D00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584B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D6D3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107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CBC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204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357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111A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A8E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65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32A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6CD2C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536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5E58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C8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091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938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88E7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36C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1CD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6BE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D2D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92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3968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4AD7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426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83A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BB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774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EC1A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D47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AB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F67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29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05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3216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DB50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0C0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39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8A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1AE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D6A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63D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C3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1E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AD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4C1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42B0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68AC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6B8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592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683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54E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F9E5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718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8F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E0C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51A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886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414E8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1958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7AC0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78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4A0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E0B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8884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ABD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9F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F0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75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E21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35A3B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3483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61F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D1D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41A4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47B46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698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272D2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保障公用经费及时支付，确保单位日常工作高效运转。预算编制科学合理，减少结余资金。预算执行率100%，自评得分100分。</w:t>
            </w:r>
          </w:p>
        </w:tc>
      </w:tr>
      <w:tr w14:paraId="2241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2C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79044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29C06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77A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BE67D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iCs/>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无</w:t>
            </w:r>
          </w:p>
        </w:tc>
      </w:tr>
      <w:tr w14:paraId="2D3B7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5957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87E0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5313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4DFE10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CD810C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53ECE3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0C50EE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79D630F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047568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89634F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2ABD3B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4794861">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7E645D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094AA1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4CE11CE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2EACC2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1909ECB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77E0B87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6EB03EF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66DC12D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3324935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5B74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AB3E7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0F1E5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837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6ABD3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51340024Y000010282983-州本级公务用车运行维护费（行政）</w:t>
            </w:r>
          </w:p>
        </w:tc>
      </w:tr>
      <w:tr w14:paraId="5EC35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AED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3698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3A32B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A010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24F8E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029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8B66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E9F1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13B5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04D7A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08E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8B1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328D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C810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2E46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D204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64F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C6BCA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严格执行相关政策和州机关事务局核定车辆，定额定编核定公务用车运行维护费。坚持厉行节约，保障经费及时支付，确保单位日常工作高效运转。预算编制科学合理，减少结余资金。</w:t>
            </w:r>
          </w:p>
        </w:tc>
      </w:tr>
      <w:tr w14:paraId="00DBA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603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FD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38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5A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CB8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2FE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2DC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B83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2C3A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B41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5135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821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4E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598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41D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82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9E6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320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16B0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F853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04D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4F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228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3F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DE5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444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611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EB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037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6CCC9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8A3C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9A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1D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5AC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4405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79C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059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0F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FBE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EB83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4238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CD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20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9A6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9FAE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1CA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EE3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45C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7120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0560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EFAD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81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39E7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EABE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4D1BE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6932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B91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228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1E8A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66C4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14D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09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52F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EE5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B9D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2522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60D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D3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F88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B9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398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B54D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979D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770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168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AA9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2FC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4CC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244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1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088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AC2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01F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24D0D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7A2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C190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D57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29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363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9FC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48F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C5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27B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A2A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B327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3AC6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57DE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232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46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721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61F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02C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52C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EB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E4D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6F2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60C5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7241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AA88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5531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26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472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7A9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549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55FC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8CF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891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3CF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0FD6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3AF72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BDB3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99E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17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D1AB4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18689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98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63E08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和州机关事务局核定车辆，定额定编核定公务用车运行维护费。坚持厉行节约，保障经费及时支付，确保单位日常工作高效运转。预算编制科学合理，减少结余资金。预算执行率100%，自评得分100分。</w:t>
            </w:r>
          </w:p>
        </w:tc>
      </w:tr>
      <w:tr w14:paraId="6040F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58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A2251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364EC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BC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B7ED5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无 </w:t>
            </w:r>
          </w:p>
        </w:tc>
      </w:tr>
      <w:tr w14:paraId="5D025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C79E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F6FB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7E6F2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080A57A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74600D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4810B2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610B1C9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5B1D36B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853EE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77CAC1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C7384F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A7E823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C78C0D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DAE184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B4D832A">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6F5FEB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624BCA9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757D9D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2CB8FB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1B7F00C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478933D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0DB36C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41BB1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3947C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6C536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966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7E1A6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51340024Y000010283058-州本级其他公用经费（行政）</w:t>
            </w:r>
          </w:p>
        </w:tc>
      </w:tr>
      <w:tr w14:paraId="337A2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BE7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58D5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6AD91D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D678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5AE85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66D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CD6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BB91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966C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67B5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620D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E69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35BB7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1B59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5DE64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0B0A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B67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0F78A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严格执行相关政策，定额定编逐人核定。厉行节约，保障公用经费及时支付，确保单位日常工作高效运转。预算编制科学合理，减少结余资金。</w:t>
            </w:r>
          </w:p>
        </w:tc>
      </w:tr>
      <w:tr w14:paraId="42D9E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7F0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BDB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37B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FC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B14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408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F9E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8F6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60D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C21E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88C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F2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89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EBF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E903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C47D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AC7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147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6AA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18A59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B8B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95F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C94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00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9.96</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C8F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9.96</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498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C653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433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7188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0B9B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B62C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DE0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C5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5C1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9EA8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86A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8AB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85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2099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1A41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689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14C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5D9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16C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AC6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1C6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0CC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BAC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E796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1D6F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D9E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AF3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B6F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9EFD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907D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0DC3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241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B6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0C4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5C9C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6F0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CBB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D5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D95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1B6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12A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829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625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A07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92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DB8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3F7F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20AF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33B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BB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71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B49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1F9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B04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B5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CFC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E40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E5B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06912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8CB9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BD66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663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4D5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987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688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7D0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FD2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B6C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764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123A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6716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709A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DE9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A58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BB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E73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795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198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F5B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F0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FCE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5566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5DFA8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B8FC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DAA0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C41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D6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AB80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952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805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DF7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9B8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0E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111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4452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CAA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F3C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03A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A17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44BD9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A7E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5C836A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严格执行相关政策，定额定编逐人核定。厉行节约，保障公用经费及时支付，确保单位日常工作高效运转。预算编制科学合理，减少结余资金。预算执行率100%，自评100分。</w:t>
            </w:r>
          </w:p>
        </w:tc>
      </w:tr>
      <w:tr w14:paraId="069E5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A2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12E4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4FAB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36A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B2ACE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无 </w:t>
            </w:r>
          </w:p>
        </w:tc>
      </w:tr>
      <w:tr w14:paraId="75991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48EE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96DE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542C4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2C250A2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4E45FC0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70373F2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7B49C5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0534A7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13B5E54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4CF0D3E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38E95E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FCDC1C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C2D19E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B06DEC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FBFE6C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D54D01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C996E8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52EEDB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148BCDA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4E1CA3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4A27CB8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769383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3725FF3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7953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1824F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18E4E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244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715DE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51340024Y000010283360-州本级在职人员工会经费、福利费（行政）</w:t>
            </w:r>
          </w:p>
        </w:tc>
      </w:tr>
      <w:tr w14:paraId="483BE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624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9BD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5F678E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C7E5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1C5F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76C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53C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B4DA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C8C1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51075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DCD8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F98F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C9A4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46E8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29A5C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345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2A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11B0C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严格执行相关政策，定额定编逐人核定工会经费和福利费。预算编制科学合理，减少结余资金。</w:t>
            </w:r>
          </w:p>
        </w:tc>
      </w:tr>
      <w:tr w14:paraId="11EBE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262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E2A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FD4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4EC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EB38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F48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E07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A5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5053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4533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6422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26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DF6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B45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2CCB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65A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566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BA5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7F2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BE93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92F8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2CE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52A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D22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5F0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099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269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B05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5B1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0C1B6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8F6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D0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75B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A80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1C3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6FA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303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8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140E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79813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5A48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98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3B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9A7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72B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06E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468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E0AE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8ED8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D20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4C9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057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19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C92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1837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A71A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C04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A6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708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1972E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B43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F57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558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619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A9F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B1D5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DFB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22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F23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3E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3DB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6B52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20B5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DD6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CA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89D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053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504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CA6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A75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355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9C3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F65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4AC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97BF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A843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65A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455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B6F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E63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122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747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96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71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FE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C640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F488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205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BE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DC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9896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68F1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F8F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10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934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F69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93DC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2BC8F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6A0B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6583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81B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762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E7D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A20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E73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210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2F5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173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1DA1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787A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5168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CA2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2C7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7FF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5E8A7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3B9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F1CF6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格执行相关政策，定额定编逐人核定工会经费和福利费。预算编制科学合理，减少结余资金。预算执行率100%，自评得分100分。</w:t>
            </w:r>
          </w:p>
        </w:tc>
      </w:tr>
      <w:tr w14:paraId="65050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D2D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13B2C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6993C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521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D94E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7616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F7B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6504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41F80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709D281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9F2789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3FFDBB4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5709AD1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3E71B72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657A518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97536C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BFA65C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3CE503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405291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69B200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89073D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0ACE6C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2D6D2A3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52F6543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26B506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4E57613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2097966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3ED0F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DFEA5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288FD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57A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14A69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51340024Y000010284429-州本级在职人员工会经费、福利费（事业）</w:t>
            </w:r>
          </w:p>
        </w:tc>
      </w:tr>
      <w:tr w14:paraId="57CB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BE0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44C7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74C6D0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2A98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6DF9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2B4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D9C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C71D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7A19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4BB9B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99D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41F3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C03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96B3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1E724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8B4A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AFB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C69B4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严格执行相关政策，定额定编逐人核定工会经费和福利费。年度严格执行，确保职工利益。预算编制科学合理，减少结余资金。</w:t>
            </w:r>
          </w:p>
        </w:tc>
      </w:tr>
      <w:tr w14:paraId="333FA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DB5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13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CBB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050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923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AD1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158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EB6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78B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ECB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4F00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51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31B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4686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CC2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DB4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C06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3D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988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0C16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042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788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78B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D47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9ED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E39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1FB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03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9804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3297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D73F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5F1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E1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6E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1E6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33B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DDE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6F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2CB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4DF1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625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4A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1E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65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B08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113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EBC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4C5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E80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357F5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010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82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21FF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074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02C8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D32D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B61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C7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55B7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A2CF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9E3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E8F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C879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E9E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7349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48F5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939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9F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C3D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66B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46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03FA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10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578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EB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AA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A5F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E19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B21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4D0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E3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090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7EA2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6AFBF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2E17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45F0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577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EEC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CDB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BD4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E9F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067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4A6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F2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1A65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A3F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411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083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10F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169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B07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E83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993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865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81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50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32D1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089A3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5D0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E3D5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22C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41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615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800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273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42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BF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BB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7723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2E11C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1983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818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963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B7AF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5036B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AF2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94164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格执行相关政策，定额定编逐人核定工会经费和福利费。预算编制科学合理，减少结余资金。预算执行率100%，自评得分100分。</w:t>
            </w:r>
          </w:p>
        </w:tc>
      </w:tr>
      <w:tr w14:paraId="3BEAE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C0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1977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465DF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7A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34800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7525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191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2B37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79662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73788A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30BC43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4BCE351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49A2329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3E4719F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17C332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3B27D9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174CFB4">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4AE4B2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5F2322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1CF1AC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876E76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3E9425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6A7B9EC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6292F9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0A17D06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559F19A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622DFD6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3E4D2A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782653B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7630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8"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EB798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49E7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5C7B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5497A2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51340024Y000010284485-州本级离休人员公用经费（行政离休）</w:t>
            </w:r>
          </w:p>
        </w:tc>
      </w:tr>
      <w:tr w14:paraId="2EBC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BE6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06A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409679D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3611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07CFA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792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546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8B2C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DD9F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085CD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940C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97F1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45FE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59E0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0A12E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BC6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1BE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D3CE4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严格执行相关政策，定额定编逐人核定离休公用经费。预算编制科学合理，减少结余资金。</w:t>
            </w:r>
          </w:p>
        </w:tc>
      </w:tr>
      <w:tr w14:paraId="2B954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EAA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02C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54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00F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355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794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4B5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67D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905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7CF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ABE0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EB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66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687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0.47</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5A2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01A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D96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22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B728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2D0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DBC4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10D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49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2B5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0.47</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C0DD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0.47</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C3B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FDC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525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D60A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684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8D30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B70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30D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AE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75E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F74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4FA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E5D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78DE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169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297A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224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83C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D24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7425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F89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96E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B9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750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332F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D60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C5B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6E1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DCAC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4628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B9B6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500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9B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9218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7713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A6B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AA6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861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70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7F35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C19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9A3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29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85A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35E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F9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8AF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2C0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F58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863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8F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6C9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D69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FAD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CC3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17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1AF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D997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756C5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8E12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B8A7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3B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0A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BD8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0789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10B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8E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D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AAE9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1F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0A157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758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466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4F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20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25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2751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E95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994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11C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0A0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018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988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F96C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CA39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8E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541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4CE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43B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61A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123C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82C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9494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D0C7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7C7BE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6B9B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BE02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D3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1D91D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78895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5BC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E757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严格执行相关政策，定额定编逐人核定离休公用经费。预算编制科学合理，减少结余资金。预算执行率100%，自评得分100分。</w:t>
            </w:r>
          </w:p>
        </w:tc>
      </w:tr>
      <w:tr w14:paraId="785F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8F7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3C566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51CD2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39C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0A7FA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2909B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683F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80CA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6D991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84" w:type="pct"/>
            <w:tcBorders>
              <w:top w:val="nil"/>
              <w:left w:val="nil"/>
              <w:bottom w:val="nil"/>
              <w:right w:val="nil"/>
            </w:tcBorders>
            <w:shd w:val="clear" w:color="auto" w:fill="auto"/>
            <w:vAlign w:val="center"/>
          </w:tcPr>
          <w:p w14:paraId="3F4557A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26F2F38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742B10C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26B1B37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294A8B0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66D318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8F5D84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B71A09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84919CB">
            <w:pPr>
              <w:pStyle w:val="8"/>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i w:val="0"/>
                <w:iCs w:val="0"/>
                <w:color w:val="000000"/>
                <w:sz w:val="18"/>
                <w:szCs w:val="18"/>
                <w:u w:val="none"/>
              </w:rPr>
            </w:pPr>
          </w:p>
          <w:p w14:paraId="2361F5F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27B0DE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69B333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4D9209C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6DC85D4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4A86945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77AA62E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0C28CE1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2DC13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F3782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50F5A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169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F71FB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51340024Y000010284569-州本级退休人员公用经费（行政退休）</w:t>
            </w:r>
          </w:p>
        </w:tc>
      </w:tr>
      <w:tr w14:paraId="60DE2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CC2E2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0453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243DDA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7E368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7F6F6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9F1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715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4291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0D02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79976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759B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BEBE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799A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D7AA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7B9B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2E06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E6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4A590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严格执行相关政策，定额定编逐人核定退休公用经费。预算编制科学合理，减少结余资金。</w:t>
            </w:r>
          </w:p>
        </w:tc>
      </w:tr>
      <w:tr w14:paraId="5CD7D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AF5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143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1C1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C86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961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34A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99E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7C6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D14C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AA76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A840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515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578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3.62</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C2A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EB1E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0C1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55E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D8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64FE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46EE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DFE8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AAD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657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3.62</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DC9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78B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43BD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BCC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41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7567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387C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13E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9A1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639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7C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85E1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3CF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604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06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AF76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76AD6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2C4B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CEA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8CF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DBA9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2936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62B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5EDF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CF5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C3A0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70B12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BE42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D3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AC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8B7C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9B2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D51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7EE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7B8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4B64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0695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FBD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2783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0D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6B5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A00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15EA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4E3B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570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F7B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38E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30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8FDF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7A4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482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6B8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188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1D0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CD5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7720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806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C85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8BB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DCF6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58C36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194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06C8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368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3D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4A1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305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446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6AC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78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63B3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D056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2DBDE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2E76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5EE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75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D0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0B0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79F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128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A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EA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06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12D5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19AE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762A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B14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A04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BF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4ED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084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1E9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723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D3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371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C0A2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0723A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8C7F5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ABE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AB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CA70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74EBA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214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4B9B5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严格执行相关政策，定额定编逐人核定退休公用经费。预算编制科学合理，减少结余资金。预算执行率100%，自评得分100分。</w:t>
            </w:r>
          </w:p>
        </w:tc>
      </w:tr>
      <w:tr w14:paraId="6DAA4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AF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1A2EB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68784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02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F8579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435E8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89C6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D387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49998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01C1376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02960B1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4B22F90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5661E0D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67EA8627">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1E1134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5F71E1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40D810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352C009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2D7BC0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91BB2B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262CCBF">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450C742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446CCE70">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619A8E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D90F43D">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400402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0867C72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22CAB13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1D53F04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3AC18A0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598A4F5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275ED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70964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2027B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7CD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F449D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51340024Y000010284590-州本级退休人员公用经费（事业退休）</w:t>
            </w:r>
          </w:p>
        </w:tc>
      </w:tr>
      <w:tr w14:paraId="78B7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2284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2B7C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66224D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63E8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51561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6AC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08F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4A87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1A024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0C82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126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9ABE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6855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799A4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对照年度目标，说明相关任务目标的完成情况（100字以内）</w:t>
            </w:r>
          </w:p>
        </w:tc>
      </w:tr>
      <w:tr w14:paraId="62413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E901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25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4C68B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严格执行相关政策，定额定编逐人核定退休公用经费。预算编制科学合理，减少结余资金。</w:t>
            </w:r>
          </w:p>
        </w:tc>
      </w:tr>
      <w:tr w14:paraId="7CFEA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378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1F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69E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55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27D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338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F2B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FC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08A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B4B6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2D6C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C1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3A0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004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BC1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A1C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172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0E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8C81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AFF4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64D4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2C2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B3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270A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3D21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883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CBA1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99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35FA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055B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85C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98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C0C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478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DBC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F48A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0F4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5D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1808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FFB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48C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386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B8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00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36F8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263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3C5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85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13B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75B8E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A6E4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F81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DAC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B349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6CC8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FA3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7BD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59C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1AD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F757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B493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3C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96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BC9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886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9F85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2FB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23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B4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CA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C9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2547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5496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A47D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7BE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FE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FD4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E66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77D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EA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5B1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C19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13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03933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1BF8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0FF9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583B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82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A769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065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FFB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BC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602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8D2E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C97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2A7F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D02B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597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7A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4DE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937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048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1A2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33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BD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C3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742F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55FF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E4EA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1469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7EC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AE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0B2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46F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EF7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29D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10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DBB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B6E3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694A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AB0E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018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84B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2C13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5EA0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115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57F6F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严格执行相关政策，定额定编逐人核定退休公用经费。预算编制科学合理，减少结余资金。预算执行率100%，自评得分100分。</w:t>
            </w:r>
          </w:p>
        </w:tc>
      </w:tr>
      <w:tr w14:paraId="2A26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367B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63891B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0DA5C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188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DF315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1839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164A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4B14F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1417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313980F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7AD35D3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3569586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3E89A7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57B8228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9208EC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59E658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F3D0BFB">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799EB742">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2C7378A6">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6E9F1223">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0CB112A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40503DE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72CD8E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1DDB00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7F1674D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18F13C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62392CC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4552A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F7316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18D10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188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0ED94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51340024Y000010284631-州本级体检经费（行政）</w:t>
            </w:r>
          </w:p>
        </w:tc>
      </w:tr>
      <w:tr w14:paraId="4DF33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9435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3494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51408A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235A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585CD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94E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395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AAB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1FE3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3D8FD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05B8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CA602">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6C9EF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8BD4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5D4E9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1C6A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866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6F2B9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严格执行相关政策，定额定编逐人核定职工体检经费。预算编制科学合理，减少结余资金。</w:t>
            </w:r>
          </w:p>
        </w:tc>
      </w:tr>
      <w:tr w14:paraId="0C2A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BA3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9E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4C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AF0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4BF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B6D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C52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B3C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1135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1B99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EC3E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62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C5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3.32</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2C7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3.11</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8CA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3.11</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0B2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216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AB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BAA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5A15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769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D0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5D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3.32</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2D2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3.11</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88E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3.11</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FFA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AA1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506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F20B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7C48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4608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D30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8F8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D06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5B2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854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0FF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DB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AC08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1D5DF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55A9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051B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9AF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DE0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147B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5878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90D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5A5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DFF0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E653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6A4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158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A2E3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F50E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1BAC1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F505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49DE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423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798F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7C5F1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388A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CAB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62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96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7FE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321E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73F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5B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AE0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EAF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9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7C53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BAFF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2F9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388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105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762E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B894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622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29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697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E30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7C5E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660F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6E0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DA7F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97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561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7E15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E0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651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C28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762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1B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CCB1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0A412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4BAD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E3D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EEA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25B2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9110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AB5B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D49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F26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CB4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50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427E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49EA5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07D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D5C1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C24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53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F61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352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B466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7F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7BE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EE0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F28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5364B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B70D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0414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BB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9AAF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5564A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103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45AAD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严格执行相关政策，定额定编逐人核定职工体检经费。年中按照实际体检人数如实支付费用。预算编制科学合理，减少结余资金。预算执行率100%，自评得分100分。</w:t>
            </w:r>
          </w:p>
        </w:tc>
      </w:tr>
      <w:tr w14:paraId="18E22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8109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A10B3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73B0D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FD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9A1B5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72816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8E70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CFA3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r w14:paraId="1F28D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tcBorders>
              <w:top w:val="nil"/>
              <w:left w:val="nil"/>
              <w:bottom w:val="nil"/>
              <w:right w:val="nil"/>
            </w:tcBorders>
            <w:shd w:val="clear" w:color="auto" w:fill="auto"/>
            <w:vAlign w:val="center"/>
          </w:tcPr>
          <w:p w14:paraId="03BA5D9D">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nil"/>
              <w:left w:val="nil"/>
              <w:bottom w:val="nil"/>
              <w:right w:val="nil"/>
            </w:tcBorders>
            <w:shd w:val="clear" w:color="auto" w:fill="auto"/>
            <w:vAlign w:val="center"/>
          </w:tcPr>
          <w:p w14:paraId="24309D9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01" w:type="pct"/>
            <w:tcBorders>
              <w:top w:val="nil"/>
              <w:left w:val="nil"/>
              <w:bottom w:val="nil"/>
              <w:right w:val="nil"/>
            </w:tcBorders>
            <w:shd w:val="clear" w:color="auto" w:fill="auto"/>
            <w:vAlign w:val="center"/>
          </w:tcPr>
          <w:p w14:paraId="080A624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p w14:paraId="7B94CEA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D3D56D9">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25AAD5E">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5006DB45">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1A35AD28">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44EF718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p w14:paraId="0CDCC59C">
            <w:pPr>
              <w:pStyle w:val="8"/>
              <w:keepNext w:val="0"/>
              <w:keepLines w:val="0"/>
              <w:suppressLineNumbers w:val="0"/>
              <w:spacing w:before="0" w:beforeAutospacing="0" w:after="0" w:afterAutospacing="0"/>
              <w:ind w:left="0" w:right="0"/>
              <w:rPr>
                <w:rFonts w:hint="default" w:ascii="Times New Roman" w:hAnsi="Times New Roman" w:eastAsia="宋体" w:cs="Times New Roman"/>
                <w:i w:val="0"/>
                <w:iCs w:val="0"/>
                <w:color w:val="000000"/>
                <w:sz w:val="18"/>
                <w:szCs w:val="18"/>
                <w:u w:val="none"/>
              </w:rPr>
            </w:pPr>
          </w:p>
        </w:tc>
        <w:tc>
          <w:tcPr>
            <w:tcW w:w="667" w:type="pct"/>
            <w:tcBorders>
              <w:top w:val="nil"/>
              <w:left w:val="nil"/>
              <w:bottom w:val="nil"/>
              <w:right w:val="nil"/>
            </w:tcBorders>
            <w:shd w:val="clear" w:color="auto" w:fill="auto"/>
            <w:vAlign w:val="center"/>
          </w:tcPr>
          <w:p w14:paraId="496B257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99" w:type="pct"/>
            <w:gridSpan w:val="2"/>
            <w:tcBorders>
              <w:top w:val="nil"/>
              <w:left w:val="nil"/>
              <w:bottom w:val="nil"/>
              <w:right w:val="nil"/>
            </w:tcBorders>
            <w:shd w:val="clear" w:color="auto" w:fill="auto"/>
            <w:vAlign w:val="center"/>
          </w:tcPr>
          <w:p w14:paraId="1FEC28A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31" w:type="pct"/>
            <w:gridSpan w:val="3"/>
            <w:tcBorders>
              <w:top w:val="nil"/>
              <w:left w:val="nil"/>
              <w:bottom w:val="nil"/>
              <w:right w:val="nil"/>
            </w:tcBorders>
            <w:shd w:val="clear" w:color="auto" w:fill="auto"/>
            <w:vAlign w:val="center"/>
          </w:tcPr>
          <w:p w14:paraId="5CC3C1E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65" w:type="pct"/>
            <w:gridSpan w:val="2"/>
            <w:tcBorders>
              <w:top w:val="nil"/>
              <w:left w:val="nil"/>
              <w:bottom w:val="nil"/>
              <w:right w:val="nil"/>
            </w:tcBorders>
            <w:shd w:val="clear" w:color="auto" w:fill="auto"/>
            <w:vAlign w:val="center"/>
          </w:tcPr>
          <w:p w14:paraId="10C03F1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694" w:type="pct"/>
            <w:tcBorders>
              <w:top w:val="nil"/>
              <w:left w:val="nil"/>
              <w:bottom w:val="nil"/>
              <w:right w:val="nil"/>
            </w:tcBorders>
            <w:shd w:val="clear" w:color="auto" w:fill="auto"/>
            <w:vAlign w:val="center"/>
          </w:tcPr>
          <w:p w14:paraId="7A711EE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30" w:type="pct"/>
            <w:tcBorders>
              <w:top w:val="nil"/>
              <w:left w:val="nil"/>
              <w:bottom w:val="nil"/>
              <w:right w:val="nil"/>
            </w:tcBorders>
            <w:shd w:val="clear" w:color="auto" w:fill="auto"/>
            <w:vAlign w:val="center"/>
          </w:tcPr>
          <w:p w14:paraId="69BFA6D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201" w:type="pct"/>
            <w:tcBorders>
              <w:top w:val="nil"/>
              <w:left w:val="nil"/>
              <w:bottom w:val="nil"/>
              <w:right w:val="nil"/>
            </w:tcBorders>
            <w:shd w:val="clear" w:color="auto" w:fill="auto"/>
            <w:vAlign w:val="center"/>
          </w:tcPr>
          <w:p w14:paraId="65B7568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787" w:type="pct"/>
            <w:tcBorders>
              <w:top w:val="nil"/>
              <w:left w:val="nil"/>
              <w:bottom w:val="nil"/>
              <w:right w:val="nil"/>
            </w:tcBorders>
            <w:shd w:val="clear" w:color="auto" w:fill="auto"/>
            <w:vAlign w:val="center"/>
          </w:tcPr>
          <w:p w14:paraId="592622D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7563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59C6C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部门预算项目支出绩效自评表（2025年度）</w:t>
            </w:r>
          </w:p>
        </w:tc>
      </w:tr>
      <w:tr w14:paraId="4C9BA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8022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项目名称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4A754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51340024Y000010284644-州本级体检经费（事业）</w:t>
            </w:r>
          </w:p>
        </w:tc>
      </w:tr>
      <w:tr w14:paraId="6F471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424C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AD93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凉山州科学技术协会部门</w:t>
            </w:r>
          </w:p>
        </w:tc>
        <w:tc>
          <w:tcPr>
            <w:tcW w:w="503" w:type="pct"/>
            <w:gridSpan w:val="2"/>
            <w:tcBorders>
              <w:top w:val="nil"/>
              <w:left w:val="nil"/>
              <w:bottom w:val="nil"/>
              <w:right w:val="nil"/>
            </w:tcBorders>
            <w:shd w:val="clear" w:color="auto" w:fill="auto"/>
            <w:vAlign w:val="center"/>
          </w:tcPr>
          <w:p w14:paraId="1D6E0D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实施单位 （盖章）</w:t>
            </w:r>
          </w:p>
        </w:tc>
        <w:tc>
          <w:tcPr>
            <w:tcW w:w="217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8A0B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凉山州科学技术协会</w:t>
            </w:r>
          </w:p>
        </w:tc>
      </w:tr>
      <w:tr w14:paraId="193B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49C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36C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6A82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AC42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年度目标完成情况</w:t>
            </w:r>
          </w:p>
        </w:tc>
      </w:tr>
      <w:tr w14:paraId="18EA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AE2C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1E65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15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11FB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268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64CE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r>
      <w:tr w14:paraId="642AB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4AB9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D079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279"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E73A8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严格执行相关政策，定额定编逐人核定职工体检经费。预算编制科学合理，无结余资金。</w:t>
            </w:r>
          </w:p>
        </w:tc>
      </w:tr>
      <w:tr w14:paraId="69BA2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D88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26F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56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FE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39663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2CE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B45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9E1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53A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C6C0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197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4E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BCF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9F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94C0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E7E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DC6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0C1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21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0F1E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2659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50DC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AC9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36B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EA7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38F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E20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49B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2B50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4AE6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278A1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978D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648C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63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6483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5553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106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CEA2D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A9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B627C">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31CCF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601B7">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3C93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3A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4205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B907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4FA9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884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9B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D0F7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14E4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41C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0E0B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A215B">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CEB01">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3E0E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5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4AEB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4404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C3E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21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986A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iCs/>
                <w:color w:val="000000"/>
                <w:sz w:val="18"/>
                <w:szCs w:val="18"/>
                <w:u w:val="none"/>
              </w:rPr>
            </w:pPr>
          </w:p>
        </w:tc>
      </w:tr>
      <w:tr w14:paraId="45DCA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209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1B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E972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1F37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AD78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A61A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FBE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5AF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35D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89A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D7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8F51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BDEB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8A7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D4C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F3C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D3E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4045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3EE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B2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D1D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BDC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89E2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37BAD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FD6A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0930E">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1A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7F4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4EE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A028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AAD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B489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23A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BD60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036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5F24A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5F64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182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9A6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C0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836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D9AD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1A8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95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F81A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11A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C595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214E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8DBB8">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9D31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000000"/>
                <w:sz w:val="18"/>
                <w:szCs w:val="18"/>
                <w:u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E8D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4F5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2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36F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1FA98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1C7A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AAD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577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5EA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E3C2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iCs/>
                <w:color w:val="000000"/>
                <w:sz w:val="18"/>
                <w:szCs w:val="18"/>
                <w:u w:val="none"/>
              </w:rPr>
            </w:pPr>
          </w:p>
        </w:tc>
      </w:tr>
      <w:tr w14:paraId="4A894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2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F844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8F0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5F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2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A70C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000000"/>
                <w:sz w:val="18"/>
                <w:szCs w:val="18"/>
                <w:u w:val="none"/>
              </w:rPr>
            </w:pPr>
          </w:p>
        </w:tc>
      </w:tr>
      <w:tr w14:paraId="60E40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9A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0CED84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严格执行相关政策，定额定编逐人核定职工体检经费。年中按照实际体检人数如实支付费用。预算编制科学合理，减少结余资金。预算执行率100%，自评得分100分。</w:t>
            </w:r>
          </w:p>
        </w:tc>
      </w:tr>
      <w:tr w14:paraId="18058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EC1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ABF73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6172C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jc w:val="center"/>
        </w:trPr>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861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15"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BE70B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w:t>
            </w:r>
          </w:p>
        </w:tc>
      </w:tr>
      <w:tr w14:paraId="72260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3" w:hRule="atLeast"/>
          <w:jc w:val="center"/>
        </w:trPr>
        <w:tc>
          <w:tcPr>
            <w:tcW w:w="203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9E9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项目负责人：张舒雁</w:t>
            </w:r>
          </w:p>
        </w:tc>
        <w:tc>
          <w:tcPr>
            <w:tcW w:w="296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4BBE1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财务负责人：毛正华</w:t>
            </w:r>
          </w:p>
        </w:tc>
      </w:tr>
    </w:tbl>
    <w:p w14:paraId="61418A95">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rPr>
        <w:br w:type="page"/>
      </w:r>
    </w:p>
    <w:tbl>
      <w:tblPr>
        <w:tblStyle w:val="19"/>
        <w:tblW w:w="9374" w:type="dxa"/>
        <w:tblInd w:w="-413" w:type="dxa"/>
        <w:shd w:val="clear" w:color="auto" w:fill="auto"/>
        <w:tblLayout w:type="fixed"/>
        <w:tblCellMar>
          <w:top w:w="0" w:type="dxa"/>
          <w:left w:w="0" w:type="dxa"/>
          <w:bottom w:w="0" w:type="dxa"/>
          <w:right w:w="0" w:type="dxa"/>
        </w:tblCellMar>
      </w:tblPr>
      <w:tblGrid>
        <w:gridCol w:w="840"/>
        <w:gridCol w:w="717"/>
        <w:gridCol w:w="918"/>
        <w:gridCol w:w="1275"/>
        <w:gridCol w:w="1080"/>
        <w:gridCol w:w="915"/>
        <w:gridCol w:w="540"/>
        <w:gridCol w:w="767"/>
        <w:gridCol w:w="636"/>
        <w:gridCol w:w="361"/>
        <w:gridCol w:w="1325"/>
      </w:tblGrid>
      <w:tr w14:paraId="7BFAEB49">
        <w:tblPrEx>
          <w:shd w:val="clear" w:color="auto" w:fill="auto"/>
          <w:tblCellMar>
            <w:top w:w="0" w:type="dxa"/>
            <w:left w:w="0" w:type="dxa"/>
            <w:bottom w:w="0" w:type="dxa"/>
            <w:right w:w="0" w:type="dxa"/>
          </w:tblCellMar>
        </w:tblPrEx>
        <w:trPr>
          <w:trHeight w:val="90" w:hRule="atLeast"/>
        </w:trPr>
        <w:tc>
          <w:tcPr>
            <w:tcW w:w="9374"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65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center"/>
              <w:rPr>
                <w:rFonts w:hint="default" w:ascii="Times New Roman" w:hAnsi="Times New Roman" w:eastAsia="黑体" w:cs="Times New Roman"/>
                <w:b/>
                <w:i w:val="0"/>
                <w:color w:val="000000"/>
                <w:sz w:val="18"/>
                <w:szCs w:val="18"/>
                <w:u w:val="none"/>
              </w:rPr>
            </w:pPr>
            <w:r>
              <w:rPr>
                <w:rFonts w:hint="default" w:ascii="Times New Roman" w:hAnsi="Times New Roman" w:eastAsia="黑体" w:cs="Times New Roman"/>
                <w:b/>
                <w:i w:val="0"/>
                <w:color w:val="000000"/>
                <w:kern w:val="0"/>
                <w:sz w:val="28"/>
                <w:szCs w:val="28"/>
                <w:u w:val="none"/>
                <w:lang w:val="en-US" w:eastAsia="zh-CN" w:bidi="ar"/>
              </w:rPr>
              <w:t>部门预算项目支出绩效自评表（2025年度）</w:t>
            </w:r>
          </w:p>
        </w:tc>
      </w:tr>
      <w:tr w14:paraId="51E4EAF9">
        <w:tblPrEx>
          <w:shd w:val="clear" w:color="auto" w:fill="auto"/>
          <w:tblCellMar>
            <w:top w:w="0" w:type="dxa"/>
            <w:left w:w="0" w:type="dxa"/>
            <w:bottom w:w="0" w:type="dxa"/>
            <w:right w:w="0" w:type="dxa"/>
          </w:tblCellMar>
        </w:tblPrEx>
        <w:trPr>
          <w:trHeight w:val="392" w:hRule="atLeast"/>
        </w:trPr>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1D28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项目名称</w:t>
            </w:r>
          </w:p>
        </w:tc>
        <w:tc>
          <w:tcPr>
            <w:tcW w:w="7817"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7A15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51340025T000013638158-凉山州科普主题文化公园建设项目</w:t>
            </w:r>
          </w:p>
        </w:tc>
      </w:tr>
      <w:tr w14:paraId="4CF875A3">
        <w:tblPrEx>
          <w:shd w:val="clear" w:color="auto" w:fill="auto"/>
          <w:tblCellMar>
            <w:top w:w="0" w:type="dxa"/>
            <w:left w:w="0" w:type="dxa"/>
            <w:bottom w:w="0" w:type="dxa"/>
            <w:right w:w="0" w:type="dxa"/>
          </w:tblCellMar>
        </w:tblPrEx>
        <w:trPr>
          <w:trHeight w:val="90" w:hRule="atLeast"/>
        </w:trPr>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5CD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主管部门</w:t>
            </w:r>
          </w:p>
        </w:tc>
        <w:tc>
          <w:tcPr>
            <w:tcW w:w="327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CA3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凉山州科学技术协会部门</w:t>
            </w:r>
          </w:p>
        </w:tc>
        <w:tc>
          <w:tcPr>
            <w:tcW w:w="915" w:type="dxa"/>
            <w:tcBorders>
              <w:top w:val="nil"/>
              <w:left w:val="nil"/>
              <w:bottom w:val="nil"/>
              <w:right w:val="nil"/>
            </w:tcBorders>
            <w:shd w:val="clear" w:color="auto" w:fill="auto"/>
            <w:tcMar>
              <w:top w:w="15" w:type="dxa"/>
              <w:left w:w="15" w:type="dxa"/>
              <w:right w:w="15" w:type="dxa"/>
            </w:tcMar>
            <w:vAlign w:val="center"/>
          </w:tcPr>
          <w:p w14:paraId="62B6F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实施单位 （盖章）</w:t>
            </w:r>
          </w:p>
        </w:tc>
        <w:tc>
          <w:tcPr>
            <w:tcW w:w="362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72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凉山州科学技术协会</w:t>
            </w:r>
          </w:p>
        </w:tc>
      </w:tr>
      <w:tr w14:paraId="543D3FD7">
        <w:tblPrEx>
          <w:shd w:val="clear" w:color="auto" w:fill="auto"/>
          <w:tblCellMar>
            <w:top w:w="0" w:type="dxa"/>
            <w:left w:w="0" w:type="dxa"/>
            <w:bottom w:w="0" w:type="dxa"/>
            <w:right w:w="0" w:type="dxa"/>
          </w:tblCellMar>
        </w:tblPrEx>
        <w:trPr>
          <w:trHeight w:val="2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3BC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项目基本情况</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557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1.项目年度目标完成情况</w:t>
            </w:r>
          </w:p>
        </w:tc>
        <w:tc>
          <w:tcPr>
            <w:tcW w:w="327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7B8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项目年度目标</w:t>
            </w:r>
          </w:p>
        </w:tc>
        <w:tc>
          <w:tcPr>
            <w:tcW w:w="45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986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年度目标完成情况</w:t>
            </w:r>
          </w:p>
        </w:tc>
      </w:tr>
      <w:tr w14:paraId="07EB1C4E">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920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03D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327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FA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为了贯彻落实《全民科学素质行动纲要》中关于提升全民科学素质、创新科普方式、加强科普基础设施建设的相关要求，项目通过科普活动和科普展示实施，向公众传播科学知识，激发公众对科学的崇尚和兴趣，提高公众的科学素养和科学思维能力。能够实现传播科学思想，普及科技知识，培养科学技能，提高公众科学素质、提升城市形象品质，具有明显的社会、环境和可持续性等效益。</w:t>
            </w:r>
          </w:p>
        </w:tc>
        <w:tc>
          <w:tcPr>
            <w:tcW w:w="45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BA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为了贯彻落实《全民科学素质行动纲要》中关于提升全民科学素质、创新科普方式、加强科普基础设施建设的相关要求，项目通过科普活动和科普展示实施，向公众传播科学知识，激发公众对科学的崇尚和兴趣，提高公众的科学素养和科学思维能力。能够实现传播科学思想，普及科技知识，培养科学技能，提高公众科学素质、提升城市形象品质，具有明显的社会、环境和可持续性等效益。</w:t>
            </w:r>
          </w:p>
        </w:tc>
      </w:tr>
      <w:tr w14:paraId="5F724680">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E32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885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2.项目实施内容及过程概述</w:t>
            </w:r>
          </w:p>
        </w:tc>
        <w:tc>
          <w:tcPr>
            <w:tcW w:w="7817"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09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2025年9月在凉山民族体育场正式建成具有特色的凉山州第一个科普主题文化公园，并在此成功举办了200余人参加的开园仪式、科普月活动、“科创会·凉山行”低空经济+现代农业专场活动等。活动邀请17县市40余家企业展示特色农产品，现场完成交易4万元左右。公园将每天播放科普视频，更换展板科普内容，为群众提供一个科普场所。通过聚集人气、拉动周边商业、文旅及研学产业发展，提升群众科普素质，提升凉山城市品质。</w:t>
            </w:r>
          </w:p>
        </w:tc>
      </w:tr>
      <w:tr w14:paraId="270C2FE9">
        <w:tblPrEx>
          <w:shd w:val="clear" w:color="auto" w:fill="auto"/>
          <w:tblCellMar>
            <w:top w:w="0" w:type="dxa"/>
            <w:left w:w="0" w:type="dxa"/>
            <w:bottom w:w="0" w:type="dxa"/>
            <w:right w:w="0" w:type="dxa"/>
          </w:tblCellMar>
        </w:tblPrEx>
        <w:trPr>
          <w:trHeight w:val="9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B5C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预算执行情况（10分）</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10B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年度预算数（万元）</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1A5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年初预算</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36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调整后预算数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ED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预算执行数</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72D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预算执行率</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06C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权重</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63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得分</w:t>
            </w: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9A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原因</w:t>
            </w:r>
          </w:p>
        </w:tc>
      </w:tr>
      <w:tr w14:paraId="3A974D68">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21E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6E03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总额</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4F7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38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58.80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7E8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58.80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E2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100.00%</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062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E66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16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414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黑体" w:cs="Times New Roman"/>
                <w:i/>
                <w:color w:val="000000"/>
                <w:sz w:val="18"/>
                <w:szCs w:val="18"/>
                <w:u w:val="none"/>
              </w:rPr>
            </w:pPr>
          </w:p>
        </w:tc>
      </w:tr>
      <w:tr w14:paraId="14269D52">
        <w:tblPrEx>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B47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1BE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其中：财政资金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994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D5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58.80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C81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58.80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0D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100.00%</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FB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44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6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1FF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黑体" w:cs="Times New Roman"/>
                <w:i/>
                <w:color w:val="000000"/>
                <w:sz w:val="18"/>
                <w:szCs w:val="18"/>
                <w:u w:val="none"/>
              </w:rPr>
            </w:pPr>
          </w:p>
        </w:tc>
      </w:tr>
      <w:tr w14:paraId="7A47BADA">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CD9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19D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财政专户管理资金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2D1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68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1D5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00B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DB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95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6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6CF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黑体" w:cs="Times New Roman"/>
                <w:i/>
                <w:color w:val="000000"/>
                <w:sz w:val="18"/>
                <w:szCs w:val="18"/>
                <w:u w:val="none"/>
              </w:rPr>
            </w:pPr>
          </w:p>
        </w:tc>
      </w:tr>
      <w:tr w14:paraId="0835B5B7">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761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15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单位资金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E91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57D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04F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55B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562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8289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6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8C6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黑体" w:cs="Times New Roman"/>
                <w:i/>
                <w:color w:val="000000"/>
                <w:sz w:val="18"/>
                <w:szCs w:val="18"/>
                <w:u w:val="none"/>
              </w:rPr>
            </w:pPr>
          </w:p>
        </w:tc>
      </w:tr>
      <w:tr w14:paraId="42BB5CEB">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EBA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EA4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其他资金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9B7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D91C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7C9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237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072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878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6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ED0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黑体" w:cs="Times New Roman"/>
                <w:i/>
                <w:color w:val="000000"/>
                <w:sz w:val="18"/>
                <w:szCs w:val="18"/>
                <w:u w:val="none"/>
              </w:rPr>
            </w:pPr>
          </w:p>
        </w:tc>
      </w:tr>
      <w:tr w14:paraId="1ABE05D2">
        <w:tblPrEx>
          <w:shd w:val="clear" w:color="auto" w:fill="auto"/>
          <w:tblCellMar>
            <w:top w:w="0" w:type="dxa"/>
            <w:left w:w="0" w:type="dxa"/>
            <w:bottom w:w="0" w:type="dxa"/>
            <w:right w:w="0" w:type="dxa"/>
          </w:tblCellMar>
        </w:tblPrEx>
        <w:trPr>
          <w:trHeight w:val="9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C79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绩效指标（90分）</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6DD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一级指标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3D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二级指标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E1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AAE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指标性质</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301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指标值</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6FF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度量单位</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901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完成值</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010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权重</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D4E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得分</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F54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未完成原因分析</w:t>
            </w:r>
          </w:p>
        </w:tc>
      </w:tr>
      <w:tr w14:paraId="7EF37594">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A87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B42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产出指标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DE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数量指标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434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科普主题公园建设选点</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9A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AF9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6FC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个</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3D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F98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4DCC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AF1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r>
      <w:tr w14:paraId="48C93009">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E13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D6E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215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质量指标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316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科普主题文化公园建设行业达标率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E25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97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90</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20A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59D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90</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75B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15</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78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15</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B453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r>
      <w:tr w14:paraId="61FE2378">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629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F58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65D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时效指标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A4C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科普主题文化公园建设完成时间</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2D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DF7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A02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198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5CD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15</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D4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15</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930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r>
      <w:tr w14:paraId="314FA592">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16E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B08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效益指标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9D6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社会效益指标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C35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科普主题公园建设社会效益</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53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定性</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DDF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能够实现传播科学思想，普及科技知识，培养科学技能，提高公众科学素质、提升城市形象品质</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5E7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029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能够实现传播科学思想，普及科技知识，培养科学技能，提高公众科学素质、提升城市形象品质</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E2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45E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4C9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r>
      <w:tr w14:paraId="7C56DB54">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D9C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3EC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color w:val="000000"/>
                <w:sz w:val="18"/>
                <w:szCs w:val="18"/>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EFD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可持续影响指标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76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科普主题公园建设可持续影响</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DBA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47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D3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FA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BC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892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5BA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color w:val="000000"/>
                <w:sz w:val="16"/>
                <w:szCs w:val="16"/>
                <w:u w:val="none"/>
              </w:rPr>
            </w:pPr>
          </w:p>
        </w:tc>
      </w:tr>
      <w:tr w14:paraId="40453D5F">
        <w:tblPrEx>
          <w:shd w:val="clear" w:color="auto" w:fill="auto"/>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084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89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B1E3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503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政府和人民群众满意度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421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968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A5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F07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7B4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9E5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8E2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项目规模有所制约，满意度未达到设定目标。扣2分。</w:t>
            </w:r>
          </w:p>
        </w:tc>
      </w:tr>
      <w:tr w14:paraId="31608D52">
        <w:tblPrEx>
          <w:tblCellMar>
            <w:top w:w="0" w:type="dxa"/>
            <w:left w:w="0" w:type="dxa"/>
            <w:bottom w:w="0" w:type="dxa"/>
            <w:right w:w="0" w:type="dxa"/>
          </w:tblCellMar>
        </w:tblPrEx>
        <w:trPr>
          <w:trHeight w:val="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A642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宋体" w:cs="Times New Roman"/>
                <w:i w:val="0"/>
                <w:iCs w:val="0"/>
                <w:color w:val="000000"/>
                <w:sz w:val="18"/>
                <w:szCs w:val="18"/>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B4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515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92E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科普主题公园建设所需资金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53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EC3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303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7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488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58.8</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2B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B18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C07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jc w:val="center"/>
              <w:rPr>
                <w:rFonts w:hint="default" w:ascii="Times New Roman" w:hAnsi="Times New Roman" w:eastAsia="微软雅黑" w:cs="Times New Roman"/>
                <w:i w:val="0"/>
                <w:iCs w:val="0"/>
                <w:color w:val="000000"/>
                <w:sz w:val="16"/>
                <w:szCs w:val="16"/>
                <w:u w:val="none"/>
              </w:rPr>
            </w:pPr>
          </w:p>
        </w:tc>
      </w:tr>
      <w:tr w14:paraId="79742205">
        <w:tblPrEx>
          <w:shd w:val="clear" w:color="auto" w:fill="auto"/>
          <w:tblCellMar>
            <w:top w:w="0" w:type="dxa"/>
            <w:left w:w="0" w:type="dxa"/>
            <w:bottom w:w="0" w:type="dxa"/>
            <w:right w:w="0" w:type="dxa"/>
          </w:tblCellMar>
        </w:tblPrEx>
        <w:trPr>
          <w:trHeight w:val="90" w:hRule="atLeast"/>
        </w:trPr>
        <w:tc>
          <w:tcPr>
            <w:tcW w:w="574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20F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130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15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C8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16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5B4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iCs w:val="0"/>
                <w:color w:val="000000"/>
                <w:sz w:val="18"/>
                <w:szCs w:val="18"/>
                <w:u w:val="none"/>
              </w:rPr>
            </w:pPr>
          </w:p>
        </w:tc>
      </w:tr>
      <w:tr w14:paraId="48BAC1CC">
        <w:tblPrEx>
          <w:shd w:val="clear" w:color="auto" w:fill="auto"/>
          <w:tblCellMar>
            <w:top w:w="0" w:type="dxa"/>
            <w:left w:w="0" w:type="dxa"/>
            <w:bottom w:w="0" w:type="dxa"/>
            <w:right w:w="0" w:type="dxa"/>
          </w:tblCellMar>
        </w:tblPrEx>
        <w:trPr>
          <w:trHeight w:val="41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589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5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03B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项目的立项政策依据、项目实施管理办法、专用指标和个性指标设置评定、完成结果将产生的经济效益、社会效益、可持续效益、服务对象满意度等进行了以上综述，据实据效、客观公正进行综合评估。自评得分98分。</w:t>
            </w:r>
          </w:p>
        </w:tc>
      </w:tr>
      <w:tr w14:paraId="490E87D6">
        <w:tblPrEx>
          <w:shd w:val="clear" w:color="auto" w:fill="auto"/>
          <w:tblCellMar>
            <w:top w:w="0" w:type="dxa"/>
            <w:left w:w="0" w:type="dxa"/>
            <w:bottom w:w="0" w:type="dxa"/>
            <w:right w:w="0" w:type="dxa"/>
          </w:tblCellMar>
        </w:tblPrEx>
        <w:trPr>
          <w:trHeight w:val="35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73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5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AC3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项目资金偏少，在一定程度上制约了项目的规模。</w:t>
            </w:r>
          </w:p>
        </w:tc>
      </w:tr>
      <w:tr w14:paraId="2089808C">
        <w:tblPrEx>
          <w:shd w:val="clear" w:color="auto" w:fill="auto"/>
          <w:tblCellMar>
            <w:top w:w="0" w:type="dxa"/>
            <w:left w:w="0" w:type="dxa"/>
            <w:bottom w:w="0" w:type="dxa"/>
            <w:right w:w="0" w:type="dxa"/>
          </w:tblCellMar>
        </w:tblPrEx>
        <w:trPr>
          <w:trHeight w:val="32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5B9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5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111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无</w:t>
            </w:r>
          </w:p>
        </w:tc>
      </w:tr>
      <w:tr w14:paraId="41137583">
        <w:tblPrEx>
          <w:tblCellMar>
            <w:top w:w="0" w:type="dxa"/>
            <w:left w:w="0" w:type="dxa"/>
            <w:bottom w:w="0" w:type="dxa"/>
            <w:right w:w="0" w:type="dxa"/>
          </w:tblCellMar>
        </w:tblPrEx>
        <w:trPr>
          <w:trHeight w:val="335" w:hRule="atLeast"/>
        </w:trPr>
        <w:tc>
          <w:tcPr>
            <w:tcW w:w="483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026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项目负责人：邓伟、何剑</w:t>
            </w:r>
          </w:p>
        </w:tc>
        <w:tc>
          <w:tcPr>
            <w:tcW w:w="45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38B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80" w:lineRule="exact"/>
              <w:ind w:left="0" w:right="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财务负责人：毛正华</w:t>
            </w:r>
          </w:p>
        </w:tc>
      </w:tr>
      <w:tr w14:paraId="535DB209">
        <w:tblPrEx>
          <w:shd w:val="clear" w:color="auto" w:fill="auto"/>
          <w:tblCellMar>
            <w:top w:w="0" w:type="dxa"/>
            <w:left w:w="0" w:type="dxa"/>
            <w:bottom w:w="0" w:type="dxa"/>
            <w:right w:w="0" w:type="dxa"/>
          </w:tblCellMar>
        </w:tblPrEx>
        <w:trPr>
          <w:trHeight w:val="90" w:hRule="atLeast"/>
        </w:trPr>
        <w:tc>
          <w:tcPr>
            <w:tcW w:w="840" w:type="dxa"/>
            <w:tcBorders>
              <w:top w:val="nil"/>
              <w:left w:val="nil"/>
              <w:bottom w:val="nil"/>
              <w:right w:val="nil"/>
            </w:tcBorders>
            <w:shd w:val="clear" w:color="auto" w:fill="auto"/>
            <w:tcMar>
              <w:top w:w="15" w:type="dxa"/>
              <w:left w:w="15" w:type="dxa"/>
              <w:right w:w="15" w:type="dxa"/>
            </w:tcMar>
            <w:vAlign w:val="center"/>
          </w:tcPr>
          <w:p w14:paraId="0A8BA6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717" w:type="dxa"/>
            <w:tcBorders>
              <w:top w:val="nil"/>
              <w:left w:val="nil"/>
              <w:bottom w:val="nil"/>
              <w:right w:val="nil"/>
            </w:tcBorders>
            <w:shd w:val="clear" w:color="auto" w:fill="auto"/>
            <w:tcMar>
              <w:top w:w="15" w:type="dxa"/>
              <w:left w:w="15" w:type="dxa"/>
              <w:right w:w="15" w:type="dxa"/>
            </w:tcMar>
            <w:vAlign w:val="center"/>
          </w:tcPr>
          <w:p w14:paraId="6932E1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918" w:type="dxa"/>
            <w:tcBorders>
              <w:top w:val="nil"/>
              <w:left w:val="nil"/>
              <w:bottom w:val="nil"/>
              <w:right w:val="nil"/>
            </w:tcBorders>
            <w:shd w:val="clear" w:color="auto" w:fill="auto"/>
            <w:tcMar>
              <w:top w:w="15" w:type="dxa"/>
              <w:left w:w="15" w:type="dxa"/>
              <w:right w:w="15" w:type="dxa"/>
            </w:tcMar>
            <w:vAlign w:val="center"/>
          </w:tcPr>
          <w:p w14:paraId="760DEE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1275" w:type="dxa"/>
            <w:tcBorders>
              <w:top w:val="nil"/>
              <w:left w:val="nil"/>
              <w:bottom w:val="nil"/>
              <w:right w:val="nil"/>
            </w:tcBorders>
            <w:shd w:val="clear" w:color="auto" w:fill="auto"/>
            <w:tcMar>
              <w:top w:w="15" w:type="dxa"/>
              <w:left w:w="15" w:type="dxa"/>
              <w:right w:w="15" w:type="dxa"/>
            </w:tcMar>
            <w:vAlign w:val="center"/>
          </w:tcPr>
          <w:p w14:paraId="75A212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1080" w:type="dxa"/>
            <w:tcBorders>
              <w:top w:val="nil"/>
              <w:left w:val="nil"/>
              <w:bottom w:val="nil"/>
              <w:right w:val="nil"/>
            </w:tcBorders>
            <w:shd w:val="clear" w:color="auto" w:fill="auto"/>
            <w:tcMar>
              <w:top w:w="15" w:type="dxa"/>
              <w:left w:w="15" w:type="dxa"/>
              <w:right w:w="15" w:type="dxa"/>
            </w:tcMar>
            <w:vAlign w:val="center"/>
          </w:tcPr>
          <w:p w14:paraId="72A2E1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915" w:type="dxa"/>
            <w:tcBorders>
              <w:top w:val="nil"/>
              <w:left w:val="nil"/>
              <w:bottom w:val="nil"/>
              <w:right w:val="nil"/>
            </w:tcBorders>
            <w:shd w:val="clear" w:color="auto" w:fill="auto"/>
            <w:tcMar>
              <w:top w:w="15" w:type="dxa"/>
              <w:left w:w="15" w:type="dxa"/>
              <w:right w:w="15" w:type="dxa"/>
            </w:tcMar>
            <w:vAlign w:val="center"/>
          </w:tcPr>
          <w:p w14:paraId="4C1CB6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540" w:type="dxa"/>
            <w:tcBorders>
              <w:top w:val="nil"/>
              <w:left w:val="nil"/>
              <w:bottom w:val="nil"/>
              <w:right w:val="nil"/>
            </w:tcBorders>
            <w:shd w:val="clear" w:color="auto" w:fill="auto"/>
            <w:tcMar>
              <w:top w:w="15" w:type="dxa"/>
              <w:left w:w="15" w:type="dxa"/>
              <w:right w:w="15" w:type="dxa"/>
            </w:tcMar>
            <w:vAlign w:val="center"/>
          </w:tcPr>
          <w:p w14:paraId="7D676F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767" w:type="dxa"/>
            <w:tcBorders>
              <w:top w:val="nil"/>
              <w:left w:val="nil"/>
              <w:bottom w:val="nil"/>
              <w:right w:val="nil"/>
            </w:tcBorders>
            <w:shd w:val="clear" w:color="auto" w:fill="auto"/>
            <w:tcMar>
              <w:top w:w="15" w:type="dxa"/>
              <w:left w:w="15" w:type="dxa"/>
              <w:right w:w="15" w:type="dxa"/>
            </w:tcMar>
            <w:vAlign w:val="center"/>
          </w:tcPr>
          <w:p w14:paraId="54BDE3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636" w:type="dxa"/>
            <w:tcBorders>
              <w:top w:val="nil"/>
              <w:left w:val="nil"/>
              <w:bottom w:val="nil"/>
              <w:right w:val="nil"/>
            </w:tcBorders>
            <w:shd w:val="clear" w:color="auto" w:fill="auto"/>
            <w:tcMar>
              <w:top w:w="15" w:type="dxa"/>
              <w:left w:w="15" w:type="dxa"/>
              <w:right w:w="15" w:type="dxa"/>
            </w:tcMar>
            <w:vAlign w:val="center"/>
          </w:tcPr>
          <w:p w14:paraId="3F5071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361" w:type="dxa"/>
            <w:tcBorders>
              <w:top w:val="nil"/>
              <w:left w:val="nil"/>
              <w:bottom w:val="nil"/>
              <w:right w:val="nil"/>
            </w:tcBorders>
            <w:shd w:val="clear" w:color="auto" w:fill="auto"/>
            <w:tcMar>
              <w:top w:w="15" w:type="dxa"/>
              <w:left w:w="15" w:type="dxa"/>
              <w:right w:w="15" w:type="dxa"/>
            </w:tcMar>
            <w:vAlign w:val="center"/>
          </w:tcPr>
          <w:p w14:paraId="6EC3BE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c>
          <w:tcPr>
            <w:tcW w:w="1325" w:type="dxa"/>
            <w:tcBorders>
              <w:top w:val="nil"/>
              <w:left w:val="nil"/>
              <w:bottom w:val="nil"/>
              <w:right w:val="nil"/>
            </w:tcBorders>
            <w:shd w:val="clear" w:color="auto" w:fill="auto"/>
            <w:tcMar>
              <w:top w:w="15" w:type="dxa"/>
              <w:left w:w="15" w:type="dxa"/>
              <w:right w:w="15" w:type="dxa"/>
            </w:tcMar>
            <w:vAlign w:val="center"/>
          </w:tcPr>
          <w:p w14:paraId="451E8B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80" w:lineRule="exact"/>
              <w:ind w:left="0" w:right="0"/>
              <w:rPr>
                <w:rFonts w:hint="default" w:ascii="Times New Roman" w:hAnsi="Times New Roman" w:eastAsia="宋体" w:cs="Times New Roman"/>
                <w:i w:val="0"/>
                <w:color w:val="000000"/>
                <w:sz w:val="18"/>
                <w:szCs w:val="18"/>
                <w:u w:val="none"/>
              </w:rPr>
            </w:pPr>
          </w:p>
        </w:tc>
      </w:tr>
    </w:tbl>
    <w:p w14:paraId="45338CCF">
      <w:pPr>
        <w:keepNext w:val="0"/>
        <w:keepLines w:val="0"/>
        <w:pageBreakBefore w:val="0"/>
        <w:kinsoku/>
        <w:wordWrap/>
        <w:overflowPunct/>
        <w:topLinePunct w:val="0"/>
        <w:autoSpaceDE/>
        <w:autoSpaceDN/>
        <w:bidi w:val="0"/>
        <w:adjustRightInd/>
        <w:spacing w:line="180" w:lineRule="exact"/>
        <w:rPr>
          <w:rFonts w:hint="default" w:ascii="Times New Roman" w:hAnsi="Times New Roman" w:cs="Times New Roman"/>
        </w:rPr>
      </w:pPr>
    </w:p>
    <w:tbl>
      <w:tblPr>
        <w:tblStyle w:val="19"/>
        <w:tblW w:w="10740" w:type="dxa"/>
        <w:tblInd w:w="-698" w:type="dxa"/>
        <w:shd w:val="clear" w:color="auto" w:fill="auto"/>
        <w:tblLayout w:type="fixed"/>
        <w:tblCellMar>
          <w:top w:w="0" w:type="dxa"/>
          <w:left w:w="0" w:type="dxa"/>
          <w:bottom w:w="0" w:type="dxa"/>
          <w:right w:w="0" w:type="dxa"/>
        </w:tblCellMar>
      </w:tblPr>
      <w:tblGrid>
        <w:gridCol w:w="763"/>
        <w:gridCol w:w="1513"/>
        <w:gridCol w:w="898"/>
        <w:gridCol w:w="808"/>
        <w:gridCol w:w="1349"/>
        <w:gridCol w:w="613"/>
        <w:gridCol w:w="1"/>
        <w:gridCol w:w="490"/>
        <w:gridCol w:w="720"/>
        <w:gridCol w:w="1018"/>
        <w:gridCol w:w="391"/>
        <w:gridCol w:w="416"/>
        <w:gridCol w:w="1760"/>
      </w:tblGrid>
      <w:tr w14:paraId="61DE71CF">
        <w:tblPrEx>
          <w:shd w:val="clear" w:color="auto" w:fill="auto"/>
          <w:tblCellMar>
            <w:top w:w="0" w:type="dxa"/>
            <w:left w:w="0" w:type="dxa"/>
            <w:bottom w:w="0" w:type="dxa"/>
            <w:right w:w="0" w:type="dxa"/>
          </w:tblCellMar>
        </w:tblPrEx>
        <w:trPr>
          <w:trHeight w:val="381" w:hRule="atLeast"/>
        </w:trPr>
        <w:tc>
          <w:tcPr>
            <w:tcW w:w="10740"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82C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rPr>
            </w:pPr>
            <w:bookmarkStart w:id="115" w:name="_Toc9943"/>
            <w:r>
              <w:rPr>
                <w:rFonts w:hint="default" w:ascii="Times New Roman" w:hAnsi="Times New Roman" w:cs="Times New Roman"/>
                <w:b/>
                <w:bCs/>
                <w:lang w:val="en-US" w:eastAsia="zh-CN"/>
              </w:rPr>
              <w:t>部门预算项目支出绩效自评表（2025年度）</w:t>
            </w:r>
          </w:p>
        </w:tc>
      </w:tr>
      <w:tr w14:paraId="6EB9B7F1">
        <w:tblPrEx>
          <w:shd w:val="clear" w:color="auto" w:fill="auto"/>
          <w:tblCellMar>
            <w:top w:w="0" w:type="dxa"/>
            <w:left w:w="0" w:type="dxa"/>
            <w:bottom w:w="0" w:type="dxa"/>
            <w:right w:w="0" w:type="dxa"/>
          </w:tblCellMar>
        </w:tblPrEx>
        <w:trPr>
          <w:trHeight w:val="381" w:hRule="atLeast"/>
        </w:trPr>
        <w:tc>
          <w:tcPr>
            <w:tcW w:w="10740" w:type="dxa"/>
            <w:gridSpan w:val="1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EBF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b/>
                <w:bCs/>
                <w:lang w:val="en-US" w:eastAsia="zh-CN"/>
              </w:rPr>
            </w:pPr>
          </w:p>
        </w:tc>
      </w:tr>
      <w:tr w14:paraId="1C769185">
        <w:tblPrEx>
          <w:shd w:val="clear" w:color="auto" w:fill="auto"/>
          <w:tblCellMar>
            <w:top w:w="0" w:type="dxa"/>
            <w:left w:w="0" w:type="dxa"/>
            <w:bottom w:w="0" w:type="dxa"/>
            <w:right w:w="0" w:type="dxa"/>
          </w:tblCellMar>
        </w:tblPrEx>
        <w:trPr>
          <w:trHeight w:val="433" w:hRule="atLeast"/>
        </w:trPr>
        <w:tc>
          <w:tcPr>
            <w:tcW w:w="22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16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sz w:val="18"/>
                <w:szCs w:val="18"/>
                <w:lang w:val="en-US" w:eastAsia="zh-CN"/>
              </w:rPr>
              <w:t>项目名称</w:t>
            </w:r>
          </w:p>
        </w:tc>
        <w:tc>
          <w:tcPr>
            <w:tcW w:w="8464"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5F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sz w:val="18"/>
                <w:szCs w:val="18"/>
                <w:lang w:val="en-US" w:eastAsia="zh-CN"/>
              </w:rPr>
              <w:t>1340026T000014252438-安宁河流域“水风光电+储能”科学高效发展战略对策研究</w:t>
            </w:r>
          </w:p>
        </w:tc>
      </w:tr>
      <w:tr w14:paraId="4D2AABB2">
        <w:tblPrEx>
          <w:tblCellMar>
            <w:top w:w="0" w:type="dxa"/>
            <w:left w:w="0" w:type="dxa"/>
            <w:bottom w:w="0" w:type="dxa"/>
            <w:right w:w="0" w:type="dxa"/>
          </w:tblCellMar>
        </w:tblPrEx>
        <w:trPr>
          <w:trHeight w:val="470" w:hRule="atLeast"/>
        </w:trPr>
        <w:tc>
          <w:tcPr>
            <w:tcW w:w="227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E64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主管部门</w:t>
            </w:r>
          </w:p>
        </w:tc>
        <w:tc>
          <w:tcPr>
            <w:tcW w:w="366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50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凉山州科学技术协会部门</w:t>
            </w:r>
          </w:p>
        </w:tc>
        <w:tc>
          <w:tcPr>
            <w:tcW w:w="2229" w:type="dxa"/>
            <w:gridSpan w:val="4"/>
            <w:tcBorders>
              <w:top w:val="nil"/>
              <w:left w:val="nil"/>
              <w:bottom w:val="nil"/>
              <w:right w:val="nil"/>
            </w:tcBorders>
            <w:shd w:val="clear" w:color="auto" w:fill="auto"/>
            <w:tcMar>
              <w:top w:w="15" w:type="dxa"/>
              <w:left w:w="15" w:type="dxa"/>
              <w:right w:w="15" w:type="dxa"/>
            </w:tcMar>
            <w:vAlign w:val="center"/>
          </w:tcPr>
          <w:p w14:paraId="0CEFB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实施单位 （盖章）</w:t>
            </w:r>
          </w:p>
        </w:tc>
        <w:tc>
          <w:tcPr>
            <w:tcW w:w="25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D41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凉山州科学技术协会</w:t>
            </w:r>
          </w:p>
        </w:tc>
      </w:tr>
      <w:tr w14:paraId="4730AFA1">
        <w:tblPrEx>
          <w:tblCellMar>
            <w:top w:w="0" w:type="dxa"/>
            <w:left w:w="0" w:type="dxa"/>
            <w:bottom w:w="0" w:type="dxa"/>
            <w:right w:w="0" w:type="dxa"/>
          </w:tblCellMar>
        </w:tblPrEx>
        <w:trPr>
          <w:trHeight w:val="386" w:hRule="atLeast"/>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67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sz w:val="18"/>
                <w:szCs w:val="18"/>
                <w:lang w:val="en-US" w:eastAsia="zh-CN"/>
              </w:rPr>
              <w:t>项目基本情况</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84B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sz w:val="18"/>
                <w:szCs w:val="18"/>
                <w:lang w:val="en-US" w:eastAsia="zh-CN"/>
              </w:rPr>
              <w:t>.项目年度目标完成情况</w:t>
            </w:r>
          </w:p>
        </w:tc>
        <w:tc>
          <w:tcPr>
            <w:tcW w:w="3669"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721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项目年度目标</w:t>
            </w:r>
          </w:p>
        </w:tc>
        <w:tc>
          <w:tcPr>
            <w:tcW w:w="479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454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年度目标完成情况</w:t>
            </w:r>
          </w:p>
        </w:tc>
      </w:tr>
      <w:tr w14:paraId="17BA14E1">
        <w:tblPrEx>
          <w:shd w:val="clear" w:color="auto" w:fill="auto"/>
          <w:tblCellMar>
            <w:top w:w="0" w:type="dxa"/>
            <w:left w:w="0" w:type="dxa"/>
            <w:bottom w:w="0" w:type="dxa"/>
            <w:right w:w="0" w:type="dxa"/>
          </w:tblCellMar>
        </w:tblPrEx>
        <w:trPr>
          <w:trHeight w:val="1308"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FA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37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305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BF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依托大桥水库在安宁河流域的调节功能，基于SOA的水情测报，水风光+储能互补的虚拟电厂对应的数学模型，找到流域各水电站的可调节时 段，联合优化调度，成为流域化的可调节电源，平衡风光电的不稳定性影响，为电力系统提供安全可靠保障。</w:t>
            </w:r>
          </w:p>
        </w:tc>
        <w:tc>
          <w:tcPr>
            <w:tcW w:w="540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3E7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依托大桥水库在安宁河流域的调节功能，基于SOA的水情测报，水风光+储能互补的虚拟电厂对应的数学模型，找到流域各水电站的可调节时 段，联合优化调度，成为流域化的可调节电源，平衡风光电的不稳定性影响，为电力系统提供安全可靠保障。</w:t>
            </w:r>
          </w:p>
        </w:tc>
      </w:tr>
      <w:tr w14:paraId="44720206">
        <w:tblPrEx>
          <w:shd w:val="clear" w:color="auto" w:fill="auto"/>
          <w:tblCellMar>
            <w:top w:w="0" w:type="dxa"/>
            <w:left w:w="0" w:type="dxa"/>
            <w:bottom w:w="0" w:type="dxa"/>
            <w:right w:w="0" w:type="dxa"/>
          </w:tblCellMar>
        </w:tblPrEx>
        <w:trPr>
          <w:trHeight w:val="870"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D6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C8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2.项目实施内容及过程概述</w:t>
            </w:r>
          </w:p>
        </w:tc>
        <w:tc>
          <w:tcPr>
            <w:tcW w:w="8464"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4C1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按照项目任务书计划2025年仅支出前期相关点位调研考察差旅费。2026年将全面完成项目任务后，安宁河流域全域互动，充分发挥大桥水库对全流域的调 节作用，初步估算，可新增调储容量16万千瓦左右，亦可新开发风光电资源 80--160万千瓦装机。如果争取全流域在电力系统中全面担负调储角色，可助力 460--920万瓦风光电的开发，可直接拉动投资50亿元以上。</w:t>
            </w:r>
          </w:p>
        </w:tc>
      </w:tr>
      <w:tr w14:paraId="49E74646">
        <w:tblPrEx>
          <w:shd w:val="clear" w:color="auto" w:fill="auto"/>
          <w:tblCellMar>
            <w:top w:w="0" w:type="dxa"/>
            <w:left w:w="0" w:type="dxa"/>
            <w:bottom w:w="0" w:type="dxa"/>
            <w:right w:w="0" w:type="dxa"/>
          </w:tblCellMar>
        </w:tblPrEx>
        <w:trPr>
          <w:trHeight w:val="575" w:hRule="atLeast"/>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6EA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预算执行情况（10分）</w:t>
            </w: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4E7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年度预算数（万元）</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33B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年初预算</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A7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调整后预算数</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DB3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预算执行数</w:t>
            </w:r>
          </w:p>
        </w:tc>
        <w:tc>
          <w:tcPr>
            <w:tcW w:w="6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FD4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预算执行率</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9D5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权重</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118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得分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D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原因</w:t>
            </w:r>
          </w:p>
        </w:tc>
      </w:tr>
      <w:tr w14:paraId="37DAAF73">
        <w:tblPrEx>
          <w:shd w:val="clear" w:color="auto" w:fill="auto"/>
          <w:tblCellMar>
            <w:top w:w="0" w:type="dxa"/>
            <w:left w:w="0" w:type="dxa"/>
            <w:bottom w:w="0" w:type="dxa"/>
            <w:right w:w="0" w:type="dxa"/>
          </w:tblCellMar>
        </w:tblPrEx>
        <w:trPr>
          <w:trHeight w:val="208"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C8A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24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总额</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3A5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B9B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10.00</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4FD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0.88</w:t>
            </w:r>
          </w:p>
        </w:tc>
        <w:tc>
          <w:tcPr>
            <w:tcW w:w="6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19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8.76%</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CF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CB4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w:t>
            </w:r>
          </w:p>
        </w:tc>
        <w:tc>
          <w:tcPr>
            <w:tcW w:w="17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77C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按照项目任务书计划2025年仅支出前期相关点位调研考察差旅费。2026年将全面推动完成项目任务，并支付跨年度项目款项。</w:t>
            </w:r>
          </w:p>
        </w:tc>
      </w:tr>
      <w:tr w14:paraId="249B8C8C">
        <w:tblPrEx>
          <w:shd w:val="clear" w:color="auto" w:fill="auto"/>
          <w:tblCellMar>
            <w:top w:w="0" w:type="dxa"/>
            <w:left w:w="0" w:type="dxa"/>
            <w:bottom w:w="0" w:type="dxa"/>
            <w:right w:w="0" w:type="dxa"/>
          </w:tblCellMar>
        </w:tblPrEx>
        <w:trPr>
          <w:trHeight w:val="208"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0CE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CD3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其中：财政资金</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68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8D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10.00</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DD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0.88</w:t>
            </w:r>
          </w:p>
        </w:tc>
        <w:tc>
          <w:tcPr>
            <w:tcW w:w="6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E03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8.76%</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CD0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1E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2BA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7BC6A5C4">
        <w:tblPrEx>
          <w:shd w:val="clear" w:color="auto" w:fill="auto"/>
          <w:tblCellMar>
            <w:top w:w="0" w:type="dxa"/>
            <w:left w:w="0" w:type="dxa"/>
            <w:bottom w:w="0" w:type="dxa"/>
            <w:right w:w="0" w:type="dxa"/>
          </w:tblCellMar>
        </w:tblPrEx>
        <w:trPr>
          <w:trHeight w:val="328"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FB3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98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财政专户管理资金</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BC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A2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E70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6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81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C18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8B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5F9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31F32211">
        <w:tblPrEx>
          <w:shd w:val="clear" w:color="auto" w:fill="auto"/>
          <w:tblCellMar>
            <w:top w:w="0" w:type="dxa"/>
            <w:left w:w="0" w:type="dxa"/>
            <w:bottom w:w="0" w:type="dxa"/>
            <w:right w:w="0" w:type="dxa"/>
          </w:tblCellMar>
        </w:tblPrEx>
        <w:trPr>
          <w:trHeight w:val="208"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224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1C2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单位资金</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3EB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3F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35AA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6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50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900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86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5B2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320DAD9C">
        <w:tblPrEx>
          <w:shd w:val="clear" w:color="auto" w:fill="auto"/>
          <w:tblCellMar>
            <w:top w:w="0" w:type="dxa"/>
            <w:left w:w="0" w:type="dxa"/>
            <w:bottom w:w="0" w:type="dxa"/>
            <w:right w:w="0" w:type="dxa"/>
          </w:tblCellMar>
        </w:tblPrEx>
        <w:trPr>
          <w:trHeight w:val="694"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34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1E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其他资金</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F2F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9B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3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9E5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56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AB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2B5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17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9E6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0BEBB432">
        <w:tblPrEx>
          <w:shd w:val="clear" w:color="auto" w:fill="auto"/>
          <w:tblCellMar>
            <w:top w:w="0" w:type="dxa"/>
            <w:left w:w="0" w:type="dxa"/>
            <w:bottom w:w="0" w:type="dxa"/>
            <w:right w:w="0" w:type="dxa"/>
          </w:tblCellMar>
        </w:tblPrEx>
        <w:trPr>
          <w:trHeight w:val="611" w:hRule="atLeast"/>
        </w:trPr>
        <w:tc>
          <w:tcPr>
            <w:tcW w:w="76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99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绩效指标（90分）</w:t>
            </w: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6F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一级指标</w:t>
            </w: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1C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二级指标</w:t>
            </w: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E46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三级指标</w:t>
            </w: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0C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指标性质</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D9D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指标值</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6D2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度量单位</w:t>
            </w:r>
          </w:p>
        </w:tc>
        <w:tc>
          <w:tcPr>
            <w:tcW w:w="10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306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完成值</w:t>
            </w:r>
          </w:p>
        </w:tc>
        <w:tc>
          <w:tcPr>
            <w:tcW w:w="3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74A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权重</w:t>
            </w:r>
          </w:p>
        </w:tc>
        <w:tc>
          <w:tcPr>
            <w:tcW w:w="4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4F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得分</w:t>
            </w:r>
          </w:p>
        </w:tc>
        <w:tc>
          <w:tcPr>
            <w:tcW w:w="1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A5D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未完成原因分析</w:t>
            </w:r>
          </w:p>
        </w:tc>
      </w:tr>
      <w:tr w14:paraId="260607F5">
        <w:tblPrEx>
          <w:tblCellMar>
            <w:top w:w="0" w:type="dxa"/>
            <w:left w:w="0" w:type="dxa"/>
            <w:bottom w:w="0" w:type="dxa"/>
            <w:right w:w="0" w:type="dxa"/>
          </w:tblCellMar>
        </w:tblPrEx>
        <w:trPr>
          <w:trHeight w:val="1124" w:hRule="atLeast"/>
        </w:trPr>
        <w:tc>
          <w:tcPr>
            <w:tcW w:w="76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11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p>
        </w:tc>
        <w:tc>
          <w:tcPr>
            <w:tcW w:w="15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7ED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ED3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841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96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B1A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7E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9D1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0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CAA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6B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D90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4B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按照项目任务书计划2025年仅支出前期相关点位调研考察差旅费。2026年将全面推动完成项目任务，并支付跨年度项目款项。</w:t>
            </w:r>
          </w:p>
        </w:tc>
      </w:tr>
      <w:tr w14:paraId="44E00DED">
        <w:tblPrEx>
          <w:shd w:val="clear" w:color="auto" w:fill="auto"/>
          <w:tblCellMar>
            <w:top w:w="0" w:type="dxa"/>
            <w:left w:w="0" w:type="dxa"/>
            <w:bottom w:w="0" w:type="dxa"/>
            <w:right w:w="0" w:type="dxa"/>
          </w:tblCellMar>
        </w:tblPrEx>
        <w:trPr>
          <w:trHeight w:val="366" w:hRule="atLeast"/>
        </w:trPr>
        <w:tc>
          <w:tcPr>
            <w:tcW w:w="59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C96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合计</w:t>
            </w:r>
          </w:p>
        </w:tc>
        <w:tc>
          <w:tcPr>
            <w:tcW w:w="4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209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100</w:t>
            </w:r>
          </w:p>
        </w:tc>
        <w:tc>
          <w:tcPr>
            <w:tcW w:w="254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09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95</w:t>
            </w:r>
          </w:p>
        </w:tc>
        <w:tc>
          <w:tcPr>
            <w:tcW w:w="17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F7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48A64AF4">
        <w:tblPrEx>
          <w:shd w:val="clear" w:color="auto" w:fill="auto"/>
          <w:tblCellMar>
            <w:top w:w="0" w:type="dxa"/>
            <w:left w:w="0" w:type="dxa"/>
            <w:bottom w:w="0" w:type="dxa"/>
            <w:right w:w="0" w:type="dxa"/>
          </w:tblCellMar>
        </w:tblPrEx>
        <w:trPr>
          <w:trHeight w:val="488"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8191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评价结论</w:t>
            </w:r>
          </w:p>
        </w:tc>
        <w:tc>
          <w:tcPr>
            <w:tcW w:w="9977"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6F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预计能完成项目100%目标，预期能实现流域电站+水、风、光高效多能互补达到资源最大化利用。对项目评分预计能达到95%以上。</w:t>
            </w:r>
          </w:p>
        </w:tc>
      </w:tr>
      <w:tr w14:paraId="1C444762">
        <w:tblPrEx>
          <w:shd w:val="clear" w:color="auto" w:fill="auto"/>
          <w:tblCellMar>
            <w:top w:w="0" w:type="dxa"/>
            <w:left w:w="0" w:type="dxa"/>
            <w:bottom w:w="0" w:type="dxa"/>
            <w:right w:w="0" w:type="dxa"/>
          </w:tblCellMar>
        </w:tblPrEx>
        <w:trPr>
          <w:trHeight w:val="328"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F75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存在问题</w:t>
            </w:r>
          </w:p>
        </w:tc>
        <w:tc>
          <w:tcPr>
            <w:tcW w:w="9977"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699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无</w:t>
            </w:r>
          </w:p>
        </w:tc>
      </w:tr>
      <w:tr w14:paraId="1CAD2194">
        <w:tblPrEx>
          <w:shd w:val="clear" w:color="auto" w:fill="auto"/>
          <w:tblCellMar>
            <w:top w:w="0" w:type="dxa"/>
            <w:left w:w="0" w:type="dxa"/>
            <w:bottom w:w="0" w:type="dxa"/>
            <w:right w:w="0" w:type="dxa"/>
          </w:tblCellMar>
        </w:tblPrEx>
        <w:trPr>
          <w:trHeight w:val="407"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A4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改进措施</w:t>
            </w:r>
          </w:p>
        </w:tc>
        <w:tc>
          <w:tcPr>
            <w:tcW w:w="9977" w:type="dxa"/>
            <w:gridSpan w:val="1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7A5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 xml:space="preserve"> 无</w:t>
            </w:r>
          </w:p>
        </w:tc>
      </w:tr>
      <w:tr w14:paraId="08848CDD">
        <w:tblPrEx>
          <w:shd w:val="clear" w:color="auto" w:fill="auto"/>
          <w:tblCellMar>
            <w:top w:w="0" w:type="dxa"/>
            <w:left w:w="0" w:type="dxa"/>
            <w:bottom w:w="0" w:type="dxa"/>
            <w:right w:w="0" w:type="dxa"/>
          </w:tblCellMar>
        </w:tblPrEx>
        <w:trPr>
          <w:trHeight w:val="478" w:hRule="atLeast"/>
        </w:trPr>
        <w:tc>
          <w:tcPr>
            <w:tcW w:w="594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9A9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项目负责人：俄木乌洛 、李红</w:t>
            </w:r>
          </w:p>
        </w:tc>
        <w:tc>
          <w:tcPr>
            <w:tcW w:w="479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9A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财务负责人：毛正华</w:t>
            </w:r>
          </w:p>
        </w:tc>
      </w:tr>
      <w:tr w14:paraId="1B348A15">
        <w:tblPrEx>
          <w:shd w:val="clear" w:color="auto" w:fill="auto"/>
          <w:tblCellMar>
            <w:top w:w="0" w:type="dxa"/>
            <w:left w:w="0" w:type="dxa"/>
            <w:bottom w:w="0" w:type="dxa"/>
            <w:right w:w="0" w:type="dxa"/>
          </w:tblCellMar>
        </w:tblPrEx>
        <w:trPr>
          <w:trHeight w:val="229" w:hRule="atLeast"/>
        </w:trPr>
        <w:tc>
          <w:tcPr>
            <w:tcW w:w="763" w:type="dxa"/>
            <w:tcBorders>
              <w:top w:val="nil"/>
              <w:left w:val="nil"/>
              <w:bottom w:val="nil"/>
              <w:right w:val="nil"/>
            </w:tcBorders>
            <w:shd w:val="clear" w:color="auto" w:fill="auto"/>
            <w:tcMar>
              <w:top w:w="15" w:type="dxa"/>
              <w:left w:w="15" w:type="dxa"/>
              <w:right w:w="15" w:type="dxa"/>
            </w:tcMar>
            <w:vAlign w:val="center"/>
          </w:tcPr>
          <w:p w14:paraId="6682E8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1513" w:type="dxa"/>
            <w:tcBorders>
              <w:top w:val="nil"/>
              <w:left w:val="nil"/>
              <w:bottom w:val="nil"/>
              <w:right w:val="nil"/>
            </w:tcBorders>
            <w:shd w:val="clear" w:color="auto" w:fill="auto"/>
            <w:tcMar>
              <w:top w:w="15" w:type="dxa"/>
              <w:left w:w="15" w:type="dxa"/>
              <w:right w:w="15" w:type="dxa"/>
            </w:tcMar>
            <w:vAlign w:val="center"/>
          </w:tcPr>
          <w:p w14:paraId="599C2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898" w:type="dxa"/>
            <w:tcBorders>
              <w:top w:val="nil"/>
              <w:left w:val="nil"/>
              <w:bottom w:val="nil"/>
              <w:right w:val="nil"/>
            </w:tcBorders>
            <w:shd w:val="clear" w:color="auto" w:fill="auto"/>
            <w:tcMar>
              <w:top w:w="15" w:type="dxa"/>
              <w:left w:w="15" w:type="dxa"/>
              <w:right w:w="15" w:type="dxa"/>
            </w:tcMar>
            <w:vAlign w:val="center"/>
          </w:tcPr>
          <w:p w14:paraId="536D8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808" w:type="dxa"/>
            <w:tcBorders>
              <w:top w:val="nil"/>
              <w:left w:val="nil"/>
              <w:bottom w:val="nil"/>
              <w:right w:val="nil"/>
            </w:tcBorders>
            <w:shd w:val="clear" w:color="auto" w:fill="auto"/>
            <w:tcMar>
              <w:top w:w="15" w:type="dxa"/>
              <w:left w:w="15" w:type="dxa"/>
              <w:right w:w="15" w:type="dxa"/>
            </w:tcMar>
            <w:vAlign w:val="center"/>
          </w:tcPr>
          <w:p w14:paraId="73EB7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1962" w:type="dxa"/>
            <w:gridSpan w:val="2"/>
            <w:tcBorders>
              <w:top w:val="nil"/>
              <w:left w:val="nil"/>
              <w:bottom w:val="nil"/>
              <w:right w:val="nil"/>
            </w:tcBorders>
            <w:shd w:val="clear" w:color="auto" w:fill="auto"/>
            <w:tcMar>
              <w:top w:w="15" w:type="dxa"/>
              <w:left w:w="15" w:type="dxa"/>
              <w:right w:w="15" w:type="dxa"/>
            </w:tcMar>
            <w:vAlign w:val="center"/>
          </w:tcPr>
          <w:p w14:paraId="43587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491" w:type="dxa"/>
            <w:gridSpan w:val="2"/>
            <w:tcBorders>
              <w:top w:val="nil"/>
              <w:left w:val="nil"/>
              <w:bottom w:val="nil"/>
              <w:right w:val="nil"/>
            </w:tcBorders>
            <w:shd w:val="clear" w:color="auto" w:fill="auto"/>
            <w:tcMar>
              <w:top w:w="15" w:type="dxa"/>
              <w:left w:w="15" w:type="dxa"/>
              <w:right w:w="15" w:type="dxa"/>
            </w:tcMar>
            <w:vAlign w:val="center"/>
          </w:tcPr>
          <w:p w14:paraId="5914E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720" w:type="dxa"/>
            <w:tcBorders>
              <w:top w:val="nil"/>
              <w:left w:val="nil"/>
              <w:bottom w:val="nil"/>
              <w:right w:val="nil"/>
            </w:tcBorders>
            <w:shd w:val="clear" w:color="auto" w:fill="auto"/>
            <w:tcMar>
              <w:top w:w="15" w:type="dxa"/>
              <w:left w:w="15" w:type="dxa"/>
              <w:right w:w="15" w:type="dxa"/>
            </w:tcMar>
            <w:vAlign w:val="center"/>
          </w:tcPr>
          <w:p w14:paraId="5071B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1018" w:type="dxa"/>
            <w:tcBorders>
              <w:top w:val="nil"/>
              <w:left w:val="nil"/>
              <w:bottom w:val="nil"/>
              <w:right w:val="nil"/>
            </w:tcBorders>
            <w:shd w:val="clear" w:color="auto" w:fill="auto"/>
            <w:tcMar>
              <w:top w:w="15" w:type="dxa"/>
              <w:left w:w="15" w:type="dxa"/>
              <w:right w:w="15" w:type="dxa"/>
            </w:tcMar>
            <w:vAlign w:val="center"/>
          </w:tcPr>
          <w:p w14:paraId="6C0C5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391" w:type="dxa"/>
            <w:tcBorders>
              <w:top w:val="nil"/>
              <w:left w:val="nil"/>
              <w:bottom w:val="nil"/>
              <w:right w:val="nil"/>
            </w:tcBorders>
            <w:shd w:val="clear" w:color="auto" w:fill="auto"/>
            <w:tcMar>
              <w:top w:w="15" w:type="dxa"/>
              <w:left w:w="15" w:type="dxa"/>
              <w:right w:w="15" w:type="dxa"/>
            </w:tcMar>
            <w:vAlign w:val="center"/>
          </w:tcPr>
          <w:p w14:paraId="4A2F8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416" w:type="dxa"/>
            <w:tcBorders>
              <w:top w:val="nil"/>
              <w:left w:val="nil"/>
              <w:bottom w:val="nil"/>
              <w:right w:val="nil"/>
            </w:tcBorders>
            <w:shd w:val="clear" w:color="auto" w:fill="auto"/>
            <w:tcMar>
              <w:top w:w="15" w:type="dxa"/>
              <w:left w:w="15" w:type="dxa"/>
              <w:right w:w="15" w:type="dxa"/>
            </w:tcMar>
            <w:vAlign w:val="center"/>
          </w:tcPr>
          <w:p w14:paraId="0C70A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c>
          <w:tcPr>
            <w:tcW w:w="1760" w:type="dxa"/>
            <w:tcBorders>
              <w:top w:val="nil"/>
              <w:left w:val="nil"/>
              <w:bottom w:val="nil"/>
              <w:right w:val="nil"/>
            </w:tcBorders>
            <w:shd w:val="clear" w:color="auto" w:fill="auto"/>
            <w:tcMar>
              <w:top w:w="15" w:type="dxa"/>
              <w:left w:w="15" w:type="dxa"/>
              <w:right w:w="15" w:type="dxa"/>
            </w:tcMar>
            <w:vAlign w:val="center"/>
          </w:tcPr>
          <w:p w14:paraId="257F7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p>
        </w:tc>
      </w:tr>
    </w:tbl>
    <w:p w14:paraId="7C72BA6B">
      <w:pPr>
        <w:pStyle w:val="5"/>
        <w:jc w:val="both"/>
        <w:rPr>
          <w:rFonts w:hint="default" w:ascii="Times New Roman" w:hAnsi="Times New Roman" w:eastAsia="黑体" w:cs="Times New Roman"/>
        </w:rPr>
      </w:pPr>
    </w:p>
    <w:p w14:paraId="095E8D6E">
      <w:pPr>
        <w:rPr>
          <w:rFonts w:hint="default" w:ascii="Times New Roman" w:hAnsi="Times New Roman" w:eastAsia="黑体" w:cs="Times New Roman"/>
        </w:rPr>
      </w:pPr>
    </w:p>
    <w:p w14:paraId="5BD63F24">
      <w:pPr>
        <w:pStyle w:val="2"/>
        <w:rPr>
          <w:rFonts w:hint="default" w:ascii="Times New Roman" w:hAnsi="Times New Roman" w:eastAsia="黑体" w:cs="Times New Roman"/>
        </w:rPr>
      </w:pPr>
    </w:p>
    <w:p w14:paraId="3C288C9A">
      <w:pPr>
        <w:pStyle w:val="3"/>
        <w:rPr>
          <w:rFonts w:hint="default" w:ascii="Times New Roman" w:hAnsi="Times New Roman" w:eastAsia="黑体" w:cs="Times New Roman"/>
        </w:rPr>
      </w:pPr>
    </w:p>
    <w:p w14:paraId="67FB8F89">
      <w:pPr>
        <w:rPr>
          <w:rFonts w:hint="default" w:ascii="Times New Roman" w:hAnsi="Times New Roman" w:eastAsia="黑体" w:cs="Times New Roman"/>
        </w:rPr>
      </w:pPr>
    </w:p>
    <w:p w14:paraId="6EE82D6B">
      <w:pPr>
        <w:pStyle w:val="2"/>
        <w:rPr>
          <w:rFonts w:hint="default" w:ascii="Times New Roman" w:hAnsi="Times New Roman" w:eastAsia="黑体" w:cs="Times New Roman"/>
        </w:rPr>
      </w:pPr>
    </w:p>
    <w:p w14:paraId="0546F392">
      <w:pPr>
        <w:pStyle w:val="3"/>
        <w:rPr>
          <w:rFonts w:hint="default" w:ascii="Times New Roman" w:hAnsi="Times New Roman" w:eastAsia="黑体" w:cs="Times New Roman"/>
        </w:rPr>
      </w:pPr>
    </w:p>
    <w:p w14:paraId="2C8F3E66">
      <w:pPr>
        <w:rPr>
          <w:rFonts w:hint="default" w:ascii="Times New Roman" w:hAnsi="Times New Roman" w:eastAsia="黑体" w:cs="Times New Roman"/>
        </w:rPr>
      </w:pPr>
    </w:p>
    <w:p w14:paraId="35AC42EC">
      <w:pPr>
        <w:pStyle w:val="2"/>
        <w:rPr>
          <w:rFonts w:hint="default" w:ascii="Times New Roman" w:hAnsi="Times New Roman" w:cs="Times New Roman"/>
        </w:rPr>
      </w:pPr>
    </w:p>
    <w:tbl>
      <w:tblPr>
        <w:tblStyle w:val="19"/>
        <w:tblW w:w="9729" w:type="dxa"/>
        <w:tblInd w:w="-249" w:type="dxa"/>
        <w:shd w:val="clear" w:color="auto" w:fill="auto"/>
        <w:tblLayout w:type="autofit"/>
        <w:tblCellMar>
          <w:top w:w="0" w:type="dxa"/>
          <w:left w:w="0" w:type="dxa"/>
          <w:bottom w:w="0" w:type="dxa"/>
          <w:right w:w="0" w:type="dxa"/>
        </w:tblCellMar>
      </w:tblPr>
      <w:tblGrid>
        <w:gridCol w:w="783"/>
        <w:gridCol w:w="1608"/>
        <w:gridCol w:w="1389"/>
        <w:gridCol w:w="1596"/>
        <w:gridCol w:w="406"/>
        <w:gridCol w:w="928"/>
        <w:gridCol w:w="431"/>
        <w:gridCol w:w="853"/>
        <w:gridCol w:w="394"/>
        <w:gridCol w:w="440"/>
        <w:gridCol w:w="901"/>
      </w:tblGrid>
      <w:tr w14:paraId="0CC1F459">
        <w:tblPrEx>
          <w:shd w:val="clear" w:color="auto" w:fill="auto"/>
          <w:tblCellMar>
            <w:top w:w="0" w:type="dxa"/>
            <w:left w:w="0" w:type="dxa"/>
            <w:bottom w:w="0" w:type="dxa"/>
            <w:right w:w="0" w:type="dxa"/>
          </w:tblCellMar>
        </w:tblPrEx>
        <w:trPr>
          <w:trHeight w:val="510" w:hRule="atLeast"/>
        </w:trPr>
        <w:tc>
          <w:tcPr>
            <w:tcW w:w="9729"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75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rPr>
            </w:pPr>
            <w:r>
              <w:rPr>
                <w:rFonts w:hint="default" w:ascii="Times New Roman" w:hAnsi="Times New Roman" w:cs="Times New Roman" w:eastAsiaTheme="majorEastAsia"/>
                <w:b/>
                <w:bCs/>
                <w:sz w:val="24"/>
                <w:szCs w:val="24"/>
                <w:lang w:val="en-US" w:eastAsia="zh-CN"/>
              </w:rPr>
              <w:t>部门预算项目支出绩效自评表（2025年度）</w:t>
            </w:r>
          </w:p>
        </w:tc>
      </w:tr>
      <w:tr w14:paraId="139EBEB8">
        <w:tblPrEx>
          <w:shd w:val="clear" w:color="auto" w:fill="auto"/>
          <w:tblCellMar>
            <w:top w:w="0" w:type="dxa"/>
            <w:left w:w="0" w:type="dxa"/>
            <w:bottom w:w="0" w:type="dxa"/>
            <w:right w:w="0" w:type="dxa"/>
          </w:tblCellMar>
        </w:tblPrEx>
        <w:trPr>
          <w:trHeight w:val="420" w:hRule="atLeast"/>
        </w:trPr>
        <w:tc>
          <w:tcPr>
            <w:tcW w:w="23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3D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项目名称</w:t>
            </w:r>
          </w:p>
        </w:tc>
        <w:tc>
          <w:tcPr>
            <w:tcW w:w="7338"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743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exact"/>
              <w:ind w:left="0" w:right="0"/>
              <w:textAlignment w:val="auto"/>
              <w:rPr>
                <w:rFonts w:hint="default" w:ascii="Times New Roman" w:hAnsi="Times New Roman" w:cs="Times New Roman"/>
              </w:rPr>
            </w:pPr>
            <w:r>
              <w:rPr>
                <w:rFonts w:hint="default" w:ascii="Times New Roman" w:hAnsi="Times New Roman" w:cs="Times New Roman"/>
                <w:lang w:val="en-US" w:eastAsia="zh-CN"/>
              </w:rPr>
              <w:t>51340026T000015208999-“科普+文旅”宣传活动</w:t>
            </w:r>
          </w:p>
        </w:tc>
      </w:tr>
      <w:tr w14:paraId="4C6A2696">
        <w:tblPrEx>
          <w:shd w:val="clear" w:color="auto" w:fill="auto"/>
          <w:tblCellMar>
            <w:top w:w="0" w:type="dxa"/>
            <w:left w:w="0" w:type="dxa"/>
            <w:bottom w:w="0" w:type="dxa"/>
            <w:right w:w="0" w:type="dxa"/>
          </w:tblCellMar>
        </w:tblPrEx>
        <w:trPr>
          <w:trHeight w:val="387" w:hRule="atLeast"/>
        </w:trPr>
        <w:tc>
          <w:tcPr>
            <w:tcW w:w="239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CE4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主管部门</w:t>
            </w:r>
          </w:p>
        </w:tc>
        <w:tc>
          <w:tcPr>
            <w:tcW w:w="475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25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凉山州科学技术协会部门</w:t>
            </w:r>
          </w:p>
        </w:tc>
        <w:tc>
          <w:tcPr>
            <w:tcW w:w="853" w:type="dxa"/>
            <w:tcBorders>
              <w:top w:val="nil"/>
              <w:left w:val="nil"/>
              <w:bottom w:val="nil"/>
              <w:right w:val="nil"/>
            </w:tcBorders>
            <w:shd w:val="clear" w:color="auto" w:fill="auto"/>
            <w:tcMar>
              <w:top w:w="15" w:type="dxa"/>
              <w:left w:w="15" w:type="dxa"/>
              <w:right w:w="15" w:type="dxa"/>
            </w:tcMar>
            <w:vAlign w:val="center"/>
          </w:tcPr>
          <w:p w14:paraId="78CEB5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实施单位 （盖章）</w:t>
            </w:r>
          </w:p>
        </w:tc>
        <w:tc>
          <w:tcPr>
            <w:tcW w:w="173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124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凉山州科学技术协会</w:t>
            </w:r>
          </w:p>
        </w:tc>
      </w:tr>
      <w:tr w14:paraId="6ED76E86">
        <w:tblPrEx>
          <w:shd w:val="clear" w:color="auto" w:fill="auto"/>
          <w:tblCellMar>
            <w:top w:w="0" w:type="dxa"/>
            <w:left w:w="0" w:type="dxa"/>
            <w:bottom w:w="0" w:type="dxa"/>
            <w:right w:w="0" w:type="dxa"/>
          </w:tblCellMar>
        </w:tblPrEx>
        <w:trPr>
          <w:trHeight w:val="205" w:hRule="atLeast"/>
        </w:trPr>
        <w:tc>
          <w:tcPr>
            <w:tcW w:w="7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F3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项目基本情况</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A96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1.项目年度目标完成情况</w:t>
            </w:r>
          </w:p>
        </w:tc>
        <w:tc>
          <w:tcPr>
            <w:tcW w:w="475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72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项目年度目标</w:t>
            </w:r>
          </w:p>
        </w:tc>
        <w:tc>
          <w:tcPr>
            <w:tcW w:w="258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C9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年度目标完成情况</w:t>
            </w:r>
          </w:p>
        </w:tc>
      </w:tr>
      <w:tr w14:paraId="5A0B4645">
        <w:tblPrEx>
          <w:shd w:val="clear" w:color="auto" w:fill="auto"/>
          <w:tblCellMar>
            <w:top w:w="0" w:type="dxa"/>
            <w:left w:w="0" w:type="dxa"/>
            <w:bottom w:w="0" w:type="dxa"/>
            <w:right w:w="0" w:type="dxa"/>
          </w:tblCellMar>
        </w:tblPrEx>
        <w:trPr>
          <w:trHeight w:val="1296"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75FF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60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75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FA6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为落实省委、州委关于推进文化和旅游深度融合发展做大做强文化旅游业的要求，加快推进凉山州智慧旅游创新发展，州科协结合工作实际，拟在全州各科普基地、科普示范单位、科普阵地，通过“科普+文旅”相结合的方式，开展各类科普活动。以实施“科普+文旅”的深度融合，让文化更有高度、旅游更有深度、科普更有温度，共同促进文旅产业提质升级，推动科普服务精准化、普惠化。</w:t>
            </w:r>
          </w:p>
        </w:tc>
        <w:tc>
          <w:tcPr>
            <w:tcW w:w="258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3B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471381A9">
        <w:tblPrEx>
          <w:shd w:val="clear" w:color="auto" w:fill="auto"/>
          <w:tblCellMar>
            <w:top w:w="0" w:type="dxa"/>
            <w:left w:w="0" w:type="dxa"/>
            <w:bottom w:w="0" w:type="dxa"/>
            <w:right w:w="0" w:type="dxa"/>
          </w:tblCellMar>
        </w:tblPrEx>
        <w:trPr>
          <w:trHeight w:val="387"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AD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76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2.项目实施内容及过程概述</w:t>
            </w:r>
          </w:p>
        </w:tc>
        <w:tc>
          <w:tcPr>
            <w:tcW w:w="7338"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85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因2025年12月20日财政资金才拨入单位，已无法实施采购服务流程，故预算执行率为0%。</w:t>
            </w:r>
          </w:p>
        </w:tc>
      </w:tr>
      <w:tr w14:paraId="3E414BD1">
        <w:tblPrEx>
          <w:shd w:val="clear" w:color="auto" w:fill="auto"/>
          <w:tblCellMar>
            <w:top w:w="0" w:type="dxa"/>
            <w:left w:w="0" w:type="dxa"/>
            <w:bottom w:w="0" w:type="dxa"/>
            <w:right w:w="0" w:type="dxa"/>
          </w:tblCellMar>
        </w:tblPrEx>
        <w:trPr>
          <w:trHeight w:val="387" w:hRule="atLeast"/>
        </w:trPr>
        <w:tc>
          <w:tcPr>
            <w:tcW w:w="7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7C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预算执行情况（10分）</w:t>
            </w: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05B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年度预算数（万元）</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240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年初预算</w:t>
            </w: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8D9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调整后预算数</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8A7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预算执行数</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C3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预算执行率</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50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权重</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CD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得分</w:t>
            </w:r>
          </w:p>
        </w:tc>
        <w:tc>
          <w:tcPr>
            <w:tcW w:w="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F2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原因</w:t>
            </w:r>
          </w:p>
        </w:tc>
      </w:tr>
      <w:tr w14:paraId="45692CCB">
        <w:tblPrEx>
          <w:shd w:val="clear" w:color="auto" w:fill="auto"/>
          <w:tblCellMar>
            <w:top w:w="0" w:type="dxa"/>
            <w:left w:w="0" w:type="dxa"/>
            <w:bottom w:w="0" w:type="dxa"/>
            <w:right w:w="0" w:type="dxa"/>
          </w:tblCellMar>
        </w:tblPrEx>
        <w:trPr>
          <w:trHeight w:val="205"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F4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BEB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总额</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169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B0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15.00</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C7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D8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30E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1B0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7F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因2025年12月20日财政资金才拨入单位，已无法实施采购服务流程，故预算执行率为0%。</w:t>
            </w:r>
          </w:p>
        </w:tc>
      </w:tr>
      <w:tr w14:paraId="14AB8EF6">
        <w:tblPrEx>
          <w:shd w:val="clear" w:color="auto" w:fill="auto"/>
          <w:tblCellMar>
            <w:top w:w="0" w:type="dxa"/>
            <w:left w:w="0" w:type="dxa"/>
            <w:bottom w:w="0" w:type="dxa"/>
            <w:right w:w="0" w:type="dxa"/>
          </w:tblCellMar>
        </w:tblPrEx>
        <w:trPr>
          <w:trHeight w:val="205"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CC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0E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其中：财政资金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FA0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209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15.00</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96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3EA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09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AA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C04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1EC6E324">
        <w:tblPrEx>
          <w:shd w:val="clear" w:color="auto" w:fill="auto"/>
          <w:tblCellMar>
            <w:top w:w="0" w:type="dxa"/>
            <w:left w:w="0" w:type="dxa"/>
            <w:bottom w:w="0" w:type="dxa"/>
            <w:right w:w="0" w:type="dxa"/>
          </w:tblCellMar>
        </w:tblPrEx>
        <w:trPr>
          <w:trHeight w:val="205"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5E9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13E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财政专户管理资金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03E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3C08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9D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5D4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14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5F7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38D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08D21DE0">
        <w:tblPrEx>
          <w:shd w:val="clear" w:color="auto" w:fill="auto"/>
          <w:tblCellMar>
            <w:top w:w="0" w:type="dxa"/>
            <w:left w:w="0" w:type="dxa"/>
            <w:bottom w:w="0" w:type="dxa"/>
            <w:right w:w="0" w:type="dxa"/>
          </w:tblCellMar>
        </w:tblPrEx>
        <w:trPr>
          <w:trHeight w:val="205"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51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70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单位资金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11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B5B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6E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C7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0.00%</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25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AD0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C4F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3F8EE60E">
        <w:tblPrEx>
          <w:shd w:val="clear" w:color="auto" w:fill="auto"/>
          <w:tblCellMar>
            <w:top w:w="0" w:type="dxa"/>
            <w:left w:w="0" w:type="dxa"/>
            <w:bottom w:w="0" w:type="dxa"/>
            <w:right w:w="0" w:type="dxa"/>
          </w:tblCellMar>
        </w:tblPrEx>
        <w:trPr>
          <w:trHeight w:val="841"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A82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F3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其他资金</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92B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67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7BE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A3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0B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84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413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18201773">
        <w:tblPrEx>
          <w:shd w:val="clear" w:color="auto" w:fill="auto"/>
          <w:tblCellMar>
            <w:top w:w="0" w:type="dxa"/>
            <w:left w:w="0" w:type="dxa"/>
            <w:bottom w:w="0" w:type="dxa"/>
            <w:right w:w="0" w:type="dxa"/>
          </w:tblCellMar>
        </w:tblPrEx>
        <w:trPr>
          <w:trHeight w:val="387" w:hRule="atLeast"/>
        </w:trPr>
        <w:tc>
          <w:tcPr>
            <w:tcW w:w="7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2EA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绩效指标（90分）</w:t>
            </w: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E7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一级指标</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C0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二级指标</w:t>
            </w: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510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三级指标</w:t>
            </w:r>
          </w:p>
        </w:tc>
        <w:tc>
          <w:tcPr>
            <w:tcW w:w="4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93D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指标性质</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1F0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F76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度量单位</w:t>
            </w: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22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完成值</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6E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权重</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9BA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得分</w:t>
            </w:r>
          </w:p>
        </w:tc>
        <w:tc>
          <w:tcPr>
            <w:tcW w:w="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44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未完成原因分析</w:t>
            </w:r>
          </w:p>
        </w:tc>
      </w:tr>
      <w:tr w14:paraId="246DD919">
        <w:tblPrEx>
          <w:shd w:val="clear" w:color="auto" w:fill="auto"/>
          <w:tblCellMar>
            <w:top w:w="0" w:type="dxa"/>
            <w:left w:w="0" w:type="dxa"/>
            <w:bottom w:w="0" w:type="dxa"/>
            <w:right w:w="0" w:type="dxa"/>
          </w:tblCellMar>
        </w:tblPrEx>
        <w:trPr>
          <w:trHeight w:val="1296" w:hRule="atLeast"/>
        </w:trPr>
        <w:tc>
          <w:tcPr>
            <w:tcW w:w="7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0B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6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1B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17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25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2313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C3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868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85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5D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D8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3A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13C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因2025年12月20日财政资金才拨入单位，已无法实施采购服务流程。</w:t>
            </w:r>
          </w:p>
        </w:tc>
      </w:tr>
      <w:tr w14:paraId="05B035C0">
        <w:tblPrEx>
          <w:shd w:val="clear" w:color="auto" w:fill="auto"/>
          <w:tblCellMar>
            <w:top w:w="0" w:type="dxa"/>
            <w:left w:w="0" w:type="dxa"/>
            <w:bottom w:w="0" w:type="dxa"/>
            <w:right w:w="0" w:type="dxa"/>
          </w:tblCellMar>
        </w:tblPrEx>
        <w:trPr>
          <w:trHeight w:val="205" w:hRule="atLeast"/>
        </w:trPr>
        <w:tc>
          <w:tcPr>
            <w:tcW w:w="7994"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3A1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合计</w:t>
            </w:r>
          </w:p>
        </w:tc>
        <w:tc>
          <w:tcPr>
            <w:tcW w:w="3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2C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100</w:t>
            </w:r>
          </w:p>
        </w:tc>
        <w:tc>
          <w:tcPr>
            <w:tcW w:w="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8B8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c>
          <w:tcPr>
            <w:tcW w:w="9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4E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p>
        </w:tc>
      </w:tr>
      <w:tr w14:paraId="1DE992FD">
        <w:tblPrEx>
          <w:shd w:val="clear" w:color="auto" w:fill="auto"/>
          <w:tblCellMar>
            <w:top w:w="0" w:type="dxa"/>
            <w:left w:w="0" w:type="dxa"/>
            <w:bottom w:w="0" w:type="dxa"/>
            <w:right w:w="0" w:type="dxa"/>
          </w:tblCellMar>
        </w:tblPrEx>
        <w:trPr>
          <w:trHeight w:val="387"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B7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评价结论</w:t>
            </w:r>
          </w:p>
        </w:tc>
        <w:tc>
          <w:tcPr>
            <w:tcW w:w="8946"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0B3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因2025年12月20日财政资金才拨入单位，已无法实施采购服务流程，故预算执行率为0%。</w:t>
            </w:r>
          </w:p>
        </w:tc>
      </w:tr>
      <w:tr w14:paraId="42D113B5">
        <w:tblPrEx>
          <w:tblCellMar>
            <w:top w:w="0" w:type="dxa"/>
            <w:left w:w="0" w:type="dxa"/>
            <w:bottom w:w="0" w:type="dxa"/>
            <w:right w:w="0" w:type="dxa"/>
          </w:tblCellMar>
        </w:tblPrEx>
        <w:trPr>
          <w:trHeight w:val="387"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4FA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存在问题</w:t>
            </w:r>
          </w:p>
        </w:tc>
        <w:tc>
          <w:tcPr>
            <w:tcW w:w="8946"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5A5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资金拨入太晚。</w:t>
            </w:r>
          </w:p>
        </w:tc>
      </w:tr>
      <w:tr w14:paraId="6FD49DF1">
        <w:tblPrEx>
          <w:shd w:val="clear" w:color="auto" w:fill="auto"/>
          <w:tblCellMar>
            <w:top w:w="0" w:type="dxa"/>
            <w:left w:w="0" w:type="dxa"/>
            <w:bottom w:w="0" w:type="dxa"/>
            <w:right w:w="0" w:type="dxa"/>
          </w:tblCellMar>
        </w:tblPrEx>
        <w:trPr>
          <w:trHeight w:val="387"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35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改进措施</w:t>
            </w:r>
          </w:p>
        </w:tc>
        <w:tc>
          <w:tcPr>
            <w:tcW w:w="8946"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B6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建议尽早拨入资金。</w:t>
            </w:r>
          </w:p>
        </w:tc>
      </w:tr>
      <w:tr w14:paraId="492CF161">
        <w:tblPrEx>
          <w:shd w:val="clear" w:color="auto" w:fill="auto"/>
          <w:tblCellMar>
            <w:top w:w="0" w:type="dxa"/>
            <w:left w:w="0" w:type="dxa"/>
            <w:bottom w:w="0" w:type="dxa"/>
            <w:right w:w="0" w:type="dxa"/>
          </w:tblCellMar>
        </w:tblPrEx>
        <w:trPr>
          <w:trHeight w:val="484" w:hRule="atLeast"/>
        </w:trPr>
        <w:tc>
          <w:tcPr>
            <w:tcW w:w="578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D2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项目负责人：邓伟、何剑</w:t>
            </w:r>
          </w:p>
        </w:tc>
        <w:tc>
          <w:tcPr>
            <w:tcW w:w="394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354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sz w:val="18"/>
                <w:szCs w:val="18"/>
              </w:rPr>
            </w:pPr>
            <w:r>
              <w:rPr>
                <w:rFonts w:hint="default" w:ascii="Times New Roman" w:hAnsi="Times New Roman" w:cs="Times New Roman"/>
                <w:sz w:val="18"/>
                <w:szCs w:val="18"/>
                <w:lang w:val="en-US" w:eastAsia="zh-CN"/>
              </w:rPr>
              <w:t>财务负责人：毛正华</w:t>
            </w:r>
          </w:p>
        </w:tc>
      </w:tr>
    </w:tbl>
    <w:p w14:paraId="677F93EE">
      <w:pPr>
        <w:pStyle w:val="5"/>
        <w:jc w:val="center"/>
        <w:rPr>
          <w:rFonts w:hint="default" w:ascii="Times New Roman" w:hAnsi="Times New Roman" w:eastAsia="黑体" w:cs="Times New Roman"/>
        </w:rPr>
      </w:pPr>
    </w:p>
    <w:p w14:paraId="28D137D5">
      <w:pPr>
        <w:pStyle w:val="5"/>
        <w:jc w:val="center"/>
        <w:rPr>
          <w:rFonts w:hint="default" w:ascii="Times New Roman" w:hAnsi="Times New Roman" w:eastAsia="黑体" w:cs="Times New Roman"/>
        </w:rPr>
      </w:pPr>
    </w:p>
    <w:p w14:paraId="733B9217">
      <w:pPr>
        <w:pStyle w:val="5"/>
        <w:jc w:val="center"/>
        <w:rPr>
          <w:rFonts w:hint="default" w:ascii="Times New Roman" w:hAnsi="Times New Roman" w:eastAsia="黑体" w:cs="Times New Roman"/>
        </w:rPr>
      </w:pPr>
    </w:p>
    <w:p w14:paraId="101E9D78">
      <w:pPr>
        <w:rPr>
          <w:rFonts w:hint="default" w:ascii="Times New Roman" w:hAnsi="Times New Roman" w:cs="Times New Roman"/>
        </w:rPr>
      </w:pPr>
    </w:p>
    <w:tbl>
      <w:tblPr>
        <w:tblStyle w:val="19"/>
        <w:tblpPr w:leftFromText="180" w:rightFromText="180" w:vertAnchor="text" w:horzAnchor="page" w:tblpX="867" w:tblpY="893"/>
        <w:tblOverlap w:val="never"/>
        <w:tblW w:w="9820" w:type="dxa"/>
        <w:tblInd w:w="0" w:type="dxa"/>
        <w:shd w:val="clear" w:color="auto" w:fill="auto"/>
        <w:tblLayout w:type="fixed"/>
        <w:tblCellMar>
          <w:top w:w="0" w:type="dxa"/>
          <w:left w:w="0" w:type="dxa"/>
          <w:bottom w:w="0" w:type="dxa"/>
          <w:right w:w="0" w:type="dxa"/>
        </w:tblCellMar>
      </w:tblPr>
      <w:tblGrid>
        <w:gridCol w:w="959"/>
        <w:gridCol w:w="1321"/>
        <w:gridCol w:w="1395"/>
        <w:gridCol w:w="1255"/>
        <w:gridCol w:w="562"/>
        <w:gridCol w:w="503"/>
        <w:gridCol w:w="428"/>
        <w:gridCol w:w="637"/>
        <w:gridCol w:w="570"/>
        <w:gridCol w:w="622"/>
        <w:gridCol w:w="1568"/>
      </w:tblGrid>
      <w:tr w14:paraId="21AFCB25">
        <w:tblPrEx>
          <w:shd w:val="clear" w:color="auto" w:fill="auto"/>
          <w:tblCellMar>
            <w:top w:w="0" w:type="dxa"/>
            <w:left w:w="0" w:type="dxa"/>
            <w:bottom w:w="0" w:type="dxa"/>
            <w:right w:w="0" w:type="dxa"/>
          </w:tblCellMar>
        </w:tblPrEx>
        <w:trPr>
          <w:trHeight w:val="478" w:hRule="atLeast"/>
        </w:trPr>
        <w:tc>
          <w:tcPr>
            <w:tcW w:w="982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7D9B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黑体" w:cs="Times New Roman"/>
                <w:b/>
                <w:i w:val="0"/>
                <w:color w:val="000000"/>
                <w:sz w:val="30"/>
                <w:szCs w:val="30"/>
                <w:u w:val="none"/>
              </w:rPr>
            </w:pPr>
            <w:r>
              <w:rPr>
                <w:rFonts w:hint="default" w:ascii="Times New Roman" w:hAnsi="Times New Roman" w:eastAsia="黑体" w:cs="Times New Roman"/>
                <w:b/>
                <w:i w:val="0"/>
                <w:color w:val="000000"/>
                <w:kern w:val="0"/>
                <w:sz w:val="30"/>
                <w:szCs w:val="30"/>
                <w:u w:val="none"/>
                <w:lang w:val="en-US" w:eastAsia="zh-CN" w:bidi="ar"/>
              </w:rPr>
              <w:t xml:space="preserve">   部门预算项目支出绩效自评表（2025年度）</w:t>
            </w:r>
          </w:p>
        </w:tc>
      </w:tr>
      <w:tr w14:paraId="79051A38">
        <w:tblPrEx>
          <w:tblCellMar>
            <w:top w:w="0" w:type="dxa"/>
            <w:left w:w="0" w:type="dxa"/>
            <w:bottom w:w="0" w:type="dxa"/>
            <w:right w:w="0" w:type="dxa"/>
          </w:tblCellMar>
        </w:tblPrEx>
        <w:trPr>
          <w:trHeight w:val="354"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A94B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项目名称</w:t>
            </w:r>
          </w:p>
        </w:tc>
        <w:tc>
          <w:tcPr>
            <w:tcW w:w="754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768A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51340026T000015211604-农业技术培训</w:t>
            </w:r>
          </w:p>
        </w:tc>
      </w:tr>
      <w:tr w14:paraId="7A8DD890">
        <w:tblPrEx>
          <w:tblCellMar>
            <w:top w:w="0" w:type="dxa"/>
            <w:left w:w="0" w:type="dxa"/>
            <w:bottom w:w="0" w:type="dxa"/>
            <w:right w:w="0" w:type="dxa"/>
          </w:tblCellMar>
        </w:tblPrEx>
        <w:trPr>
          <w:trHeight w:val="519" w:hRule="atLeast"/>
        </w:trPr>
        <w:tc>
          <w:tcPr>
            <w:tcW w:w="22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37235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主管部门</w:t>
            </w:r>
          </w:p>
        </w:tc>
        <w:tc>
          <w:tcPr>
            <w:tcW w:w="37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973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凉山州科学技术协会部门</w:t>
            </w:r>
          </w:p>
        </w:tc>
        <w:tc>
          <w:tcPr>
            <w:tcW w:w="1065" w:type="dxa"/>
            <w:gridSpan w:val="2"/>
            <w:tcBorders>
              <w:top w:val="nil"/>
              <w:left w:val="nil"/>
              <w:bottom w:val="nil"/>
              <w:right w:val="nil"/>
            </w:tcBorders>
            <w:shd w:val="clear" w:color="auto" w:fill="auto"/>
            <w:tcMar>
              <w:top w:w="15" w:type="dxa"/>
              <w:left w:w="15" w:type="dxa"/>
              <w:right w:w="15" w:type="dxa"/>
            </w:tcMar>
            <w:vAlign w:val="center"/>
          </w:tcPr>
          <w:p w14:paraId="26B11F1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实施单位 （盖章）</w:t>
            </w:r>
          </w:p>
        </w:tc>
        <w:tc>
          <w:tcPr>
            <w:tcW w:w="276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44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凉山州科学技术协会</w:t>
            </w:r>
          </w:p>
        </w:tc>
      </w:tr>
      <w:tr w14:paraId="55D4FEE5">
        <w:tblPrEx>
          <w:shd w:val="clear" w:color="auto" w:fill="auto"/>
          <w:tblCellMar>
            <w:top w:w="0" w:type="dxa"/>
            <w:left w:w="0" w:type="dxa"/>
            <w:bottom w:w="0" w:type="dxa"/>
            <w:right w:w="0" w:type="dxa"/>
          </w:tblCellMar>
        </w:tblPrEx>
        <w:trPr>
          <w:trHeight w:val="354" w:hRule="atLeast"/>
        </w:trPr>
        <w:tc>
          <w:tcPr>
            <w:tcW w:w="9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C793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项目基本情况</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DD4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1.项目年度目标完成情况</w:t>
            </w:r>
          </w:p>
        </w:tc>
        <w:tc>
          <w:tcPr>
            <w:tcW w:w="37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1F2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项目年度目标</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5D9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年度目标完成情况</w:t>
            </w:r>
          </w:p>
        </w:tc>
      </w:tr>
      <w:tr w14:paraId="5BAE12A9">
        <w:tblPrEx>
          <w:tblCellMar>
            <w:top w:w="0" w:type="dxa"/>
            <w:left w:w="0" w:type="dxa"/>
            <w:bottom w:w="0" w:type="dxa"/>
            <w:right w:w="0" w:type="dxa"/>
          </w:tblCellMar>
        </w:tblPrEx>
        <w:trPr>
          <w:trHeight w:val="2548"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6BB19">
            <w:pPr>
              <w:keepNext w:val="0"/>
              <w:keepLines w:val="0"/>
              <w:suppressLineNumbers w:val="0"/>
              <w:spacing w:before="0" w:beforeAutospacing="0" w:after="0" w:afterAutospacing="0"/>
              <w:ind w:left="0" w:right="0"/>
              <w:rPr>
                <w:rFonts w:hint="default" w:ascii="Times New Roman" w:hAnsi="Times New Roman" w:eastAsia="宋体" w:cs="Times New Roman"/>
                <w:i w:val="0"/>
                <w:color w:val="000000"/>
                <w:sz w:val="18"/>
                <w:szCs w:val="18"/>
                <w:u w:val="none"/>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B952E">
            <w:pPr>
              <w:keepNext w:val="0"/>
              <w:keepLines w:val="0"/>
              <w:suppressLineNumbers w:val="0"/>
              <w:spacing w:before="0" w:beforeAutospacing="0" w:after="0" w:afterAutospacing="0"/>
              <w:ind w:left="0" w:right="0"/>
              <w:rPr>
                <w:rFonts w:hint="default" w:ascii="Times New Roman" w:hAnsi="Times New Roman" w:eastAsia="宋体" w:cs="Times New Roman"/>
                <w:i w:val="0"/>
                <w:color w:val="000000"/>
                <w:sz w:val="18"/>
                <w:szCs w:val="18"/>
                <w:u w:val="none"/>
              </w:rPr>
            </w:pPr>
          </w:p>
        </w:tc>
        <w:tc>
          <w:tcPr>
            <w:tcW w:w="37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D0BF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为全面落实乡村振兴战略部署，充分发挥科技在乡村产业发展中的支撑作用，凉山州科协依托自身组织与人才优势，积极投身乡村振兴实践。重点围绕农业技术推广、乡村人才培训、特色产业科普示范等方面开展系列工作。拟于农闲时段，精准聚焦农村群众与返乡农民群体，紧扣乡村产业发展技术需求，破解农民生产技能瓶颈，助力参训人员实现本土稳定就业，为凉山州乡村振兴战略实施注入科技动能。</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5941B">
            <w:pPr>
              <w:keepNext w:val="0"/>
              <w:keepLines w:val="0"/>
              <w:suppressLineNumbers w:val="0"/>
              <w:spacing w:before="0" w:beforeAutospacing="0" w:after="0" w:afterAutospacing="0"/>
              <w:ind w:left="0" w:right="0"/>
              <w:rPr>
                <w:rFonts w:hint="default" w:ascii="Times New Roman" w:hAnsi="Times New Roman" w:eastAsia="黑体" w:cs="Times New Roman"/>
                <w:i w:val="0"/>
                <w:color w:val="000000"/>
                <w:sz w:val="18"/>
                <w:szCs w:val="18"/>
                <w:u w:val="none"/>
              </w:rPr>
            </w:pPr>
          </w:p>
        </w:tc>
      </w:tr>
      <w:tr w14:paraId="147C8998">
        <w:tblPrEx>
          <w:shd w:val="clear" w:color="auto" w:fill="auto"/>
          <w:tblCellMar>
            <w:top w:w="0" w:type="dxa"/>
            <w:left w:w="0" w:type="dxa"/>
            <w:bottom w:w="0" w:type="dxa"/>
            <w:right w:w="0" w:type="dxa"/>
          </w:tblCellMar>
        </w:tblPrEx>
        <w:trPr>
          <w:trHeight w:val="641"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D1DED">
            <w:pPr>
              <w:keepNext w:val="0"/>
              <w:keepLines w:val="0"/>
              <w:suppressLineNumbers w:val="0"/>
              <w:spacing w:before="0" w:beforeAutospacing="0" w:after="0" w:afterAutospacing="0"/>
              <w:ind w:left="0" w:right="0"/>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0FB5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2.项目实施内容及过程概述</w:t>
            </w:r>
          </w:p>
        </w:tc>
        <w:tc>
          <w:tcPr>
            <w:tcW w:w="754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1354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因2025年12月24日财政资金才拨入单位，已无法实施采购服务流程，故预算执行率为0%。</w:t>
            </w:r>
          </w:p>
        </w:tc>
      </w:tr>
      <w:tr w14:paraId="6B21EF01">
        <w:tblPrEx>
          <w:tblCellMar>
            <w:top w:w="0" w:type="dxa"/>
            <w:left w:w="0" w:type="dxa"/>
            <w:bottom w:w="0" w:type="dxa"/>
            <w:right w:w="0" w:type="dxa"/>
          </w:tblCellMar>
        </w:tblPrEx>
        <w:trPr>
          <w:trHeight w:val="656" w:hRule="atLeast"/>
        </w:trPr>
        <w:tc>
          <w:tcPr>
            <w:tcW w:w="9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A78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预算执行情况（10分）</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EA2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年度预算数（万元）</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934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年初预算</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5AC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调整后预算数</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6226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预算执行数</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83E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预算执行率</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A5E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权重</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1DA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得分</w:t>
            </w:r>
          </w:p>
        </w:tc>
        <w:tc>
          <w:tcPr>
            <w:tcW w:w="1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49B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原因</w:t>
            </w:r>
          </w:p>
        </w:tc>
      </w:tr>
      <w:tr w14:paraId="759B9383">
        <w:tblPrEx>
          <w:shd w:val="clear" w:color="auto" w:fill="auto"/>
          <w:tblCellMar>
            <w:top w:w="0" w:type="dxa"/>
            <w:left w:w="0" w:type="dxa"/>
            <w:bottom w:w="0" w:type="dxa"/>
            <w:right w:w="0" w:type="dxa"/>
          </w:tblCellMar>
        </w:tblPrEx>
        <w:trPr>
          <w:trHeight w:val="388"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D61AC">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6FB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总额</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79B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997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4ED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7EE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18E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34DB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5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1249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黑体" w:cs="Times New Roman"/>
                <w:i/>
                <w:color w:val="000000"/>
                <w:sz w:val="18"/>
                <w:szCs w:val="18"/>
                <w:u w:val="none"/>
              </w:rPr>
            </w:pPr>
            <w:r>
              <w:rPr>
                <w:rFonts w:hint="default" w:ascii="Times New Roman" w:hAnsi="Times New Roman" w:eastAsia="黑体" w:cs="Times New Roman"/>
                <w:i/>
                <w:color w:val="000000"/>
                <w:kern w:val="0"/>
                <w:sz w:val="18"/>
                <w:szCs w:val="18"/>
                <w:u w:val="none"/>
                <w:lang w:val="en-US" w:eastAsia="zh-CN" w:bidi="ar"/>
              </w:rPr>
              <w:t>因2025年12月24日财政资金才拨入单位，已无法实施采购服务流程，故预算执行率为0%。</w:t>
            </w:r>
          </w:p>
        </w:tc>
      </w:tr>
      <w:tr w14:paraId="00A4C4CE">
        <w:tblPrEx>
          <w:shd w:val="clear" w:color="auto" w:fill="auto"/>
          <w:tblCellMar>
            <w:top w:w="0" w:type="dxa"/>
            <w:left w:w="0" w:type="dxa"/>
            <w:bottom w:w="0" w:type="dxa"/>
            <w:right w:w="0" w:type="dxa"/>
          </w:tblCellMar>
        </w:tblPrEx>
        <w:trPr>
          <w:trHeight w:val="431"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A31B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6A2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其中：财政资金</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BCF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AEC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20.00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C263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ED4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C50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4A0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AD372">
            <w:pPr>
              <w:keepNext w:val="0"/>
              <w:keepLines w:val="0"/>
              <w:suppressLineNumbers w:val="0"/>
              <w:spacing w:before="0" w:beforeAutospacing="0" w:after="0" w:afterAutospacing="0"/>
              <w:ind w:left="0" w:right="0"/>
              <w:rPr>
                <w:rFonts w:hint="default" w:ascii="Times New Roman" w:hAnsi="Times New Roman" w:eastAsia="黑体" w:cs="Times New Roman"/>
                <w:i/>
                <w:color w:val="000000"/>
                <w:sz w:val="18"/>
                <w:szCs w:val="18"/>
                <w:u w:val="none"/>
              </w:rPr>
            </w:pPr>
          </w:p>
        </w:tc>
      </w:tr>
      <w:tr w14:paraId="05DC5703">
        <w:tblPrEx>
          <w:shd w:val="clear" w:color="auto" w:fill="auto"/>
          <w:tblCellMar>
            <w:top w:w="0" w:type="dxa"/>
            <w:left w:w="0" w:type="dxa"/>
            <w:bottom w:w="0" w:type="dxa"/>
            <w:right w:w="0" w:type="dxa"/>
          </w:tblCellMar>
        </w:tblPrEx>
        <w:trPr>
          <w:trHeight w:val="447"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55239">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0E3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财政专户管理资金</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CA8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C46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4F1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C3F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2841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FDE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CFF39">
            <w:pPr>
              <w:keepNext w:val="0"/>
              <w:keepLines w:val="0"/>
              <w:suppressLineNumbers w:val="0"/>
              <w:spacing w:before="0" w:beforeAutospacing="0" w:after="0" w:afterAutospacing="0"/>
              <w:ind w:left="0" w:right="0"/>
              <w:rPr>
                <w:rFonts w:hint="default" w:ascii="Times New Roman" w:hAnsi="Times New Roman" w:eastAsia="黑体" w:cs="Times New Roman"/>
                <w:i/>
                <w:color w:val="000000"/>
                <w:sz w:val="18"/>
                <w:szCs w:val="18"/>
                <w:u w:val="none"/>
              </w:rPr>
            </w:pPr>
          </w:p>
        </w:tc>
      </w:tr>
      <w:tr w14:paraId="3FFE8785">
        <w:tblPrEx>
          <w:shd w:val="clear" w:color="auto" w:fill="auto"/>
          <w:tblCellMar>
            <w:top w:w="0" w:type="dxa"/>
            <w:left w:w="0" w:type="dxa"/>
            <w:bottom w:w="0" w:type="dxa"/>
            <w:right w:w="0" w:type="dxa"/>
          </w:tblCellMar>
        </w:tblPrEx>
        <w:trPr>
          <w:trHeight w:val="402"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7837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0DA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单位资金</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A7F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554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A34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175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0.00%</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719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4A7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D6C73">
            <w:pPr>
              <w:keepNext w:val="0"/>
              <w:keepLines w:val="0"/>
              <w:suppressLineNumbers w:val="0"/>
              <w:spacing w:before="0" w:beforeAutospacing="0" w:after="0" w:afterAutospacing="0"/>
              <w:ind w:left="0" w:right="0"/>
              <w:rPr>
                <w:rFonts w:hint="default" w:ascii="Times New Roman" w:hAnsi="Times New Roman" w:eastAsia="黑体" w:cs="Times New Roman"/>
                <w:i/>
                <w:color w:val="000000"/>
                <w:sz w:val="18"/>
                <w:szCs w:val="18"/>
                <w:u w:val="none"/>
              </w:rPr>
            </w:pPr>
          </w:p>
        </w:tc>
      </w:tr>
      <w:tr w14:paraId="121D81CC">
        <w:tblPrEx>
          <w:shd w:val="clear" w:color="auto" w:fill="auto"/>
          <w:tblCellMar>
            <w:top w:w="0" w:type="dxa"/>
            <w:left w:w="0" w:type="dxa"/>
            <w:bottom w:w="0" w:type="dxa"/>
            <w:right w:w="0" w:type="dxa"/>
          </w:tblCellMar>
        </w:tblPrEx>
        <w:trPr>
          <w:trHeight w:val="381"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6A433">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0EA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其他资金</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25E03">
            <w:pPr>
              <w:keepNext w:val="0"/>
              <w:keepLines w:val="0"/>
              <w:suppressLineNumbers w:val="0"/>
              <w:spacing w:before="0" w:beforeAutospacing="0" w:after="0" w:afterAutospacing="0"/>
              <w:ind w:left="0" w:right="0"/>
              <w:jc w:val="center"/>
              <w:rPr>
                <w:rFonts w:hint="default" w:ascii="Times New Roman" w:hAnsi="Times New Roman" w:eastAsia="微软雅黑" w:cs="Times New Roman"/>
                <w:i/>
                <w:color w:val="000000"/>
                <w:sz w:val="16"/>
                <w:szCs w:val="16"/>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95F15">
            <w:pPr>
              <w:keepNext w:val="0"/>
              <w:keepLines w:val="0"/>
              <w:suppressLineNumbers w:val="0"/>
              <w:spacing w:before="0" w:beforeAutospacing="0" w:after="0" w:afterAutospacing="0"/>
              <w:ind w:left="0" w:right="0"/>
              <w:jc w:val="center"/>
              <w:rPr>
                <w:rFonts w:hint="default" w:ascii="Times New Roman" w:hAnsi="Times New Roman" w:eastAsia="微软雅黑" w:cs="Times New Roman"/>
                <w:i/>
                <w:color w:val="000000"/>
                <w:sz w:val="16"/>
                <w:szCs w:val="16"/>
                <w:u w:val="none"/>
              </w:rPr>
            </w:pP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28DC8">
            <w:pPr>
              <w:keepNext w:val="0"/>
              <w:keepLines w:val="0"/>
              <w:suppressLineNumbers w:val="0"/>
              <w:spacing w:before="0" w:beforeAutospacing="0" w:after="0" w:afterAutospacing="0"/>
              <w:ind w:left="0" w:right="0"/>
              <w:jc w:val="center"/>
              <w:rPr>
                <w:rFonts w:hint="default" w:ascii="Times New Roman" w:hAnsi="Times New Roman" w:eastAsia="微软雅黑" w:cs="Times New Roman"/>
                <w:i/>
                <w:color w:val="000000"/>
                <w:sz w:val="16"/>
                <w:szCs w:val="16"/>
                <w:u w:val="none"/>
              </w:rPr>
            </w:pP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9C22B">
            <w:pPr>
              <w:keepNext w:val="0"/>
              <w:keepLines w:val="0"/>
              <w:suppressLineNumbers w:val="0"/>
              <w:spacing w:before="0" w:beforeAutospacing="0" w:after="0" w:afterAutospacing="0"/>
              <w:ind w:left="0" w:right="0"/>
              <w:jc w:val="center"/>
              <w:rPr>
                <w:rFonts w:hint="default" w:ascii="Times New Roman" w:hAnsi="Times New Roman" w:eastAsia="微软雅黑" w:cs="Times New Roman"/>
                <w:i/>
                <w:color w:val="000000"/>
                <w:sz w:val="16"/>
                <w:szCs w:val="16"/>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959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E4D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w:t>
            </w:r>
          </w:p>
        </w:tc>
        <w:tc>
          <w:tcPr>
            <w:tcW w:w="15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F7E81">
            <w:pPr>
              <w:keepNext w:val="0"/>
              <w:keepLines w:val="0"/>
              <w:suppressLineNumbers w:val="0"/>
              <w:spacing w:before="0" w:beforeAutospacing="0" w:after="0" w:afterAutospacing="0"/>
              <w:ind w:left="0" w:right="0"/>
              <w:rPr>
                <w:rFonts w:hint="default" w:ascii="Times New Roman" w:hAnsi="Times New Roman" w:eastAsia="黑体" w:cs="Times New Roman"/>
                <w:i/>
                <w:color w:val="000000"/>
                <w:sz w:val="18"/>
                <w:szCs w:val="18"/>
                <w:u w:val="none"/>
              </w:rPr>
            </w:pPr>
          </w:p>
        </w:tc>
      </w:tr>
      <w:tr w14:paraId="26251413">
        <w:tblPrEx>
          <w:shd w:val="clear" w:color="auto" w:fill="auto"/>
          <w:tblCellMar>
            <w:top w:w="0" w:type="dxa"/>
            <w:left w:w="0" w:type="dxa"/>
            <w:bottom w:w="0" w:type="dxa"/>
            <w:right w:w="0" w:type="dxa"/>
          </w:tblCellMar>
        </w:tblPrEx>
        <w:trPr>
          <w:trHeight w:val="756" w:hRule="atLeast"/>
        </w:trPr>
        <w:tc>
          <w:tcPr>
            <w:tcW w:w="9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5F9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绩效指标（90分）</w:t>
            </w: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0E2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一级指标</w:t>
            </w: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450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二级指标</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DBF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三级指标</w:t>
            </w:r>
          </w:p>
        </w:tc>
        <w:tc>
          <w:tcPr>
            <w:tcW w:w="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7BA8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指标性质</w:t>
            </w:r>
          </w:p>
        </w:tc>
        <w:tc>
          <w:tcPr>
            <w:tcW w:w="5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346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指标值</w:t>
            </w:r>
          </w:p>
        </w:tc>
        <w:tc>
          <w:tcPr>
            <w:tcW w:w="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926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度量单位</w:t>
            </w:r>
          </w:p>
        </w:tc>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B6E1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完成值</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668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权重</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C39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得分</w:t>
            </w:r>
          </w:p>
        </w:tc>
        <w:tc>
          <w:tcPr>
            <w:tcW w:w="1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D49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未完成原因分析</w:t>
            </w:r>
          </w:p>
        </w:tc>
      </w:tr>
      <w:tr w14:paraId="51B26FB2">
        <w:tblPrEx>
          <w:shd w:val="clear" w:color="auto" w:fill="auto"/>
          <w:tblCellMar>
            <w:top w:w="0" w:type="dxa"/>
            <w:left w:w="0" w:type="dxa"/>
            <w:bottom w:w="0" w:type="dxa"/>
            <w:right w:w="0" w:type="dxa"/>
          </w:tblCellMar>
        </w:tblPrEx>
        <w:trPr>
          <w:trHeight w:val="1132" w:hRule="atLeast"/>
        </w:trPr>
        <w:tc>
          <w:tcPr>
            <w:tcW w:w="9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F7EC2">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07DF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3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CB38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9F757">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722CB">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0932D">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4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5F3EF">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F4AAC">
            <w:pPr>
              <w:keepNext w:val="0"/>
              <w:keepLines w:val="0"/>
              <w:suppressLineNumbers w:val="0"/>
              <w:spacing w:before="0" w:beforeAutospacing="0" w:after="0" w:afterAutospacing="0"/>
              <w:ind w:left="0" w:right="0"/>
              <w:jc w:val="center"/>
              <w:rPr>
                <w:rFonts w:hint="default" w:ascii="Times New Roman" w:hAnsi="Times New Roman" w:eastAsia="微软雅黑" w:cs="Times New Roman"/>
                <w:i/>
                <w:color w:val="000000"/>
                <w:sz w:val="16"/>
                <w:szCs w:val="16"/>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23FF1">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CE63E">
            <w:pPr>
              <w:keepNext w:val="0"/>
              <w:keepLines w:val="0"/>
              <w:suppressLineNumbers w:val="0"/>
              <w:spacing w:before="0" w:beforeAutospacing="0" w:after="0" w:afterAutospacing="0"/>
              <w:ind w:left="0" w:right="0"/>
              <w:jc w:val="center"/>
              <w:rPr>
                <w:rFonts w:hint="default" w:ascii="Times New Roman" w:hAnsi="Times New Roman" w:eastAsia="宋体" w:cs="Times New Roman"/>
                <w:i w:val="0"/>
                <w:color w:val="000000"/>
                <w:sz w:val="18"/>
                <w:szCs w:val="18"/>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649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微软雅黑" w:cs="Times New Roman"/>
                <w:i/>
                <w:color w:val="000000"/>
                <w:sz w:val="16"/>
                <w:szCs w:val="16"/>
                <w:u w:val="none"/>
              </w:rPr>
            </w:pPr>
            <w:r>
              <w:rPr>
                <w:rFonts w:hint="default" w:ascii="Times New Roman" w:hAnsi="Times New Roman" w:eastAsia="微软雅黑" w:cs="Times New Roman"/>
                <w:i/>
                <w:color w:val="000000"/>
                <w:kern w:val="0"/>
                <w:sz w:val="16"/>
                <w:szCs w:val="16"/>
                <w:u w:val="none"/>
                <w:lang w:val="en-US" w:eastAsia="zh-CN" w:bidi="ar"/>
              </w:rPr>
              <w:t>因2025年12月24日财政资金才拨入单位，已无法实施采购服务流程。</w:t>
            </w:r>
          </w:p>
        </w:tc>
      </w:tr>
      <w:tr w14:paraId="63910707">
        <w:tblPrEx>
          <w:shd w:val="clear" w:color="auto" w:fill="auto"/>
          <w:tblCellMar>
            <w:top w:w="0" w:type="dxa"/>
            <w:left w:w="0" w:type="dxa"/>
            <w:bottom w:w="0" w:type="dxa"/>
            <w:right w:w="0" w:type="dxa"/>
          </w:tblCellMar>
        </w:tblPrEx>
        <w:trPr>
          <w:trHeight w:val="324" w:hRule="atLeast"/>
        </w:trPr>
        <w:tc>
          <w:tcPr>
            <w:tcW w:w="706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778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合计</w:t>
            </w:r>
          </w:p>
        </w:tc>
        <w:tc>
          <w:tcPr>
            <w:tcW w:w="5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56F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100</w:t>
            </w:r>
          </w:p>
        </w:tc>
        <w:tc>
          <w:tcPr>
            <w:tcW w:w="6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59EA8">
            <w:pPr>
              <w:keepNext w:val="0"/>
              <w:keepLines w:val="0"/>
              <w:suppressLineNumbers w:val="0"/>
              <w:spacing w:before="0" w:beforeAutospacing="0" w:after="0" w:afterAutospacing="0"/>
              <w:ind w:left="0" w:right="0"/>
              <w:rPr>
                <w:rFonts w:hint="default" w:ascii="Times New Roman" w:hAnsi="Times New Roman" w:eastAsia="宋体" w:cs="Times New Roman"/>
                <w:i w:val="0"/>
                <w:color w:val="000000"/>
                <w:sz w:val="18"/>
                <w:szCs w:val="18"/>
                <w:u w:val="none"/>
              </w:rPr>
            </w:pPr>
          </w:p>
        </w:tc>
        <w:tc>
          <w:tcPr>
            <w:tcW w:w="15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E9886">
            <w:pPr>
              <w:keepNext w:val="0"/>
              <w:keepLines w:val="0"/>
              <w:suppressLineNumbers w:val="0"/>
              <w:spacing w:before="0" w:beforeAutospacing="0" w:after="0" w:afterAutospacing="0"/>
              <w:ind w:left="0" w:right="0"/>
              <w:rPr>
                <w:rFonts w:hint="default" w:ascii="Times New Roman" w:hAnsi="Times New Roman" w:eastAsia="宋体" w:cs="Times New Roman"/>
                <w:i w:val="0"/>
                <w:color w:val="000000"/>
                <w:sz w:val="18"/>
                <w:szCs w:val="18"/>
                <w:u w:val="none"/>
              </w:rPr>
            </w:pPr>
          </w:p>
        </w:tc>
      </w:tr>
      <w:tr w14:paraId="4F3DB94C">
        <w:tblPrEx>
          <w:shd w:val="clear" w:color="auto" w:fill="auto"/>
          <w:tblCellMar>
            <w:top w:w="0" w:type="dxa"/>
            <w:left w:w="0" w:type="dxa"/>
            <w:bottom w:w="0" w:type="dxa"/>
            <w:right w:w="0" w:type="dxa"/>
          </w:tblCellMar>
        </w:tblPrEx>
        <w:trPr>
          <w:trHeight w:val="399"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EF1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存在问题</w:t>
            </w:r>
          </w:p>
        </w:tc>
        <w:tc>
          <w:tcPr>
            <w:tcW w:w="8861"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9053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微软雅黑" w:cs="Times New Roman"/>
                <w:i/>
                <w:color w:val="000000"/>
                <w:sz w:val="16"/>
                <w:szCs w:val="16"/>
                <w:u w:val="none"/>
              </w:rPr>
            </w:pPr>
            <w:r>
              <w:rPr>
                <w:rFonts w:hint="default" w:ascii="Times New Roman" w:hAnsi="Times New Roman" w:eastAsia="微软雅黑" w:cs="Times New Roman"/>
                <w:i/>
                <w:color w:val="000000"/>
                <w:kern w:val="0"/>
                <w:sz w:val="16"/>
                <w:szCs w:val="16"/>
                <w:u w:val="none"/>
                <w:lang w:val="en-US" w:eastAsia="zh-CN" w:bidi="ar"/>
              </w:rPr>
              <w:t>资金拨入太晚。</w:t>
            </w:r>
          </w:p>
        </w:tc>
      </w:tr>
      <w:tr w14:paraId="3B6E3EA0">
        <w:tblPrEx>
          <w:shd w:val="clear" w:color="auto" w:fill="auto"/>
          <w:tblCellMar>
            <w:top w:w="0" w:type="dxa"/>
            <w:left w:w="0" w:type="dxa"/>
            <w:bottom w:w="0" w:type="dxa"/>
            <w:right w:w="0" w:type="dxa"/>
          </w:tblCellMar>
        </w:tblPrEx>
        <w:trPr>
          <w:trHeight w:val="459" w:hRule="atLeast"/>
        </w:trPr>
        <w:tc>
          <w:tcPr>
            <w:tcW w:w="9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9D8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color w:val="000000"/>
                <w:sz w:val="18"/>
                <w:szCs w:val="18"/>
                <w:u w:val="none"/>
              </w:rPr>
            </w:pPr>
            <w:r>
              <w:rPr>
                <w:rFonts w:hint="default" w:ascii="Times New Roman" w:hAnsi="Times New Roman" w:eastAsia="宋体" w:cs="Times New Roman"/>
                <w:i w:val="0"/>
                <w:color w:val="000000"/>
                <w:kern w:val="0"/>
                <w:sz w:val="18"/>
                <w:szCs w:val="18"/>
                <w:u w:val="none"/>
                <w:lang w:val="en-US" w:eastAsia="zh-CN" w:bidi="ar"/>
              </w:rPr>
              <w:t>改进措施</w:t>
            </w:r>
          </w:p>
        </w:tc>
        <w:tc>
          <w:tcPr>
            <w:tcW w:w="8861"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24B8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微软雅黑" w:cs="Times New Roman"/>
                <w:i/>
                <w:color w:val="000000"/>
                <w:sz w:val="16"/>
                <w:szCs w:val="16"/>
                <w:u w:val="none"/>
              </w:rPr>
            </w:pPr>
            <w:r>
              <w:rPr>
                <w:rFonts w:hint="default" w:ascii="Times New Roman" w:hAnsi="Times New Roman" w:eastAsia="微软雅黑" w:cs="Times New Roman"/>
                <w:i/>
                <w:color w:val="000000"/>
                <w:kern w:val="0"/>
                <w:sz w:val="16"/>
                <w:szCs w:val="16"/>
                <w:u w:val="none"/>
                <w:lang w:val="en-US" w:eastAsia="zh-CN" w:bidi="ar"/>
              </w:rPr>
              <w:t>建议尽早拨入资金。</w:t>
            </w:r>
          </w:p>
        </w:tc>
      </w:tr>
      <w:tr w14:paraId="5CB3C661">
        <w:tblPrEx>
          <w:shd w:val="clear" w:color="auto" w:fill="auto"/>
          <w:tblCellMar>
            <w:top w:w="0" w:type="dxa"/>
            <w:left w:w="0" w:type="dxa"/>
            <w:bottom w:w="0" w:type="dxa"/>
            <w:right w:w="0" w:type="dxa"/>
          </w:tblCellMar>
        </w:tblPrEx>
        <w:trPr>
          <w:trHeight w:val="405" w:hRule="atLeast"/>
        </w:trPr>
        <w:tc>
          <w:tcPr>
            <w:tcW w:w="549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F2C7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项目负责人：邓伟、何剑</w:t>
            </w:r>
          </w:p>
        </w:tc>
        <w:tc>
          <w:tcPr>
            <w:tcW w:w="432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0681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黑体" w:cs="Times New Roman"/>
                <w:i w:val="0"/>
                <w:color w:val="000000"/>
                <w:sz w:val="18"/>
                <w:szCs w:val="18"/>
                <w:u w:val="none"/>
              </w:rPr>
            </w:pPr>
            <w:r>
              <w:rPr>
                <w:rFonts w:hint="default" w:ascii="Times New Roman" w:hAnsi="Times New Roman" w:eastAsia="黑体" w:cs="Times New Roman"/>
                <w:i w:val="0"/>
                <w:color w:val="000000"/>
                <w:kern w:val="0"/>
                <w:sz w:val="18"/>
                <w:szCs w:val="18"/>
                <w:u w:val="none"/>
                <w:lang w:val="en-US" w:eastAsia="zh-CN" w:bidi="ar"/>
              </w:rPr>
              <w:t>财务负责人：毛正华</w:t>
            </w:r>
          </w:p>
        </w:tc>
      </w:tr>
    </w:tbl>
    <w:p w14:paraId="53F5BDA2">
      <w:pPr>
        <w:pStyle w:val="5"/>
        <w:jc w:val="center"/>
        <w:rPr>
          <w:rFonts w:hint="default" w:ascii="Times New Roman" w:hAnsi="Times New Roman" w:eastAsia="黑体" w:cs="Times New Roman"/>
        </w:rPr>
      </w:pPr>
      <w:r>
        <w:rPr>
          <w:rFonts w:hint="default" w:ascii="Times New Roman" w:hAnsi="Times New Roman" w:eastAsia="黑体" w:cs="Times New Roman"/>
        </w:rPr>
        <w:t>第五部分 附表</w:t>
      </w:r>
      <w:bookmarkEnd w:id="115"/>
    </w:p>
    <w:p w14:paraId="5CF95E89">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一、收入支出决算总表</w:t>
      </w:r>
    </w:p>
    <w:p w14:paraId="67D37A7B">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二、收入决算表</w:t>
      </w:r>
    </w:p>
    <w:p w14:paraId="2CA94F30">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三、支出决算表</w:t>
      </w:r>
    </w:p>
    <w:p w14:paraId="7F101542">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四、财政拨款收入支出决算总表</w:t>
      </w:r>
    </w:p>
    <w:p w14:paraId="260E8254">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五、财政拨款支出决算明细表</w:t>
      </w:r>
    </w:p>
    <w:p w14:paraId="43A2C39B">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六、一般公共预算财政拨款支出决算表</w:t>
      </w:r>
    </w:p>
    <w:p w14:paraId="58B62B32">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七、一般公共预算财政拨款支出决算明细表</w:t>
      </w:r>
    </w:p>
    <w:p w14:paraId="25891770">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八、一般公共预算财政拨款基本支出决算表</w:t>
      </w:r>
    </w:p>
    <w:p w14:paraId="1462C448">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九、一般公共预算财政拨款项目支出决算表</w:t>
      </w:r>
    </w:p>
    <w:p w14:paraId="1D28CE9B">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十、政府性基金预算财政拨款收入支出决算表</w:t>
      </w:r>
    </w:p>
    <w:p w14:paraId="63B82F02">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十一、国有资本经营预算财政拨款收入支出决算表</w:t>
      </w:r>
    </w:p>
    <w:p w14:paraId="69C75324">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十二、国有资本经营预算财政拨款支出决算表</w:t>
      </w:r>
    </w:p>
    <w:p w14:paraId="0ED08B63">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十三、财政拨款“三公”经费支出决算表</w:t>
      </w:r>
    </w:p>
    <w:sectPr>
      <w:type w:val="continuous"/>
      <w:pgSz w:w="11906" w:h="16838"/>
      <w:pgMar w:top="1213" w:right="1179" w:bottom="1213" w:left="1349" w:header="851" w:footer="992"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38078B-B00E-47E6-BF9F-3EDC5852B6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13D774AE-0D00-4B7D-94E9-E33B8A72DDEF}"/>
  </w:font>
  <w:font w:name="仿宋">
    <w:panose1 w:val="02010609060101010101"/>
    <w:charset w:val="86"/>
    <w:family w:val="modern"/>
    <w:pitch w:val="default"/>
    <w:sig w:usb0="800002BF" w:usb1="38CF7CFA" w:usb2="00000016" w:usb3="00000000" w:csb0="00040001" w:csb1="00000000"/>
    <w:embedRegular r:id="rId3" w:fontKey="{550921BA-0002-45CC-9103-DF6490FD7E36}"/>
  </w:font>
  <w:font w:name="??">
    <w:altName w:val="Times New Roman"/>
    <w:panose1 w:val="00000000000000000000"/>
    <w:charset w:val="00"/>
    <w:family w:val="roman"/>
    <w:pitch w:val="default"/>
    <w:sig w:usb0="00000000" w:usb1="00000000" w:usb2="00000000" w:usb3="00000000" w:csb0="00000000" w:csb1="00000000"/>
  </w:font>
  <w:font w:name="方正仿宋简体">
    <w:panose1 w:val="02000000000000000000"/>
    <w:charset w:val="86"/>
    <w:family w:val="auto"/>
    <w:pitch w:val="default"/>
    <w:sig w:usb0="A00002BF" w:usb1="184F6CFA" w:usb2="00000012" w:usb3="00000000" w:csb0="00040001" w:csb1="00000000"/>
  </w:font>
  <w:font w:name="等线">
    <w:panose1 w:val="02010600030101010101"/>
    <w:charset w:val="86"/>
    <w:family w:val="roman"/>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4" w:fontKey="{5416FC03-D924-40E9-9610-E1C1B36CF877}"/>
  </w:font>
  <w:font w:name="楷体_GB2312">
    <w:altName w:val="楷体"/>
    <w:panose1 w:val="02010609030101010101"/>
    <w:charset w:val="86"/>
    <w:family w:val="modern"/>
    <w:pitch w:val="default"/>
    <w:sig w:usb0="00000000" w:usb1="00000000" w:usb2="00000000" w:usb3="00000000" w:csb0="00040000" w:csb1="00000000"/>
    <w:embedRegular r:id="rId5" w:fontKey="{0A8480B7-2932-440E-A2FD-DFE02F13B222}"/>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6" w:fontKey="{FDEC8981-C8FE-4C06-B2D6-0BA7CD0323D8}"/>
  </w:font>
  <w:font w:name="微软雅黑">
    <w:panose1 w:val="020B0503020204020204"/>
    <w:charset w:val="86"/>
    <w:family w:val="auto"/>
    <w:pitch w:val="default"/>
    <w:sig w:usb0="80000287" w:usb1="2ACF3C50" w:usb2="00000016" w:usb3="00000000" w:csb0="0004001F" w:csb1="00000000"/>
    <w:embedRegular r:id="rId7" w:fontKey="{EB825449-3F1E-40CE-8792-C64A6A10E3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4BAF">
    <w:pPr>
      <w:pStyle w:val="14"/>
      <w:jc w:val="center"/>
    </w:pPr>
  </w:p>
  <w:p w14:paraId="1B28D8DD">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C347A">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E86B45">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05E86B45">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p w14:paraId="4D336EE1">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777D">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0122DA">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rHPckBAACZ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VGsc9yQEAAJkDAAAOAAAAAAAAAAEAIAAAAB4BAABkcnMvZTJvRG9j&#10;LnhtbFBLBQYAAAAABgAGAFkBAABZBQAAAAA=&#10;">
              <v:fill on="f" focussize="0,0"/>
              <v:stroke on="f"/>
              <v:imagedata o:title=""/>
              <o:lock v:ext="edit" aspectratio="f"/>
              <v:textbox inset="0mm,0mm,0mm,0mm" style="mso-fit-shape-to-text:t;">
                <w:txbxContent>
                  <w:p w14:paraId="4E0122DA">
                    <w:pPr>
                      <w:pStyle w:val="14"/>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6F90C">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85B1ED"/>
    <w:multiLevelType w:val="singleLevel"/>
    <w:tmpl w:val="6385B1E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1NjI4YjBlYmNiNTcxMzUyYjUxZGNmOGRkZGJmYTgifQ=="/>
  </w:docVars>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0A10"/>
    <w:rsid w:val="001654D1"/>
    <w:rsid w:val="00167723"/>
    <w:rsid w:val="001730E5"/>
    <w:rsid w:val="00174518"/>
    <w:rsid w:val="0018106D"/>
    <w:rsid w:val="001877A7"/>
    <w:rsid w:val="00191536"/>
    <w:rsid w:val="00196687"/>
    <w:rsid w:val="001C0962"/>
    <w:rsid w:val="001C2738"/>
    <w:rsid w:val="001D73E7"/>
    <w:rsid w:val="001D7531"/>
    <w:rsid w:val="001E737D"/>
    <w:rsid w:val="001F0592"/>
    <w:rsid w:val="001F6419"/>
    <w:rsid w:val="001F7506"/>
    <w:rsid w:val="002006CD"/>
    <w:rsid w:val="00202B36"/>
    <w:rsid w:val="00204B7A"/>
    <w:rsid w:val="00204CDE"/>
    <w:rsid w:val="0021101A"/>
    <w:rsid w:val="00220536"/>
    <w:rsid w:val="00235629"/>
    <w:rsid w:val="00243BBA"/>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C7888"/>
    <w:rsid w:val="002D6D05"/>
    <w:rsid w:val="002F1818"/>
    <w:rsid w:val="002F5109"/>
    <w:rsid w:val="002F567B"/>
    <w:rsid w:val="00310028"/>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0D8C"/>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0"/>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2E12"/>
    <w:rsid w:val="006440E4"/>
    <w:rsid w:val="00661709"/>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0159"/>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144"/>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2AAA"/>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07C82"/>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C1D33"/>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0D5E"/>
    <w:rsid w:val="00FC7DA4"/>
    <w:rsid w:val="00FD3CC1"/>
    <w:rsid w:val="00FF1E02"/>
    <w:rsid w:val="00FF30B4"/>
    <w:rsid w:val="011752A7"/>
    <w:rsid w:val="01426047"/>
    <w:rsid w:val="014809FD"/>
    <w:rsid w:val="014F347C"/>
    <w:rsid w:val="015975B8"/>
    <w:rsid w:val="01846C0E"/>
    <w:rsid w:val="019422A6"/>
    <w:rsid w:val="01B224A6"/>
    <w:rsid w:val="01D46B46"/>
    <w:rsid w:val="01D66983"/>
    <w:rsid w:val="01E07299"/>
    <w:rsid w:val="01F23928"/>
    <w:rsid w:val="01F4269B"/>
    <w:rsid w:val="020E2058"/>
    <w:rsid w:val="021138F7"/>
    <w:rsid w:val="02160F0D"/>
    <w:rsid w:val="02555ED9"/>
    <w:rsid w:val="02766E53"/>
    <w:rsid w:val="02864C08"/>
    <w:rsid w:val="02873BB9"/>
    <w:rsid w:val="029368D7"/>
    <w:rsid w:val="029B05E5"/>
    <w:rsid w:val="029F53A6"/>
    <w:rsid w:val="02B349AE"/>
    <w:rsid w:val="02B96468"/>
    <w:rsid w:val="02C32E43"/>
    <w:rsid w:val="02C95F7F"/>
    <w:rsid w:val="02FEBE30"/>
    <w:rsid w:val="030963D1"/>
    <w:rsid w:val="03230C0F"/>
    <w:rsid w:val="032B6C3A"/>
    <w:rsid w:val="036D521A"/>
    <w:rsid w:val="036F8141"/>
    <w:rsid w:val="03764359"/>
    <w:rsid w:val="039842CF"/>
    <w:rsid w:val="03F92894"/>
    <w:rsid w:val="03FF434E"/>
    <w:rsid w:val="040A3E17"/>
    <w:rsid w:val="045126D0"/>
    <w:rsid w:val="04931E48"/>
    <w:rsid w:val="049B26C3"/>
    <w:rsid w:val="04DE21B6"/>
    <w:rsid w:val="04E43544"/>
    <w:rsid w:val="04EE6171"/>
    <w:rsid w:val="04F419D9"/>
    <w:rsid w:val="050339A6"/>
    <w:rsid w:val="050A64B5"/>
    <w:rsid w:val="053C1881"/>
    <w:rsid w:val="054364BD"/>
    <w:rsid w:val="055C132D"/>
    <w:rsid w:val="057228FE"/>
    <w:rsid w:val="05C23B25"/>
    <w:rsid w:val="05F31C91"/>
    <w:rsid w:val="0616772D"/>
    <w:rsid w:val="0639341C"/>
    <w:rsid w:val="06456265"/>
    <w:rsid w:val="066E0107"/>
    <w:rsid w:val="06782196"/>
    <w:rsid w:val="068C5E33"/>
    <w:rsid w:val="06C278B5"/>
    <w:rsid w:val="06CD7927"/>
    <w:rsid w:val="06DD024B"/>
    <w:rsid w:val="06E93094"/>
    <w:rsid w:val="075F7A5B"/>
    <w:rsid w:val="076A5F83"/>
    <w:rsid w:val="07701168"/>
    <w:rsid w:val="07750DC9"/>
    <w:rsid w:val="077664A4"/>
    <w:rsid w:val="07827272"/>
    <w:rsid w:val="07852830"/>
    <w:rsid w:val="07996F6E"/>
    <w:rsid w:val="07BC6E81"/>
    <w:rsid w:val="07DFD8BA"/>
    <w:rsid w:val="07F67816"/>
    <w:rsid w:val="080F1ABD"/>
    <w:rsid w:val="087E6EBB"/>
    <w:rsid w:val="08846FB4"/>
    <w:rsid w:val="08EC157D"/>
    <w:rsid w:val="09085B18"/>
    <w:rsid w:val="09CC7AF0"/>
    <w:rsid w:val="09CF3319"/>
    <w:rsid w:val="09DB4F16"/>
    <w:rsid w:val="09F75AC8"/>
    <w:rsid w:val="09F854DE"/>
    <w:rsid w:val="0A03366B"/>
    <w:rsid w:val="0A037FC9"/>
    <w:rsid w:val="0A1C108A"/>
    <w:rsid w:val="0A1E778C"/>
    <w:rsid w:val="0A2032A3"/>
    <w:rsid w:val="0A2E773B"/>
    <w:rsid w:val="0A4A3E4A"/>
    <w:rsid w:val="0A4E7E88"/>
    <w:rsid w:val="0A60366D"/>
    <w:rsid w:val="0ABB1630"/>
    <w:rsid w:val="0ACE4B98"/>
    <w:rsid w:val="0AF73FD1"/>
    <w:rsid w:val="0B1C3A38"/>
    <w:rsid w:val="0B98468D"/>
    <w:rsid w:val="0BCD6AE0"/>
    <w:rsid w:val="0C25546E"/>
    <w:rsid w:val="0C696A4D"/>
    <w:rsid w:val="0C8547E8"/>
    <w:rsid w:val="0C935725"/>
    <w:rsid w:val="0CAC092E"/>
    <w:rsid w:val="0CC04897"/>
    <w:rsid w:val="0CD65E68"/>
    <w:rsid w:val="0CE75980"/>
    <w:rsid w:val="0CEB6AEF"/>
    <w:rsid w:val="0CF34DD5"/>
    <w:rsid w:val="0CFF0F1B"/>
    <w:rsid w:val="0D2766C4"/>
    <w:rsid w:val="0D336E17"/>
    <w:rsid w:val="0D35B1ED"/>
    <w:rsid w:val="0D531267"/>
    <w:rsid w:val="0D5374B9"/>
    <w:rsid w:val="0D5A43A4"/>
    <w:rsid w:val="0D9C49BC"/>
    <w:rsid w:val="0DC67C8B"/>
    <w:rsid w:val="0DD26630"/>
    <w:rsid w:val="0DD46F20"/>
    <w:rsid w:val="0E364E11"/>
    <w:rsid w:val="0E403CDA"/>
    <w:rsid w:val="0E7ED1F5"/>
    <w:rsid w:val="0EC046DA"/>
    <w:rsid w:val="0EFF6F64"/>
    <w:rsid w:val="0F042DBA"/>
    <w:rsid w:val="0F256C33"/>
    <w:rsid w:val="0F480AD4"/>
    <w:rsid w:val="0F632C2C"/>
    <w:rsid w:val="0F6A1BB8"/>
    <w:rsid w:val="0F906E16"/>
    <w:rsid w:val="0F957915"/>
    <w:rsid w:val="0F98263C"/>
    <w:rsid w:val="0FA902F5"/>
    <w:rsid w:val="100B7BD7"/>
    <w:rsid w:val="100D1BA1"/>
    <w:rsid w:val="101860EC"/>
    <w:rsid w:val="1063566F"/>
    <w:rsid w:val="10765998"/>
    <w:rsid w:val="108645C9"/>
    <w:rsid w:val="10B44CBE"/>
    <w:rsid w:val="10B82311"/>
    <w:rsid w:val="10C055FF"/>
    <w:rsid w:val="10EE35D6"/>
    <w:rsid w:val="10F25B81"/>
    <w:rsid w:val="10F44B0F"/>
    <w:rsid w:val="110F5ED9"/>
    <w:rsid w:val="11194576"/>
    <w:rsid w:val="11537A88"/>
    <w:rsid w:val="116B3023"/>
    <w:rsid w:val="116E6670"/>
    <w:rsid w:val="117C0FF8"/>
    <w:rsid w:val="118107EC"/>
    <w:rsid w:val="11EE262F"/>
    <w:rsid w:val="123A0C48"/>
    <w:rsid w:val="12483364"/>
    <w:rsid w:val="125218E6"/>
    <w:rsid w:val="12647A72"/>
    <w:rsid w:val="126D2DCB"/>
    <w:rsid w:val="12902616"/>
    <w:rsid w:val="12957C2C"/>
    <w:rsid w:val="1296464B"/>
    <w:rsid w:val="12AB6A2C"/>
    <w:rsid w:val="12C50511"/>
    <w:rsid w:val="12E82452"/>
    <w:rsid w:val="130354DD"/>
    <w:rsid w:val="1340403C"/>
    <w:rsid w:val="13685340"/>
    <w:rsid w:val="13767A5D"/>
    <w:rsid w:val="13B30CB1"/>
    <w:rsid w:val="13CC7C6B"/>
    <w:rsid w:val="13D34EB0"/>
    <w:rsid w:val="13D50BC4"/>
    <w:rsid w:val="13E56236"/>
    <w:rsid w:val="13EA1C34"/>
    <w:rsid w:val="13F5616D"/>
    <w:rsid w:val="13F866C4"/>
    <w:rsid w:val="13FD7B0D"/>
    <w:rsid w:val="143516C6"/>
    <w:rsid w:val="14551D69"/>
    <w:rsid w:val="14681327"/>
    <w:rsid w:val="14735710"/>
    <w:rsid w:val="147C10A3"/>
    <w:rsid w:val="14847F58"/>
    <w:rsid w:val="14C30A80"/>
    <w:rsid w:val="14E05AD6"/>
    <w:rsid w:val="14EA775D"/>
    <w:rsid w:val="150A4901"/>
    <w:rsid w:val="15347BD0"/>
    <w:rsid w:val="154F0261"/>
    <w:rsid w:val="15532BD1"/>
    <w:rsid w:val="15AF2E15"/>
    <w:rsid w:val="15B2751F"/>
    <w:rsid w:val="15D46CBD"/>
    <w:rsid w:val="15D55C6E"/>
    <w:rsid w:val="15D66ED9"/>
    <w:rsid w:val="16200C19"/>
    <w:rsid w:val="16A3500D"/>
    <w:rsid w:val="16BB723D"/>
    <w:rsid w:val="176919D6"/>
    <w:rsid w:val="176C53FF"/>
    <w:rsid w:val="17742A69"/>
    <w:rsid w:val="1791130A"/>
    <w:rsid w:val="179B68D4"/>
    <w:rsid w:val="17BD2AFB"/>
    <w:rsid w:val="17F9714D"/>
    <w:rsid w:val="1803088A"/>
    <w:rsid w:val="18205602"/>
    <w:rsid w:val="184B1806"/>
    <w:rsid w:val="18521D6E"/>
    <w:rsid w:val="18664544"/>
    <w:rsid w:val="189B2264"/>
    <w:rsid w:val="189F1804"/>
    <w:rsid w:val="18D019BE"/>
    <w:rsid w:val="18FF22A3"/>
    <w:rsid w:val="1918F934"/>
    <w:rsid w:val="193455D9"/>
    <w:rsid w:val="19352312"/>
    <w:rsid w:val="193803E2"/>
    <w:rsid w:val="19500998"/>
    <w:rsid w:val="195645B9"/>
    <w:rsid w:val="19742C91"/>
    <w:rsid w:val="197B5DCD"/>
    <w:rsid w:val="19810F0A"/>
    <w:rsid w:val="19853EB3"/>
    <w:rsid w:val="19871BE1"/>
    <w:rsid w:val="19B968F6"/>
    <w:rsid w:val="19F142E2"/>
    <w:rsid w:val="1A1B310D"/>
    <w:rsid w:val="1A2C356C"/>
    <w:rsid w:val="1A3955F2"/>
    <w:rsid w:val="1A5B5BFF"/>
    <w:rsid w:val="1A881844"/>
    <w:rsid w:val="1A8A4333"/>
    <w:rsid w:val="1AB042F5"/>
    <w:rsid w:val="1AB65DDE"/>
    <w:rsid w:val="1AE535CC"/>
    <w:rsid w:val="1AF54CC5"/>
    <w:rsid w:val="1B0E4A1F"/>
    <w:rsid w:val="1B195AAA"/>
    <w:rsid w:val="1B2D0C25"/>
    <w:rsid w:val="1B43291B"/>
    <w:rsid w:val="1BA23AE5"/>
    <w:rsid w:val="1BB06CCC"/>
    <w:rsid w:val="1BE8440E"/>
    <w:rsid w:val="1C0C0F5F"/>
    <w:rsid w:val="1C1C46B8"/>
    <w:rsid w:val="1C3C10E3"/>
    <w:rsid w:val="1C422BD3"/>
    <w:rsid w:val="1C6B7454"/>
    <w:rsid w:val="1C8A6328"/>
    <w:rsid w:val="1D0C44B0"/>
    <w:rsid w:val="1D135919"/>
    <w:rsid w:val="1D155CEE"/>
    <w:rsid w:val="1D547061"/>
    <w:rsid w:val="1D5E3A3C"/>
    <w:rsid w:val="1DAB47A7"/>
    <w:rsid w:val="1DEA1774"/>
    <w:rsid w:val="1DFBC4B3"/>
    <w:rsid w:val="1E222CBB"/>
    <w:rsid w:val="1E2F7187"/>
    <w:rsid w:val="1E3A2545"/>
    <w:rsid w:val="1E4C5F8A"/>
    <w:rsid w:val="1E561C6C"/>
    <w:rsid w:val="1E6E1383"/>
    <w:rsid w:val="1E6F5B56"/>
    <w:rsid w:val="1E740ACF"/>
    <w:rsid w:val="1EA007AF"/>
    <w:rsid w:val="1EBF7DE3"/>
    <w:rsid w:val="1EE12AAD"/>
    <w:rsid w:val="1F19C781"/>
    <w:rsid w:val="1F1A7324"/>
    <w:rsid w:val="1F33FCE5"/>
    <w:rsid w:val="1F525822"/>
    <w:rsid w:val="1F6F7FE8"/>
    <w:rsid w:val="1F7F5EEC"/>
    <w:rsid w:val="1F7F7398"/>
    <w:rsid w:val="1FA15E62"/>
    <w:rsid w:val="1FC259D5"/>
    <w:rsid w:val="1FD2DB6F"/>
    <w:rsid w:val="1FF200FE"/>
    <w:rsid w:val="1FF35744"/>
    <w:rsid w:val="1FF6BC77"/>
    <w:rsid w:val="1FF9236D"/>
    <w:rsid w:val="20020D51"/>
    <w:rsid w:val="201E3957"/>
    <w:rsid w:val="2021710B"/>
    <w:rsid w:val="206A6B9C"/>
    <w:rsid w:val="207812B9"/>
    <w:rsid w:val="209815AA"/>
    <w:rsid w:val="209B4FA7"/>
    <w:rsid w:val="20F76EBC"/>
    <w:rsid w:val="21082FD2"/>
    <w:rsid w:val="212E1977"/>
    <w:rsid w:val="21611D4D"/>
    <w:rsid w:val="21695D75"/>
    <w:rsid w:val="21810161"/>
    <w:rsid w:val="219403B4"/>
    <w:rsid w:val="21CD3F57"/>
    <w:rsid w:val="223B434C"/>
    <w:rsid w:val="224F429B"/>
    <w:rsid w:val="225C60C1"/>
    <w:rsid w:val="226A5F11"/>
    <w:rsid w:val="227274C6"/>
    <w:rsid w:val="227B299A"/>
    <w:rsid w:val="2292790A"/>
    <w:rsid w:val="22DB5B2F"/>
    <w:rsid w:val="23042AD1"/>
    <w:rsid w:val="23052BAC"/>
    <w:rsid w:val="2333840E"/>
    <w:rsid w:val="23411E36"/>
    <w:rsid w:val="23860B96"/>
    <w:rsid w:val="238C6622"/>
    <w:rsid w:val="23CB5BA3"/>
    <w:rsid w:val="23CD0024"/>
    <w:rsid w:val="23D94B65"/>
    <w:rsid w:val="240371BF"/>
    <w:rsid w:val="24041DC1"/>
    <w:rsid w:val="24056F84"/>
    <w:rsid w:val="240D3AC6"/>
    <w:rsid w:val="242E3ACF"/>
    <w:rsid w:val="24517557"/>
    <w:rsid w:val="24572E1D"/>
    <w:rsid w:val="24D9609E"/>
    <w:rsid w:val="24E231A5"/>
    <w:rsid w:val="24E30305"/>
    <w:rsid w:val="24F133E8"/>
    <w:rsid w:val="250F26A4"/>
    <w:rsid w:val="251D5997"/>
    <w:rsid w:val="255676EF"/>
    <w:rsid w:val="255B2F57"/>
    <w:rsid w:val="25661DC7"/>
    <w:rsid w:val="256E67E6"/>
    <w:rsid w:val="25746BE8"/>
    <w:rsid w:val="257C638F"/>
    <w:rsid w:val="258C1362"/>
    <w:rsid w:val="25AC5366"/>
    <w:rsid w:val="25BF5294"/>
    <w:rsid w:val="25FA62CC"/>
    <w:rsid w:val="2647157C"/>
    <w:rsid w:val="266D15D9"/>
    <w:rsid w:val="26B66697"/>
    <w:rsid w:val="26BC17D3"/>
    <w:rsid w:val="27022698"/>
    <w:rsid w:val="27050DA1"/>
    <w:rsid w:val="27093C7A"/>
    <w:rsid w:val="272E26D1"/>
    <w:rsid w:val="2771431A"/>
    <w:rsid w:val="277A7AB2"/>
    <w:rsid w:val="27D8263D"/>
    <w:rsid w:val="280B488C"/>
    <w:rsid w:val="282D0BDB"/>
    <w:rsid w:val="28335AC5"/>
    <w:rsid w:val="2875164B"/>
    <w:rsid w:val="287F5223"/>
    <w:rsid w:val="289522DC"/>
    <w:rsid w:val="28B135BA"/>
    <w:rsid w:val="28D126FD"/>
    <w:rsid w:val="28DD7743"/>
    <w:rsid w:val="28E6691A"/>
    <w:rsid w:val="28E84B02"/>
    <w:rsid w:val="28ED036A"/>
    <w:rsid w:val="291800E1"/>
    <w:rsid w:val="29233D8C"/>
    <w:rsid w:val="29676040"/>
    <w:rsid w:val="296F5AFE"/>
    <w:rsid w:val="29804D3A"/>
    <w:rsid w:val="29BF6E37"/>
    <w:rsid w:val="29F23E8A"/>
    <w:rsid w:val="29FD04D3"/>
    <w:rsid w:val="2A2E1C1A"/>
    <w:rsid w:val="2A4B5348"/>
    <w:rsid w:val="2A50295E"/>
    <w:rsid w:val="2A5C4DCB"/>
    <w:rsid w:val="2A6D3510"/>
    <w:rsid w:val="2A704DAF"/>
    <w:rsid w:val="2A81520E"/>
    <w:rsid w:val="2A8645D2"/>
    <w:rsid w:val="2A9B6221"/>
    <w:rsid w:val="2AC15B7C"/>
    <w:rsid w:val="2ACF41CB"/>
    <w:rsid w:val="2AF91248"/>
    <w:rsid w:val="2B395AE8"/>
    <w:rsid w:val="2B412B78"/>
    <w:rsid w:val="2B9F687E"/>
    <w:rsid w:val="2BAD11C0"/>
    <w:rsid w:val="2BB46F1D"/>
    <w:rsid w:val="2BE617CC"/>
    <w:rsid w:val="2BEF7BC2"/>
    <w:rsid w:val="2BFF7BC6"/>
    <w:rsid w:val="2C133908"/>
    <w:rsid w:val="2C31056E"/>
    <w:rsid w:val="2C3A5674"/>
    <w:rsid w:val="2C4E7372"/>
    <w:rsid w:val="2C8A4B94"/>
    <w:rsid w:val="2C8A61B5"/>
    <w:rsid w:val="2C954FA0"/>
    <w:rsid w:val="2C98683F"/>
    <w:rsid w:val="2CB74F17"/>
    <w:rsid w:val="2CD59C95"/>
    <w:rsid w:val="2CDC497D"/>
    <w:rsid w:val="2CFD31AF"/>
    <w:rsid w:val="2D592BF0"/>
    <w:rsid w:val="2DB11743"/>
    <w:rsid w:val="2DC83C90"/>
    <w:rsid w:val="2DDD6BFF"/>
    <w:rsid w:val="2DDF4725"/>
    <w:rsid w:val="2DF04E50"/>
    <w:rsid w:val="2E187C37"/>
    <w:rsid w:val="2E305D59"/>
    <w:rsid w:val="2E3305CD"/>
    <w:rsid w:val="2E592BDF"/>
    <w:rsid w:val="2EF75A9F"/>
    <w:rsid w:val="2EFD05E5"/>
    <w:rsid w:val="2F040D46"/>
    <w:rsid w:val="2F4F95CE"/>
    <w:rsid w:val="2F6B5A3A"/>
    <w:rsid w:val="2FACAFDD"/>
    <w:rsid w:val="2FAE5751"/>
    <w:rsid w:val="2FAF6379"/>
    <w:rsid w:val="2FB1A395"/>
    <w:rsid w:val="2FC00586"/>
    <w:rsid w:val="2FC71C76"/>
    <w:rsid w:val="2FCF0B76"/>
    <w:rsid w:val="2FD25A98"/>
    <w:rsid w:val="2FD9A7D8"/>
    <w:rsid w:val="305331A8"/>
    <w:rsid w:val="306727B0"/>
    <w:rsid w:val="311961A0"/>
    <w:rsid w:val="31276D09"/>
    <w:rsid w:val="312B1250"/>
    <w:rsid w:val="31360F61"/>
    <w:rsid w:val="313A125C"/>
    <w:rsid w:val="313A1C72"/>
    <w:rsid w:val="314A25B5"/>
    <w:rsid w:val="314F3DCD"/>
    <w:rsid w:val="31523460"/>
    <w:rsid w:val="3163566D"/>
    <w:rsid w:val="316E67C5"/>
    <w:rsid w:val="31865A40"/>
    <w:rsid w:val="318718D0"/>
    <w:rsid w:val="319F7F4E"/>
    <w:rsid w:val="31BA0D5D"/>
    <w:rsid w:val="31E63BA8"/>
    <w:rsid w:val="320329AC"/>
    <w:rsid w:val="320504D2"/>
    <w:rsid w:val="3234700A"/>
    <w:rsid w:val="32715B68"/>
    <w:rsid w:val="32843AED"/>
    <w:rsid w:val="329C1565"/>
    <w:rsid w:val="32A970B0"/>
    <w:rsid w:val="32B71D17"/>
    <w:rsid w:val="32C24615"/>
    <w:rsid w:val="3304078A"/>
    <w:rsid w:val="3304709D"/>
    <w:rsid w:val="331128DB"/>
    <w:rsid w:val="33BA3B54"/>
    <w:rsid w:val="33DE0FDB"/>
    <w:rsid w:val="33DE1C53"/>
    <w:rsid w:val="33E522B6"/>
    <w:rsid w:val="33EF0EE7"/>
    <w:rsid w:val="340D366E"/>
    <w:rsid w:val="34362BC5"/>
    <w:rsid w:val="345319C9"/>
    <w:rsid w:val="348D06FD"/>
    <w:rsid w:val="34991F21"/>
    <w:rsid w:val="34B4262E"/>
    <w:rsid w:val="351A3343"/>
    <w:rsid w:val="3540014A"/>
    <w:rsid w:val="35487054"/>
    <w:rsid w:val="3555351F"/>
    <w:rsid w:val="35656669"/>
    <w:rsid w:val="35AD5109"/>
    <w:rsid w:val="35AF0E81"/>
    <w:rsid w:val="35B91D00"/>
    <w:rsid w:val="35BE10C4"/>
    <w:rsid w:val="35E57F39"/>
    <w:rsid w:val="35F44AE6"/>
    <w:rsid w:val="35F5409A"/>
    <w:rsid w:val="361909F0"/>
    <w:rsid w:val="36483138"/>
    <w:rsid w:val="365657A0"/>
    <w:rsid w:val="36914A2B"/>
    <w:rsid w:val="36AA5135"/>
    <w:rsid w:val="36BE0DA7"/>
    <w:rsid w:val="37133692"/>
    <w:rsid w:val="37353608"/>
    <w:rsid w:val="37391F42"/>
    <w:rsid w:val="375B2943"/>
    <w:rsid w:val="376B6AA6"/>
    <w:rsid w:val="376D39B2"/>
    <w:rsid w:val="377F1104"/>
    <w:rsid w:val="378C6F28"/>
    <w:rsid w:val="37910776"/>
    <w:rsid w:val="37955E55"/>
    <w:rsid w:val="37C052E7"/>
    <w:rsid w:val="37E1109A"/>
    <w:rsid w:val="37E16F03"/>
    <w:rsid w:val="37F53A3B"/>
    <w:rsid w:val="381256F7"/>
    <w:rsid w:val="38206066"/>
    <w:rsid w:val="382C3196"/>
    <w:rsid w:val="383F191B"/>
    <w:rsid w:val="38414BB0"/>
    <w:rsid w:val="38646BE1"/>
    <w:rsid w:val="38673C95"/>
    <w:rsid w:val="38726196"/>
    <w:rsid w:val="38A50F90"/>
    <w:rsid w:val="38D469F0"/>
    <w:rsid w:val="38E5105E"/>
    <w:rsid w:val="38F78389"/>
    <w:rsid w:val="38FE0304"/>
    <w:rsid w:val="390D133D"/>
    <w:rsid w:val="397BAF1F"/>
    <w:rsid w:val="397F0B6A"/>
    <w:rsid w:val="398268AC"/>
    <w:rsid w:val="39C617D8"/>
    <w:rsid w:val="39E7B272"/>
    <w:rsid w:val="39F2758E"/>
    <w:rsid w:val="39F310A6"/>
    <w:rsid w:val="39F50E2C"/>
    <w:rsid w:val="39F620C1"/>
    <w:rsid w:val="39F7642F"/>
    <w:rsid w:val="39FF7B37"/>
    <w:rsid w:val="3A00614F"/>
    <w:rsid w:val="3A0379ED"/>
    <w:rsid w:val="3A3739CF"/>
    <w:rsid w:val="3AAB46ED"/>
    <w:rsid w:val="3AB79AF3"/>
    <w:rsid w:val="3AFDCB77"/>
    <w:rsid w:val="3AFF07E3"/>
    <w:rsid w:val="3B095AAC"/>
    <w:rsid w:val="3B3A743F"/>
    <w:rsid w:val="3B520FAA"/>
    <w:rsid w:val="3B7EF35A"/>
    <w:rsid w:val="3B911029"/>
    <w:rsid w:val="3B9FDB6C"/>
    <w:rsid w:val="3BB30F9F"/>
    <w:rsid w:val="3BBF16F2"/>
    <w:rsid w:val="3BF5BC2F"/>
    <w:rsid w:val="3BF7C23A"/>
    <w:rsid w:val="3BFF223E"/>
    <w:rsid w:val="3C1729E6"/>
    <w:rsid w:val="3C1852A6"/>
    <w:rsid w:val="3C241E9D"/>
    <w:rsid w:val="3C6EC0A1"/>
    <w:rsid w:val="3CA37266"/>
    <w:rsid w:val="3CC01BC6"/>
    <w:rsid w:val="3CDB0824"/>
    <w:rsid w:val="3CEA09F1"/>
    <w:rsid w:val="3CEBA265"/>
    <w:rsid w:val="3CFE449C"/>
    <w:rsid w:val="3D05712F"/>
    <w:rsid w:val="3D4C3A06"/>
    <w:rsid w:val="3D6407A3"/>
    <w:rsid w:val="3D6A7F9F"/>
    <w:rsid w:val="3D7E7F4D"/>
    <w:rsid w:val="3D98207C"/>
    <w:rsid w:val="3D9CF30A"/>
    <w:rsid w:val="3DA54918"/>
    <w:rsid w:val="3DFF5A3E"/>
    <w:rsid w:val="3E1F6A20"/>
    <w:rsid w:val="3E3C1F3A"/>
    <w:rsid w:val="3E577856"/>
    <w:rsid w:val="3E78745D"/>
    <w:rsid w:val="3E866D53"/>
    <w:rsid w:val="3E9B4698"/>
    <w:rsid w:val="3EA10078"/>
    <w:rsid w:val="3EAA0C92"/>
    <w:rsid w:val="3EAE30F0"/>
    <w:rsid w:val="3ECA348B"/>
    <w:rsid w:val="3EEE77E9"/>
    <w:rsid w:val="3F0264C5"/>
    <w:rsid w:val="3F0407D9"/>
    <w:rsid w:val="3F1A1142"/>
    <w:rsid w:val="3F1C50AD"/>
    <w:rsid w:val="3F394AF5"/>
    <w:rsid w:val="3F4940F4"/>
    <w:rsid w:val="3F6251B6"/>
    <w:rsid w:val="3F6F51DD"/>
    <w:rsid w:val="3FA01181"/>
    <w:rsid w:val="3FA550A3"/>
    <w:rsid w:val="3FAA4467"/>
    <w:rsid w:val="3FBE5714"/>
    <w:rsid w:val="3FBF9653"/>
    <w:rsid w:val="3FD81BE8"/>
    <w:rsid w:val="3FDD8615"/>
    <w:rsid w:val="3FDFB2FF"/>
    <w:rsid w:val="3FF4CAE0"/>
    <w:rsid w:val="3FF75FAF"/>
    <w:rsid w:val="3FF7B227"/>
    <w:rsid w:val="40096C2B"/>
    <w:rsid w:val="40267F92"/>
    <w:rsid w:val="40C61775"/>
    <w:rsid w:val="40E77468"/>
    <w:rsid w:val="40FC06ED"/>
    <w:rsid w:val="41076015"/>
    <w:rsid w:val="411419E3"/>
    <w:rsid w:val="411A3B22"/>
    <w:rsid w:val="41377F7D"/>
    <w:rsid w:val="416845DA"/>
    <w:rsid w:val="41782A6F"/>
    <w:rsid w:val="41847666"/>
    <w:rsid w:val="418A1141"/>
    <w:rsid w:val="41F00D72"/>
    <w:rsid w:val="42186000"/>
    <w:rsid w:val="42301F23"/>
    <w:rsid w:val="42780E8A"/>
    <w:rsid w:val="428F49D7"/>
    <w:rsid w:val="42D53EF1"/>
    <w:rsid w:val="42D96239"/>
    <w:rsid w:val="42EE49BD"/>
    <w:rsid w:val="431E7646"/>
    <w:rsid w:val="433429C6"/>
    <w:rsid w:val="43670FED"/>
    <w:rsid w:val="438374A9"/>
    <w:rsid w:val="438A3E6A"/>
    <w:rsid w:val="43972F54"/>
    <w:rsid w:val="43A22025"/>
    <w:rsid w:val="43DA71C2"/>
    <w:rsid w:val="43DF5027"/>
    <w:rsid w:val="43FB7987"/>
    <w:rsid w:val="442C5D93"/>
    <w:rsid w:val="4435440B"/>
    <w:rsid w:val="44473A29"/>
    <w:rsid w:val="444A1CB3"/>
    <w:rsid w:val="448E07FB"/>
    <w:rsid w:val="44B4057D"/>
    <w:rsid w:val="44E268DA"/>
    <w:rsid w:val="45085EB8"/>
    <w:rsid w:val="453C298C"/>
    <w:rsid w:val="455301B6"/>
    <w:rsid w:val="4572614E"/>
    <w:rsid w:val="457D642B"/>
    <w:rsid w:val="457F4F6B"/>
    <w:rsid w:val="4593336B"/>
    <w:rsid w:val="459C04E5"/>
    <w:rsid w:val="45A73923"/>
    <w:rsid w:val="45BE6EBE"/>
    <w:rsid w:val="45C83899"/>
    <w:rsid w:val="45ED3300"/>
    <w:rsid w:val="46207231"/>
    <w:rsid w:val="462975F3"/>
    <w:rsid w:val="46B4467B"/>
    <w:rsid w:val="46C655B1"/>
    <w:rsid w:val="46F42025"/>
    <w:rsid w:val="47290367"/>
    <w:rsid w:val="4737FB58"/>
    <w:rsid w:val="476E629E"/>
    <w:rsid w:val="477D5002"/>
    <w:rsid w:val="47932530"/>
    <w:rsid w:val="47A82BF3"/>
    <w:rsid w:val="47ECCB02"/>
    <w:rsid w:val="47FA6A3F"/>
    <w:rsid w:val="482020BC"/>
    <w:rsid w:val="482860FF"/>
    <w:rsid w:val="482917B2"/>
    <w:rsid w:val="486C0E54"/>
    <w:rsid w:val="487E46E3"/>
    <w:rsid w:val="48961A2D"/>
    <w:rsid w:val="490948F4"/>
    <w:rsid w:val="490E1C25"/>
    <w:rsid w:val="490E3CB9"/>
    <w:rsid w:val="49311039"/>
    <w:rsid w:val="49351245"/>
    <w:rsid w:val="494676AE"/>
    <w:rsid w:val="49721356"/>
    <w:rsid w:val="498867F3"/>
    <w:rsid w:val="49920446"/>
    <w:rsid w:val="49D7AE48"/>
    <w:rsid w:val="49E335D2"/>
    <w:rsid w:val="4A0A26D2"/>
    <w:rsid w:val="4A0D590F"/>
    <w:rsid w:val="4A143551"/>
    <w:rsid w:val="4A1470AD"/>
    <w:rsid w:val="4A3D04B7"/>
    <w:rsid w:val="4A3F6C7E"/>
    <w:rsid w:val="4A5061C2"/>
    <w:rsid w:val="4A510301"/>
    <w:rsid w:val="4A5635EC"/>
    <w:rsid w:val="4A627F82"/>
    <w:rsid w:val="4A880D35"/>
    <w:rsid w:val="4A917775"/>
    <w:rsid w:val="4B013B12"/>
    <w:rsid w:val="4B047121"/>
    <w:rsid w:val="4B0E749A"/>
    <w:rsid w:val="4B1D475A"/>
    <w:rsid w:val="4B4F25DA"/>
    <w:rsid w:val="4B8B339F"/>
    <w:rsid w:val="4B944949"/>
    <w:rsid w:val="4BA206E8"/>
    <w:rsid w:val="4BBB4781"/>
    <w:rsid w:val="4BBF74EC"/>
    <w:rsid w:val="4BD709A5"/>
    <w:rsid w:val="4BDD9BFF"/>
    <w:rsid w:val="4BE068DB"/>
    <w:rsid w:val="4C06511B"/>
    <w:rsid w:val="4C0A4C0B"/>
    <w:rsid w:val="4C0D2006"/>
    <w:rsid w:val="4C0E2EA2"/>
    <w:rsid w:val="4C147838"/>
    <w:rsid w:val="4C19613B"/>
    <w:rsid w:val="4C6E13DF"/>
    <w:rsid w:val="4C7B08B6"/>
    <w:rsid w:val="4CC748AA"/>
    <w:rsid w:val="4CD174D7"/>
    <w:rsid w:val="4D006DCC"/>
    <w:rsid w:val="4D1F6494"/>
    <w:rsid w:val="4D2C73DC"/>
    <w:rsid w:val="4D4D1254"/>
    <w:rsid w:val="4D545C65"/>
    <w:rsid w:val="4D577224"/>
    <w:rsid w:val="4D714816"/>
    <w:rsid w:val="4D7E0DAB"/>
    <w:rsid w:val="4DBF1CEB"/>
    <w:rsid w:val="4DBF6A6B"/>
    <w:rsid w:val="4DF6A672"/>
    <w:rsid w:val="4E2B70BB"/>
    <w:rsid w:val="4E335704"/>
    <w:rsid w:val="4E4D7031"/>
    <w:rsid w:val="4E577EB0"/>
    <w:rsid w:val="4E5E2FEC"/>
    <w:rsid w:val="4E686874"/>
    <w:rsid w:val="4E86609F"/>
    <w:rsid w:val="4EA03605"/>
    <w:rsid w:val="4EAB630A"/>
    <w:rsid w:val="4ECA0682"/>
    <w:rsid w:val="4ECC7F56"/>
    <w:rsid w:val="4ECE2238"/>
    <w:rsid w:val="4ED212E5"/>
    <w:rsid w:val="4F06173F"/>
    <w:rsid w:val="4F3D4E57"/>
    <w:rsid w:val="4F4619EF"/>
    <w:rsid w:val="4F4A3571"/>
    <w:rsid w:val="4F622668"/>
    <w:rsid w:val="4F7C7BCE"/>
    <w:rsid w:val="4F7EA413"/>
    <w:rsid w:val="4F9111A0"/>
    <w:rsid w:val="4FAB812F"/>
    <w:rsid w:val="4FD61243"/>
    <w:rsid w:val="4FE9BD67"/>
    <w:rsid w:val="4FEB6B02"/>
    <w:rsid w:val="4FEE4C07"/>
    <w:rsid w:val="4FEF05C0"/>
    <w:rsid w:val="4FFB052F"/>
    <w:rsid w:val="50175B49"/>
    <w:rsid w:val="503E6C32"/>
    <w:rsid w:val="50813118"/>
    <w:rsid w:val="50997F70"/>
    <w:rsid w:val="50B43398"/>
    <w:rsid w:val="50BE4216"/>
    <w:rsid w:val="50C11611"/>
    <w:rsid w:val="50FF2A3C"/>
    <w:rsid w:val="51086A32"/>
    <w:rsid w:val="513E2C61"/>
    <w:rsid w:val="515F729D"/>
    <w:rsid w:val="51B7313F"/>
    <w:rsid w:val="51C63383"/>
    <w:rsid w:val="51C94C21"/>
    <w:rsid w:val="51E732F9"/>
    <w:rsid w:val="51E7619B"/>
    <w:rsid w:val="5221002A"/>
    <w:rsid w:val="52350508"/>
    <w:rsid w:val="5273731D"/>
    <w:rsid w:val="527602F2"/>
    <w:rsid w:val="52884ADC"/>
    <w:rsid w:val="528A0854"/>
    <w:rsid w:val="52C12376"/>
    <w:rsid w:val="52CD0741"/>
    <w:rsid w:val="52F43F1F"/>
    <w:rsid w:val="532F6FE7"/>
    <w:rsid w:val="53672943"/>
    <w:rsid w:val="537E6D0A"/>
    <w:rsid w:val="53AB6B88"/>
    <w:rsid w:val="53F74C96"/>
    <w:rsid w:val="53FF6F2D"/>
    <w:rsid w:val="5422686A"/>
    <w:rsid w:val="544669FD"/>
    <w:rsid w:val="545D78A2"/>
    <w:rsid w:val="549E05E7"/>
    <w:rsid w:val="54A53154"/>
    <w:rsid w:val="54B24092"/>
    <w:rsid w:val="54CB1720"/>
    <w:rsid w:val="54D67D81"/>
    <w:rsid w:val="55020B76"/>
    <w:rsid w:val="55214D74"/>
    <w:rsid w:val="552A00CC"/>
    <w:rsid w:val="552E0A2A"/>
    <w:rsid w:val="55404C55"/>
    <w:rsid w:val="5583522D"/>
    <w:rsid w:val="55951812"/>
    <w:rsid w:val="55AE2AAB"/>
    <w:rsid w:val="55CA71B9"/>
    <w:rsid w:val="55D122F6"/>
    <w:rsid w:val="55E57E8B"/>
    <w:rsid w:val="55E65601"/>
    <w:rsid w:val="56024BA5"/>
    <w:rsid w:val="56051FA0"/>
    <w:rsid w:val="561548D9"/>
    <w:rsid w:val="562B51ED"/>
    <w:rsid w:val="56814DC6"/>
    <w:rsid w:val="568874DC"/>
    <w:rsid w:val="56A31EE4"/>
    <w:rsid w:val="56B75990"/>
    <w:rsid w:val="573C5E95"/>
    <w:rsid w:val="578F4217"/>
    <w:rsid w:val="57A13449"/>
    <w:rsid w:val="57AC6B77"/>
    <w:rsid w:val="57BD3DD4"/>
    <w:rsid w:val="57DF7A1D"/>
    <w:rsid w:val="57EA769F"/>
    <w:rsid w:val="57F9CD1E"/>
    <w:rsid w:val="584414A5"/>
    <w:rsid w:val="58535244"/>
    <w:rsid w:val="586E6522"/>
    <w:rsid w:val="58737634"/>
    <w:rsid w:val="58767185"/>
    <w:rsid w:val="58896E8A"/>
    <w:rsid w:val="58960D51"/>
    <w:rsid w:val="58A61A68"/>
    <w:rsid w:val="58C148A4"/>
    <w:rsid w:val="58DA3BB7"/>
    <w:rsid w:val="58EA204C"/>
    <w:rsid w:val="58EA2F45"/>
    <w:rsid w:val="58F307D5"/>
    <w:rsid w:val="591D01AE"/>
    <w:rsid w:val="593C3F2A"/>
    <w:rsid w:val="59722042"/>
    <w:rsid w:val="59751723"/>
    <w:rsid w:val="59771406"/>
    <w:rsid w:val="59CF036B"/>
    <w:rsid w:val="59F64A21"/>
    <w:rsid w:val="59FD190B"/>
    <w:rsid w:val="5A4F5EDF"/>
    <w:rsid w:val="5A673229"/>
    <w:rsid w:val="5A81078E"/>
    <w:rsid w:val="5AB126F6"/>
    <w:rsid w:val="5AF84792"/>
    <w:rsid w:val="5AF92295"/>
    <w:rsid w:val="5AF9D8E9"/>
    <w:rsid w:val="5AFC7FBA"/>
    <w:rsid w:val="5B002CC6"/>
    <w:rsid w:val="5B215ACE"/>
    <w:rsid w:val="5B33135D"/>
    <w:rsid w:val="5B737EC3"/>
    <w:rsid w:val="5B841BB9"/>
    <w:rsid w:val="5B8502CC"/>
    <w:rsid w:val="5BA312A3"/>
    <w:rsid w:val="5BA83AF9"/>
    <w:rsid w:val="5BA904C1"/>
    <w:rsid w:val="5BBF6411"/>
    <w:rsid w:val="5BD90156"/>
    <w:rsid w:val="5BDD38BD"/>
    <w:rsid w:val="5BDD79E6"/>
    <w:rsid w:val="5BEFC772"/>
    <w:rsid w:val="5BFF5DFC"/>
    <w:rsid w:val="5C3563A6"/>
    <w:rsid w:val="5C4A37B9"/>
    <w:rsid w:val="5C4C0928"/>
    <w:rsid w:val="5C857FD9"/>
    <w:rsid w:val="5CAE15E3"/>
    <w:rsid w:val="5CD71FC4"/>
    <w:rsid w:val="5D1F11B5"/>
    <w:rsid w:val="5D3647F9"/>
    <w:rsid w:val="5D3B3AB4"/>
    <w:rsid w:val="5DA644D4"/>
    <w:rsid w:val="5DAE1B18"/>
    <w:rsid w:val="5DCA20DB"/>
    <w:rsid w:val="5DCA41FA"/>
    <w:rsid w:val="5DDE3802"/>
    <w:rsid w:val="5DE7D9E5"/>
    <w:rsid w:val="5E007C1C"/>
    <w:rsid w:val="5E0A45F7"/>
    <w:rsid w:val="5E48511F"/>
    <w:rsid w:val="5E55122B"/>
    <w:rsid w:val="5E6463FD"/>
    <w:rsid w:val="5E785D0C"/>
    <w:rsid w:val="5E79352B"/>
    <w:rsid w:val="5EB77666"/>
    <w:rsid w:val="5EC724E8"/>
    <w:rsid w:val="5ECEC941"/>
    <w:rsid w:val="5EFF8FC6"/>
    <w:rsid w:val="5F0934E8"/>
    <w:rsid w:val="5F294F51"/>
    <w:rsid w:val="5F3F29C6"/>
    <w:rsid w:val="5F5BA39A"/>
    <w:rsid w:val="5F673DAC"/>
    <w:rsid w:val="5F6917F1"/>
    <w:rsid w:val="5F7D3B79"/>
    <w:rsid w:val="5F7F4610"/>
    <w:rsid w:val="5F830B05"/>
    <w:rsid w:val="5F8A40E9"/>
    <w:rsid w:val="5F941697"/>
    <w:rsid w:val="5FBF9FF3"/>
    <w:rsid w:val="5FC4123E"/>
    <w:rsid w:val="5FCD4E2C"/>
    <w:rsid w:val="5FE70BD8"/>
    <w:rsid w:val="5FEF394A"/>
    <w:rsid w:val="5FEF5B1A"/>
    <w:rsid w:val="5FF67715"/>
    <w:rsid w:val="600056E2"/>
    <w:rsid w:val="6008100A"/>
    <w:rsid w:val="60714E01"/>
    <w:rsid w:val="609309F4"/>
    <w:rsid w:val="60B151FE"/>
    <w:rsid w:val="60B87932"/>
    <w:rsid w:val="60C70EC5"/>
    <w:rsid w:val="60DD5056"/>
    <w:rsid w:val="616E35A5"/>
    <w:rsid w:val="618F3AA1"/>
    <w:rsid w:val="61B4729D"/>
    <w:rsid w:val="61B76844"/>
    <w:rsid w:val="61CA71D5"/>
    <w:rsid w:val="61CD390C"/>
    <w:rsid w:val="61E909C7"/>
    <w:rsid w:val="62084BB7"/>
    <w:rsid w:val="62212762"/>
    <w:rsid w:val="623600B0"/>
    <w:rsid w:val="6263077A"/>
    <w:rsid w:val="626D784A"/>
    <w:rsid w:val="627EE9EA"/>
    <w:rsid w:val="62874F78"/>
    <w:rsid w:val="62A31220"/>
    <w:rsid w:val="62EC4C13"/>
    <w:rsid w:val="62F37D50"/>
    <w:rsid w:val="630E2DDB"/>
    <w:rsid w:val="63163A3E"/>
    <w:rsid w:val="634520A2"/>
    <w:rsid w:val="634C7460"/>
    <w:rsid w:val="63654862"/>
    <w:rsid w:val="637F3391"/>
    <w:rsid w:val="639E415F"/>
    <w:rsid w:val="63B23AA5"/>
    <w:rsid w:val="63C67212"/>
    <w:rsid w:val="63EE7149"/>
    <w:rsid w:val="63F95605"/>
    <w:rsid w:val="6421269A"/>
    <w:rsid w:val="643423CE"/>
    <w:rsid w:val="644E2574"/>
    <w:rsid w:val="647D2E66"/>
    <w:rsid w:val="647F5392"/>
    <w:rsid w:val="64A137DB"/>
    <w:rsid w:val="64C33752"/>
    <w:rsid w:val="64E322C4"/>
    <w:rsid w:val="64F93617"/>
    <w:rsid w:val="65556AA0"/>
    <w:rsid w:val="65586590"/>
    <w:rsid w:val="655D7702"/>
    <w:rsid w:val="65644F35"/>
    <w:rsid w:val="65A63EDC"/>
    <w:rsid w:val="65C74E59"/>
    <w:rsid w:val="65CB0B10"/>
    <w:rsid w:val="65FB93B9"/>
    <w:rsid w:val="660758C0"/>
    <w:rsid w:val="66081D64"/>
    <w:rsid w:val="66153EF0"/>
    <w:rsid w:val="66154481"/>
    <w:rsid w:val="662A6B3A"/>
    <w:rsid w:val="6633C463"/>
    <w:rsid w:val="663C7C5F"/>
    <w:rsid w:val="66411321"/>
    <w:rsid w:val="66507267"/>
    <w:rsid w:val="66763171"/>
    <w:rsid w:val="667C3B6B"/>
    <w:rsid w:val="669E3068"/>
    <w:rsid w:val="66A9586C"/>
    <w:rsid w:val="66C20165"/>
    <w:rsid w:val="66CB4B3F"/>
    <w:rsid w:val="66D87988"/>
    <w:rsid w:val="66FAF064"/>
    <w:rsid w:val="67047645"/>
    <w:rsid w:val="671B1623"/>
    <w:rsid w:val="67256946"/>
    <w:rsid w:val="672F3320"/>
    <w:rsid w:val="673B1CC5"/>
    <w:rsid w:val="674D0433"/>
    <w:rsid w:val="67D55B77"/>
    <w:rsid w:val="67EE7F84"/>
    <w:rsid w:val="683954A2"/>
    <w:rsid w:val="683C7AA3"/>
    <w:rsid w:val="685E3EBD"/>
    <w:rsid w:val="686F5F53"/>
    <w:rsid w:val="68AF64C7"/>
    <w:rsid w:val="68B27D65"/>
    <w:rsid w:val="68C14ED1"/>
    <w:rsid w:val="68D65B8C"/>
    <w:rsid w:val="690D7A3A"/>
    <w:rsid w:val="6914022D"/>
    <w:rsid w:val="69584DB0"/>
    <w:rsid w:val="696E0130"/>
    <w:rsid w:val="696F3CB8"/>
    <w:rsid w:val="697F03B4"/>
    <w:rsid w:val="69A30B33"/>
    <w:rsid w:val="6A1A2066"/>
    <w:rsid w:val="6A8219B9"/>
    <w:rsid w:val="6AA14535"/>
    <w:rsid w:val="6AA95198"/>
    <w:rsid w:val="6AAD4680"/>
    <w:rsid w:val="6ADB7A47"/>
    <w:rsid w:val="6AEA1A38"/>
    <w:rsid w:val="6AFC22A7"/>
    <w:rsid w:val="6AFE3735"/>
    <w:rsid w:val="6AFFCEAF"/>
    <w:rsid w:val="6B21130D"/>
    <w:rsid w:val="6B361121"/>
    <w:rsid w:val="6B44313C"/>
    <w:rsid w:val="6B6317EA"/>
    <w:rsid w:val="6B96E9E6"/>
    <w:rsid w:val="6BC82F49"/>
    <w:rsid w:val="6BCE57B5"/>
    <w:rsid w:val="6BFEA4DB"/>
    <w:rsid w:val="6BFFB662"/>
    <w:rsid w:val="6C066D46"/>
    <w:rsid w:val="6C0A7EB8"/>
    <w:rsid w:val="6C446D5C"/>
    <w:rsid w:val="6C4A05C8"/>
    <w:rsid w:val="6C5F01A4"/>
    <w:rsid w:val="6C831302"/>
    <w:rsid w:val="6C88775B"/>
    <w:rsid w:val="6C895281"/>
    <w:rsid w:val="6C9960AB"/>
    <w:rsid w:val="6CAD5413"/>
    <w:rsid w:val="6CB24CF1"/>
    <w:rsid w:val="6CC907B5"/>
    <w:rsid w:val="6CD01102"/>
    <w:rsid w:val="6CEE3336"/>
    <w:rsid w:val="6CFF4FB8"/>
    <w:rsid w:val="6D365409"/>
    <w:rsid w:val="6D6BD6E0"/>
    <w:rsid w:val="6D77E73C"/>
    <w:rsid w:val="6D7D4DE5"/>
    <w:rsid w:val="6D9209E8"/>
    <w:rsid w:val="6DBF5E93"/>
    <w:rsid w:val="6DC42A14"/>
    <w:rsid w:val="6DCA0B2C"/>
    <w:rsid w:val="6DD469CF"/>
    <w:rsid w:val="6DE76703"/>
    <w:rsid w:val="6DFF077E"/>
    <w:rsid w:val="6E217E67"/>
    <w:rsid w:val="6E22598D"/>
    <w:rsid w:val="6E352BE2"/>
    <w:rsid w:val="6E4A6CB3"/>
    <w:rsid w:val="6E56450C"/>
    <w:rsid w:val="6E7206C2"/>
    <w:rsid w:val="6E770E8B"/>
    <w:rsid w:val="6E7E3605"/>
    <w:rsid w:val="6E7FDCC7"/>
    <w:rsid w:val="6E971ED7"/>
    <w:rsid w:val="6E9A5523"/>
    <w:rsid w:val="6EA349D4"/>
    <w:rsid w:val="6EBC7B8F"/>
    <w:rsid w:val="6EBC7BBF"/>
    <w:rsid w:val="6ED24CBD"/>
    <w:rsid w:val="6ED6A62E"/>
    <w:rsid w:val="6ED749C9"/>
    <w:rsid w:val="6EDA396D"/>
    <w:rsid w:val="6EE00B15"/>
    <w:rsid w:val="6EE737B2"/>
    <w:rsid w:val="6EEB2329"/>
    <w:rsid w:val="6EECE67A"/>
    <w:rsid w:val="6F04481E"/>
    <w:rsid w:val="6F082DD5"/>
    <w:rsid w:val="6F0C5929"/>
    <w:rsid w:val="6F1632A2"/>
    <w:rsid w:val="6F4139A6"/>
    <w:rsid w:val="6F481423"/>
    <w:rsid w:val="6F6F90A8"/>
    <w:rsid w:val="6F6FB3EB"/>
    <w:rsid w:val="6F7C48D1"/>
    <w:rsid w:val="6F7F51B2"/>
    <w:rsid w:val="6F8731EA"/>
    <w:rsid w:val="6F915A10"/>
    <w:rsid w:val="6FBC2ADD"/>
    <w:rsid w:val="6FD57C00"/>
    <w:rsid w:val="6FEFFFD8"/>
    <w:rsid w:val="6FF5CC65"/>
    <w:rsid w:val="6FFB47EC"/>
    <w:rsid w:val="6FFF034A"/>
    <w:rsid w:val="70026B43"/>
    <w:rsid w:val="702A76CD"/>
    <w:rsid w:val="70497201"/>
    <w:rsid w:val="7053007F"/>
    <w:rsid w:val="706C2EEF"/>
    <w:rsid w:val="707714A5"/>
    <w:rsid w:val="707F2EB1"/>
    <w:rsid w:val="70820965"/>
    <w:rsid w:val="70832927"/>
    <w:rsid w:val="70967F6C"/>
    <w:rsid w:val="70AB7EBB"/>
    <w:rsid w:val="70B14DA6"/>
    <w:rsid w:val="70B948B3"/>
    <w:rsid w:val="70BB4A7D"/>
    <w:rsid w:val="70C955ED"/>
    <w:rsid w:val="70DB3A08"/>
    <w:rsid w:val="70DD7023"/>
    <w:rsid w:val="70E935AF"/>
    <w:rsid w:val="711772FF"/>
    <w:rsid w:val="712A28F1"/>
    <w:rsid w:val="712B7944"/>
    <w:rsid w:val="71407072"/>
    <w:rsid w:val="714472B1"/>
    <w:rsid w:val="714D0F73"/>
    <w:rsid w:val="715B620A"/>
    <w:rsid w:val="715C0E4B"/>
    <w:rsid w:val="715F7D32"/>
    <w:rsid w:val="716B764B"/>
    <w:rsid w:val="71774818"/>
    <w:rsid w:val="71855BD8"/>
    <w:rsid w:val="718C1A9B"/>
    <w:rsid w:val="71924BD7"/>
    <w:rsid w:val="71AD7C63"/>
    <w:rsid w:val="71FFD401"/>
    <w:rsid w:val="72233669"/>
    <w:rsid w:val="722717C4"/>
    <w:rsid w:val="72391A19"/>
    <w:rsid w:val="72411EE6"/>
    <w:rsid w:val="72592872"/>
    <w:rsid w:val="72734D90"/>
    <w:rsid w:val="72744794"/>
    <w:rsid w:val="727D3192"/>
    <w:rsid w:val="72AB1E18"/>
    <w:rsid w:val="72B37FC3"/>
    <w:rsid w:val="72BF6C9F"/>
    <w:rsid w:val="72C26CB9"/>
    <w:rsid w:val="72DD00D4"/>
    <w:rsid w:val="72DE7E33"/>
    <w:rsid w:val="72E64027"/>
    <w:rsid w:val="73062A5F"/>
    <w:rsid w:val="731F693F"/>
    <w:rsid w:val="732D7940"/>
    <w:rsid w:val="7332FE48"/>
    <w:rsid w:val="73530396"/>
    <w:rsid w:val="739F538A"/>
    <w:rsid w:val="73A83DB0"/>
    <w:rsid w:val="73A842AC"/>
    <w:rsid w:val="73AD73D5"/>
    <w:rsid w:val="73AF421E"/>
    <w:rsid w:val="73B6EB34"/>
    <w:rsid w:val="73E32F46"/>
    <w:rsid w:val="73E7745D"/>
    <w:rsid w:val="73F05FFB"/>
    <w:rsid w:val="73FA497D"/>
    <w:rsid w:val="744731E5"/>
    <w:rsid w:val="74493C73"/>
    <w:rsid w:val="745B743F"/>
    <w:rsid w:val="745C7D6C"/>
    <w:rsid w:val="74730CF0"/>
    <w:rsid w:val="748610A2"/>
    <w:rsid w:val="74A013B9"/>
    <w:rsid w:val="74BBD01D"/>
    <w:rsid w:val="74ED5379"/>
    <w:rsid w:val="750C4DA2"/>
    <w:rsid w:val="75232716"/>
    <w:rsid w:val="7553467E"/>
    <w:rsid w:val="755D53DF"/>
    <w:rsid w:val="75693EA1"/>
    <w:rsid w:val="75842A89"/>
    <w:rsid w:val="75C842CE"/>
    <w:rsid w:val="75DEEEC2"/>
    <w:rsid w:val="761A519B"/>
    <w:rsid w:val="767619AA"/>
    <w:rsid w:val="767F479D"/>
    <w:rsid w:val="76B6418B"/>
    <w:rsid w:val="76B91DFD"/>
    <w:rsid w:val="76C3673C"/>
    <w:rsid w:val="76C43A85"/>
    <w:rsid w:val="76D96E05"/>
    <w:rsid w:val="76E3355F"/>
    <w:rsid w:val="76F742AF"/>
    <w:rsid w:val="76F7BE7D"/>
    <w:rsid w:val="76FD1A79"/>
    <w:rsid w:val="76FF5125"/>
    <w:rsid w:val="771A1486"/>
    <w:rsid w:val="771C566F"/>
    <w:rsid w:val="773570D3"/>
    <w:rsid w:val="77597F31"/>
    <w:rsid w:val="776F6FFA"/>
    <w:rsid w:val="7777A522"/>
    <w:rsid w:val="77858688"/>
    <w:rsid w:val="778769C8"/>
    <w:rsid w:val="779733A7"/>
    <w:rsid w:val="77CB741A"/>
    <w:rsid w:val="77D7BE3A"/>
    <w:rsid w:val="77DC22F5"/>
    <w:rsid w:val="77FD07A3"/>
    <w:rsid w:val="78126393"/>
    <w:rsid w:val="78136137"/>
    <w:rsid w:val="78212811"/>
    <w:rsid w:val="783C4B22"/>
    <w:rsid w:val="78591FAB"/>
    <w:rsid w:val="78697F67"/>
    <w:rsid w:val="78870226"/>
    <w:rsid w:val="78BA7843"/>
    <w:rsid w:val="78D37D30"/>
    <w:rsid w:val="78EE6B97"/>
    <w:rsid w:val="79153478"/>
    <w:rsid w:val="791B1956"/>
    <w:rsid w:val="792268B6"/>
    <w:rsid w:val="792720A9"/>
    <w:rsid w:val="79442C5B"/>
    <w:rsid w:val="79780B57"/>
    <w:rsid w:val="797E3A6C"/>
    <w:rsid w:val="79B345B2"/>
    <w:rsid w:val="79C1161A"/>
    <w:rsid w:val="79C32A3F"/>
    <w:rsid w:val="79C76953"/>
    <w:rsid w:val="79CF70E2"/>
    <w:rsid w:val="79D7FD79"/>
    <w:rsid w:val="79DC2D46"/>
    <w:rsid w:val="79E41D48"/>
    <w:rsid w:val="79E75806"/>
    <w:rsid w:val="79EE5BA4"/>
    <w:rsid w:val="79FF3026"/>
    <w:rsid w:val="7A4B6AC4"/>
    <w:rsid w:val="7A53759E"/>
    <w:rsid w:val="7A641148"/>
    <w:rsid w:val="7A6F8BF5"/>
    <w:rsid w:val="7A717320"/>
    <w:rsid w:val="7A8550AF"/>
    <w:rsid w:val="7A894339"/>
    <w:rsid w:val="7ACF82B5"/>
    <w:rsid w:val="7AED225C"/>
    <w:rsid w:val="7AFF28C9"/>
    <w:rsid w:val="7AFF72A0"/>
    <w:rsid w:val="7AFF7572"/>
    <w:rsid w:val="7B30793B"/>
    <w:rsid w:val="7B3A2568"/>
    <w:rsid w:val="7B6C7DFB"/>
    <w:rsid w:val="7B7517F2"/>
    <w:rsid w:val="7B7D76A7"/>
    <w:rsid w:val="7B971768"/>
    <w:rsid w:val="7B985D74"/>
    <w:rsid w:val="7BAE2FE2"/>
    <w:rsid w:val="7BAF61E8"/>
    <w:rsid w:val="7BAF6951"/>
    <w:rsid w:val="7BBFBED0"/>
    <w:rsid w:val="7BC3E394"/>
    <w:rsid w:val="7BC736D0"/>
    <w:rsid w:val="7BC938EC"/>
    <w:rsid w:val="7BF3FE4C"/>
    <w:rsid w:val="7BFB5035"/>
    <w:rsid w:val="7BFDE17E"/>
    <w:rsid w:val="7C084414"/>
    <w:rsid w:val="7C265313"/>
    <w:rsid w:val="7C30396B"/>
    <w:rsid w:val="7CBFC87B"/>
    <w:rsid w:val="7CD070DF"/>
    <w:rsid w:val="7CD95DB0"/>
    <w:rsid w:val="7CF9339D"/>
    <w:rsid w:val="7CFE0F48"/>
    <w:rsid w:val="7D1F7C67"/>
    <w:rsid w:val="7D242473"/>
    <w:rsid w:val="7D3DE31C"/>
    <w:rsid w:val="7D425621"/>
    <w:rsid w:val="7D4A62A9"/>
    <w:rsid w:val="7D6C3B3C"/>
    <w:rsid w:val="7D6E28DE"/>
    <w:rsid w:val="7D7EC23E"/>
    <w:rsid w:val="7D7F8A13"/>
    <w:rsid w:val="7D857DE9"/>
    <w:rsid w:val="7D9F2B56"/>
    <w:rsid w:val="7DBBCB01"/>
    <w:rsid w:val="7DC765D0"/>
    <w:rsid w:val="7DC83A02"/>
    <w:rsid w:val="7DCB394B"/>
    <w:rsid w:val="7DD86068"/>
    <w:rsid w:val="7DDB0EE0"/>
    <w:rsid w:val="7DFF51D8"/>
    <w:rsid w:val="7E634199"/>
    <w:rsid w:val="7E7A711F"/>
    <w:rsid w:val="7E7BAB07"/>
    <w:rsid w:val="7E8835EA"/>
    <w:rsid w:val="7E8ADEBF"/>
    <w:rsid w:val="7ECA1BA1"/>
    <w:rsid w:val="7EDB5E10"/>
    <w:rsid w:val="7EEF11D3"/>
    <w:rsid w:val="7EEF18BB"/>
    <w:rsid w:val="7EF78C20"/>
    <w:rsid w:val="7F0C5FC9"/>
    <w:rsid w:val="7F3F679B"/>
    <w:rsid w:val="7F4FC4EF"/>
    <w:rsid w:val="7F5E4D54"/>
    <w:rsid w:val="7F6B75FA"/>
    <w:rsid w:val="7F914720"/>
    <w:rsid w:val="7F9F09F6"/>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37189"/>
    <w:rsid w:val="7FF5890D"/>
    <w:rsid w:val="7FF5EB09"/>
    <w:rsid w:val="7FF89B92"/>
    <w:rsid w:val="7FF8F2E7"/>
    <w:rsid w:val="7FF93490"/>
    <w:rsid w:val="7FFA6237"/>
    <w:rsid w:val="7FFB5275"/>
    <w:rsid w:val="7FFD14DE"/>
    <w:rsid w:val="7FFFF783"/>
    <w:rsid w:val="93F70A9E"/>
    <w:rsid w:val="968F9183"/>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E002C"/>
    <w:rsid w:val="DFFFA9E8"/>
    <w:rsid w:val="E37D5D3F"/>
    <w:rsid w:val="E3FFE98D"/>
    <w:rsid w:val="E5F4E9DC"/>
    <w:rsid w:val="E67FF583"/>
    <w:rsid w:val="E70FE695"/>
    <w:rsid w:val="E7676621"/>
    <w:rsid w:val="E76B2B9A"/>
    <w:rsid w:val="E7AB7A34"/>
    <w:rsid w:val="E7DF1E20"/>
    <w:rsid w:val="E7FF6381"/>
    <w:rsid w:val="E9A30291"/>
    <w:rsid w:val="EBBF924C"/>
    <w:rsid w:val="EBF2B84E"/>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7A5EA"/>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99" w:semiHidden="0"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Normal Indent"/>
    <w:basedOn w:val="1"/>
    <w:qFormat/>
    <w:uiPriority w:val="0"/>
    <w:pPr>
      <w:ind w:firstLine="680"/>
    </w:pPr>
    <w:rPr>
      <w:rFonts w:eastAsia="宋体"/>
      <w:szCs w:val="24"/>
    </w:rPr>
  </w:style>
  <w:style w:type="paragraph" w:styleId="9">
    <w:name w:val="index 6"/>
    <w:basedOn w:val="1"/>
    <w:next w:val="1"/>
    <w:qFormat/>
    <w:uiPriority w:val="99"/>
    <w:pPr>
      <w:ind w:left="2100"/>
    </w:pPr>
    <w:rPr>
      <w:rFonts w:eastAsia="黑体"/>
    </w:rPr>
  </w:style>
  <w:style w:type="paragraph" w:styleId="10">
    <w:name w:val="Body Text"/>
    <w:basedOn w:val="1"/>
    <w:next w:val="1"/>
    <w:link w:val="29"/>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qFormat/>
    <w:uiPriority w:val="99"/>
    <w:rPr>
      <w:rFonts w:ascii="宋体" w:hAnsi="Courier New"/>
      <w:szCs w:val="21"/>
    </w:rPr>
  </w:style>
  <w:style w:type="paragraph" w:styleId="13">
    <w:name w:val="Balloon Text"/>
    <w:basedOn w:val="1"/>
    <w:link w:val="35"/>
    <w:semiHidden/>
    <w:unhideWhenUsed/>
    <w:qFormat/>
    <w:uiPriority w:val="99"/>
    <w:rPr>
      <w:sz w:val="18"/>
      <w:szCs w:val="18"/>
    </w:rPr>
  </w:style>
  <w:style w:type="paragraph" w:styleId="14">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spacing w:beforeAutospacing="1" w:afterAutospacing="1"/>
      <w:jc w:val="left"/>
    </w:pPr>
    <w:rPr>
      <w:kern w:val="0"/>
      <w:sz w:val="24"/>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5"/>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4"/>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10"/>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5"/>
    <w:qFormat/>
    <w:uiPriority w:val="9"/>
    <w:rPr>
      <w:rFonts w:ascii="Times New Roman" w:hAnsi="Times New Roman"/>
      <w:b/>
      <w:bCs/>
      <w:kern w:val="44"/>
      <w:sz w:val="44"/>
      <w:szCs w:val="44"/>
    </w:rPr>
  </w:style>
  <w:style w:type="character" w:customStyle="1" w:styleId="33">
    <w:name w:val="标题 2 Char"/>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3"/>
    <w:semiHidden/>
    <w:qFormat/>
    <w:uiPriority w:val="99"/>
    <w:rPr>
      <w:rFonts w:ascii="Times New Roman" w:hAnsi="Times New Roman"/>
      <w:kern w:val="2"/>
      <w:sz w:val="18"/>
      <w:szCs w:val="18"/>
    </w:rPr>
  </w:style>
  <w:style w:type="character" w:customStyle="1" w:styleId="36">
    <w:name w:val="标题 3 Char"/>
    <w:basedOn w:val="20"/>
    <w:link w:val="7"/>
    <w:qFormat/>
    <w:uiPriority w:val="9"/>
    <w:rPr>
      <w:rFonts w:ascii="Times New Roman" w:hAnsi="Times New Roman"/>
      <w:b/>
      <w:bCs/>
      <w:kern w:val="2"/>
      <w:sz w:val="32"/>
      <w:szCs w:val="32"/>
    </w:rPr>
  </w:style>
  <w:style w:type="paragraph" w:customStyle="1" w:styleId="37">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color w:val="000000"/>
      <w:kern w:val="0"/>
      <w:sz w:val="28"/>
      <w:szCs w:val="21"/>
      <w:lang w:val="zh-CN"/>
    </w:rPr>
  </w:style>
  <w:style w:type="paragraph" w:customStyle="1" w:styleId="39">
    <w:name w:val="正文2"/>
    <w:basedOn w:val="1"/>
    <w:next w:val="1"/>
    <w:qFormat/>
    <w:uiPriority w:val="0"/>
    <w:rPr>
      <w:rFonts w:ascii="仿宋_GB2312" w:eastAsia="仿宋_GB2312"/>
      <w:sz w:val="32"/>
      <w:szCs w:val="20"/>
    </w:rPr>
  </w:style>
  <w:style w:type="character" w:customStyle="1" w:styleId="40">
    <w:name w:val="Subtle Emphasis"/>
    <w:qFormat/>
    <w:uiPriority w:val="19"/>
    <w:rPr>
      <w:i/>
      <w:iCs/>
      <w:color w:val="808080"/>
    </w:rPr>
  </w:style>
  <w:style w:type="paragraph" w:customStyle="1" w:styleId="41">
    <w:name w:val="常用样式（方正仿宋简）"/>
    <w:basedOn w:val="1"/>
    <w:next w:val="9"/>
    <w:qFormat/>
    <w:uiPriority w:val="99"/>
    <w:pPr>
      <w:spacing w:line="560" w:lineRule="exact"/>
      <w:ind w:firstLine="200" w:firstLineChars="200"/>
    </w:pPr>
    <w:rPr>
      <w:rFonts w:eastAsia="方正仿宋简体"/>
      <w:sz w:val="32"/>
    </w:rPr>
  </w:style>
  <w:style w:type="paragraph" w:customStyle="1" w:styleId="4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1</a:t>
            </a:r>
            <a:r>
              <a:t>：收入、支出决算总计变动情况（单位：万元）</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收入决算总计</c:v>
                </c:pt>
                <c:pt idx="1">
                  <c:v>支出决算总计</c:v>
                </c:pt>
              </c:strCache>
            </c:strRef>
          </c:cat>
          <c:val>
            <c:numRef>
              <c:f>Sheet1!$B$2:$B$3</c:f>
              <c:numCache>
                <c:formatCode>General</c:formatCode>
                <c:ptCount val="2"/>
                <c:pt idx="0">
                  <c:v>934.86</c:v>
                </c:pt>
                <c:pt idx="1">
                  <c:v>934.86</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收入决算总计</c:v>
                </c:pt>
                <c:pt idx="1">
                  <c:v>支出决算总计</c:v>
                </c:pt>
              </c:strCache>
            </c:strRef>
          </c:cat>
          <c:val>
            <c:numRef>
              <c:f>Sheet1!$C$2:$C$3</c:f>
              <c:numCache>
                <c:formatCode>General</c:formatCode>
                <c:ptCount val="2"/>
                <c:pt idx="0">
                  <c:v>1388.66</c:v>
                </c:pt>
                <c:pt idx="1">
                  <c:v>1368.66</c:v>
                </c:pt>
              </c:numCache>
            </c:numRef>
          </c:val>
        </c:ser>
        <c:dLbls>
          <c:showLegendKey val="0"/>
          <c:showVal val="0"/>
          <c:showCatName val="0"/>
          <c:showSerName val="0"/>
          <c:showPercent val="0"/>
          <c:showBubbleSize val="0"/>
        </c:dLbls>
        <c:gapWidth val="219"/>
        <c:overlap val="-27"/>
        <c:axId val="809874696"/>
        <c:axId val="872358098"/>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收入决算总计</c:v>
                      </c:pt>
                      <c:pt idx="1">
                        <c:v>支出决算总计</c:v>
                      </c:pt>
                    </c:strCache>
                  </c:strRef>
                </c:cat>
              </c15:ser>
            </c15:filteredBarSeries>
          </c:ext>
        </c:extLst>
      </c:barChart>
      <c:catAx>
        <c:axId val="8098746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2358098"/>
        <c:crosses val="autoZero"/>
        <c:auto val="1"/>
        <c:lblAlgn val="ctr"/>
        <c:lblOffset val="100"/>
        <c:noMultiLvlLbl val="0"/>
      </c:catAx>
      <c:valAx>
        <c:axId val="87235809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98746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7c1835f-7310-4f1e-bb77-e166c7752ec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2</a:t>
            </a:r>
            <a:r>
              <a:rPr altLang="en-US"/>
              <a:t>：</a:t>
            </a:r>
            <a:r>
              <a:t>各项收入占总收入的比重</a:t>
            </a:r>
            <a:r>
              <a:rPr lang="en-US" altLang="zh-CN"/>
              <a:t> </a:t>
            </a:r>
            <a:r>
              <a:rPr altLang="en-US"/>
              <a:t>（</a:t>
            </a:r>
            <a:r>
              <a:rPr lang="en-US" altLang="zh-CN"/>
              <a:t>  </a:t>
            </a:r>
            <a:r>
              <a:t>单位：万元）</a:t>
            </a:r>
            <a:endParaRPr lang="en-US" altLang="zh-CN"/>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6"/>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1">
                  <a:lumMod val="75000"/>
                </a:schemeClr>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1368.66</c:v>
                </c:pt>
                <c:pt idx="7">
                  <c:v>20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1b00949-c715-4b74-a0ba-105b6bb744f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3</a:t>
            </a:r>
            <a:r>
              <a:t>：支出决算结构图（单位：万元）</a:t>
            </a:r>
          </a:p>
        </c:rich>
      </c:tx>
      <c:layout>
        <c:manualLayout>
          <c:xMode val="edge"/>
          <c:yMode val="edge"/>
          <c:x val="0.19062323943662"/>
          <c:y val="0.047740030480061"/>
        </c:manualLayout>
      </c:layout>
      <c:overlay val="0"/>
      <c:spPr>
        <a:noFill/>
        <a:ln>
          <a:noFill/>
        </a:ln>
        <a:effectLst/>
      </c:spPr>
    </c:title>
    <c:autoTitleDeleted val="0"/>
    <c:plotArea>
      <c:layout/>
      <c:pieChart>
        <c:varyColors val="1"/>
        <c:ser>
          <c:idx val="0"/>
          <c:order val="0"/>
          <c:tx>
            <c:strRef>
              <c:f>Sheet1!$B$1</c:f>
              <c:strCache>
                <c:ptCount val="1"/>
                <c:pt idx="0">
                  <c:v>列2</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452.87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0.0920094198706345"/>
                  <c:y val="-0.00036932724914262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915.79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452.87</c:v>
                </c:pt>
                <c:pt idx="1">
                  <c:v>915.79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21d49e6-a458-4ee3-aa70-1232f98f83c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4</a:t>
            </a:r>
            <a:r>
              <a:t>：财政拨款收、支决算总计变动情况</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manualLayout>
          <c:xMode val="edge"/>
          <c:yMode val="edge"/>
          <c:x val="0.122479290655228"/>
          <c:y val="0.0248168281730087"/>
        </c:manualLayout>
      </c:layout>
      <c:overlay val="0"/>
      <c:spPr>
        <a:noFill/>
        <a:ln>
          <a:noFill/>
        </a:ln>
        <a:effectLst/>
      </c:spPr>
    </c:title>
    <c:autoTitleDeleted val="0"/>
    <c:plotArea>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Sheet1!$A$1:$A$2</c:f>
              <c:strCache>
                <c:ptCount val="2"/>
                <c:pt idx="0">
                  <c:v>2024年</c:v>
                </c:pt>
                <c:pt idx="1">
                  <c:v>2025年</c:v>
                </c:pt>
              </c:strCache>
            </c:strRef>
          </c:cat>
          <c:val>
            <c:numRef>
              <c:f>Sheet1!$B$1:$B$2</c:f>
              <c:numCache>
                <c:formatCode>General</c:formatCode>
                <c:ptCount val="2"/>
                <c:pt idx="0">
                  <c:v>934.86</c:v>
                </c:pt>
                <c:pt idx="1">
                  <c:v>1368.66</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Sheet1!$A$1:$A$2</c:f>
              <c:strCache>
                <c:ptCount val="2"/>
                <c:pt idx="0">
                  <c:v>2024年</c:v>
                </c:pt>
                <c:pt idx="1">
                  <c:v>2025年</c:v>
                </c:pt>
              </c:strCache>
            </c:strRef>
          </c:cat>
          <c:val>
            <c:numRef>
              <c:f>Sheet1!$C$1:$C$2</c:f>
              <c:numCache>
                <c:formatCode>General</c:formatCode>
                <c:ptCount val="2"/>
              </c:numCache>
            </c:numRef>
          </c:val>
        </c:ser>
        <c:dLbls>
          <c:showLegendKey val="0"/>
          <c:showVal val="0"/>
          <c:showCatName val="0"/>
          <c:showSerName val="0"/>
          <c:showPercent val="0"/>
          <c:showBubbleSize val="0"/>
        </c:dLbls>
        <c:gapWidth val="219"/>
        <c:overlap val="-27"/>
        <c:axId val="36403487"/>
        <c:axId val="17459576"/>
      </c:barChart>
      <c:catAx>
        <c:axId val="364034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59576"/>
        <c:crosses val="autoZero"/>
        <c:auto val="1"/>
        <c:lblAlgn val="ctr"/>
        <c:lblOffset val="100"/>
        <c:noMultiLvlLbl val="0"/>
      </c:catAx>
      <c:valAx>
        <c:axId val="17459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03487"/>
        <c:crosses val="autoZero"/>
        <c:crossBetween val="between"/>
      </c:valAx>
      <c:spPr>
        <a:noFill/>
        <a:ln>
          <a:noFill/>
        </a:ln>
        <a:effectLst/>
      </c:spPr>
    </c:plotArea>
    <c:plotVisOnly val="1"/>
    <c:dispBlanksAs val="gap"/>
    <c:showDLblsOverMax val="0"/>
    <c:extLst>
      <c:ext uri="{0b15fc19-7d7d-44ad-8c2d-2c3a37ce22c3}">
        <chartProps xmlns="https://web.wps.cn/et/2018/main" chartId="{5cb09b32-3805-4ef5-9fae-2afc5dfd51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5</a:t>
            </a:r>
            <a:r>
              <a:t>：一般公共预算财政拨款支出决算变动情况（单位：万元）</a:t>
            </a:r>
          </a:p>
        </c:rich>
      </c:tx>
      <c:layout>
        <c:manualLayout>
          <c:xMode val="edge"/>
          <c:yMode val="edge"/>
          <c:x val="0.152835226385978"/>
          <c:y val="0.0100569896077774"/>
        </c:manualLayout>
      </c:layout>
      <c:overlay val="0"/>
      <c:spPr>
        <a:noFill/>
        <a:ln>
          <a:noFill/>
        </a:ln>
        <a:effectLst/>
      </c:spPr>
    </c:title>
    <c:autoTitleDeleted val="0"/>
    <c:plotArea>
      <c:layout>
        <c:manualLayout>
          <c:layoutTarget val="inner"/>
          <c:xMode val="edge"/>
          <c:yMode val="edge"/>
          <c:x val="0.097098141506358"/>
          <c:y val="0.223151750972763"/>
          <c:w val="0.898011085751549"/>
          <c:h val="0.601050583657588"/>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Sheet1!$A$1:$A$2</c:f>
              <c:strCache>
                <c:ptCount val="2"/>
                <c:pt idx="0">
                  <c:v>2024年</c:v>
                </c:pt>
                <c:pt idx="1">
                  <c:v>2025年</c:v>
                </c:pt>
              </c:strCache>
            </c:strRef>
          </c:cat>
          <c:val>
            <c:numRef>
              <c:f>Sheet1!$B$1:$B$2</c:f>
              <c:numCache>
                <c:formatCode>General</c:formatCode>
                <c:ptCount val="2"/>
                <c:pt idx="0">
                  <c:v>934.86</c:v>
                </c:pt>
                <c:pt idx="1">
                  <c:v>1368.66</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Sheet1!$A$1:$A$2</c:f>
              <c:strCache>
                <c:ptCount val="2"/>
                <c:pt idx="0">
                  <c:v>2024年</c:v>
                </c:pt>
                <c:pt idx="1">
                  <c:v>2025年</c:v>
                </c:pt>
              </c:strCache>
            </c:strRef>
          </c:cat>
          <c:val>
            <c:numRef>
              <c:f>Sheet1!$C$1:$C$2</c:f>
              <c:numCache>
                <c:formatCode>General</c:formatCode>
                <c:ptCount val="2"/>
              </c:numCache>
            </c:numRef>
          </c:val>
        </c:ser>
        <c:dLbls>
          <c:showLegendKey val="0"/>
          <c:showVal val="0"/>
          <c:showCatName val="0"/>
          <c:showSerName val="0"/>
          <c:showPercent val="0"/>
          <c:showBubbleSize val="0"/>
        </c:dLbls>
        <c:gapWidth val="219"/>
        <c:overlap val="-27"/>
        <c:axId val="36403487"/>
        <c:axId val="17459576"/>
      </c:barChart>
      <c:catAx>
        <c:axId val="364034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459576"/>
        <c:crosses val="autoZero"/>
        <c:auto val="1"/>
        <c:lblAlgn val="ctr"/>
        <c:lblOffset val="100"/>
        <c:noMultiLvlLbl val="0"/>
      </c:catAx>
      <c:valAx>
        <c:axId val="17459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403487"/>
        <c:crosses val="autoZero"/>
        <c:crossBetween val="between"/>
      </c:valAx>
      <c:spPr>
        <a:noFill/>
        <a:ln>
          <a:noFill/>
        </a:ln>
        <a:effectLst/>
      </c:spPr>
    </c:plotArea>
    <c:plotVisOnly val="1"/>
    <c:dispBlanksAs val="gap"/>
    <c:showDLblsOverMax val="0"/>
    <c:extLst>
      <c:ext uri="{0b15fc19-7d7d-44ad-8c2d-2c3a37ce22c3}">
        <chartProps xmlns="https://web.wps.cn/et/2018/main" chartId="{74995584-4ce0-4434-98b1-90c253033c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6</a:t>
            </a:r>
            <a:r>
              <a:t>：一般公共预算财政拨款支出决算结构（单位：万元）</a:t>
            </a:r>
          </a:p>
        </c:rich>
      </c:tx>
      <c:layout>
        <c:manualLayout>
          <c:xMode val="edge"/>
          <c:yMode val="edge"/>
          <c:x val="0.137898627341388"/>
          <c:y val="0.00704556129638328"/>
        </c:manualLayout>
      </c:layout>
      <c:overlay val="0"/>
      <c:spPr>
        <a:noFill/>
        <a:ln>
          <a:noFill/>
        </a:ln>
        <a:effectLst/>
      </c:spPr>
    </c:title>
    <c:autoTitleDeleted val="0"/>
    <c:plotArea>
      <c:layout>
        <c:manualLayout>
          <c:layoutTarget val="inner"/>
          <c:xMode val="edge"/>
          <c:yMode val="edge"/>
          <c:x val="0.28059"/>
          <c:y val="0.169453333333333"/>
          <c:w val="0.44132"/>
          <c:h val="0.588426666666667"/>
        </c:manualLayout>
      </c:layout>
      <c:pieChart>
        <c:varyColors val="1"/>
        <c:ser>
          <c:idx val="0"/>
          <c:order val="0"/>
          <c:tx>
            <c:strRef>
              <c:f>Sheet1!$B$1</c:f>
              <c:strCache>
                <c:ptCount val="1"/>
                <c:pt idx="0">
                  <c:v>列1</c:v>
                </c:pt>
              </c:strCache>
            </c:strRef>
          </c:tx>
          <c:spPr/>
          <c:explosion val="0"/>
          <c:dPt>
            <c:idx val="0"/>
            <c:bubble3D val="0"/>
            <c:spPr>
              <a:solidFill>
                <a:schemeClr val="accent6"/>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1">
                  <a:lumMod val="75000"/>
                </a:schemeClr>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001375"/>
                  <c:y val="0"/>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1199.47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93563579277865"/>
                  <c:y val="-0.0051223676721684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130.16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91723675441716"/>
                  <c:y val="-0.010903621652104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18.52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0906375356788899"/>
                  <c:y val="-0.021656234636479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89397129281689"/>
                  <c:y val="-0.012610736827029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20.51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一般公共服务类支出</c:v>
                </c:pt>
                <c:pt idx="1">
                  <c:v>教育支出</c:v>
                </c:pt>
                <c:pt idx="2">
                  <c:v>科学技术类支出</c:v>
                </c:pt>
                <c:pt idx="3">
                  <c:v>社会保障和就业支出</c:v>
                </c:pt>
                <c:pt idx="4">
                  <c:v>卫生与健康支出</c:v>
                </c:pt>
                <c:pt idx="5">
                  <c:v>国土海洋气象等支出</c:v>
                </c:pt>
                <c:pt idx="6">
                  <c:v>住房保障支出</c:v>
                </c:pt>
              </c:strCache>
            </c:strRef>
          </c:cat>
          <c:val>
            <c:numRef>
              <c:f>Sheet1!$B$2:$B$8</c:f>
              <c:numCache>
                <c:formatCode>General</c:formatCode>
                <c:ptCount val="7"/>
                <c:pt idx="2">
                  <c:v>1199.47</c:v>
                </c:pt>
                <c:pt idx="3">
                  <c:v>130.16</c:v>
                </c:pt>
                <c:pt idx="4">
                  <c:v>18.52</c:v>
                </c:pt>
                <c:pt idx="6">
                  <c:v>20.51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019e0b-6d26-4e20-8bb3-27f4cf695ec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a:t>
            </a:r>
            <a:r>
              <a:rPr lang="en-US" altLang="zh-CN"/>
              <a:t>7</a:t>
            </a:r>
            <a:r>
              <a:t>：“三公”经费财政拨款支出结构</a:t>
            </a:r>
          </a:p>
          <a:p>
            <a:pPr defTabSz="914400">
              <a:defRPr lang="zh-CN" sz="1400" b="0" i="0" u="none" strike="noStrike" kern="1200" spc="0" baseline="0">
                <a:solidFill>
                  <a:schemeClr val="tx1">
                    <a:lumMod val="65000"/>
                    <a:lumOff val="35000"/>
                  </a:schemeClr>
                </a:solidFill>
                <a:latin typeface="+mn-lt"/>
                <a:ea typeface="+mn-ea"/>
                <a:cs typeface="+mn-cs"/>
              </a:defRPr>
            </a:pPr>
            <a:r>
              <a:t>（单位：万元）</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00199162480777447"/>
                  <c:y val="-0.0089381878043524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0.16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因公出国（镜）</c:v>
                </c:pt>
                <c:pt idx="1">
                  <c:v>公务用车购置费</c:v>
                </c:pt>
                <c:pt idx="2">
                  <c:v>公务用车运行维护费</c:v>
                </c:pt>
                <c:pt idx="3">
                  <c:v>公务接待费</c:v>
                </c:pt>
              </c:strCache>
            </c:strRef>
          </c:cat>
          <c:val>
            <c:numRef>
              <c:f>Sheet1!$B$2:$B$5</c:f>
              <c:numCache>
                <c:formatCode>General</c:formatCode>
                <c:ptCount val="4"/>
                <c:pt idx="2">
                  <c:v>6.47</c:v>
                </c:pt>
                <c:pt idx="3">
                  <c:v>0.16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c4aff33-b9d7-4161-9194-e0944126ffd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125</Pages>
  <Words>21854</Words>
  <Characters>23410</Characters>
  <Lines>100</Lines>
  <Paragraphs>28</Paragraphs>
  <TotalTime>78</TotalTime>
  <ScaleCrop>false</ScaleCrop>
  <LinksUpToDate>false</LinksUpToDate>
  <CharactersWithSpaces>23538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2024-08-05T23:12:00Z</dcterms:created>
  <dc:creator>曹颖</dc:creator>
  <cp:lastModifiedBy>黄勇睿</cp:lastModifiedBy>
  <cp:lastPrinted>2025-09-22T23:36:00Z</cp:lastPrinted>
  <dcterms:modified xsi:type="dcterms:W3CDTF">2026-09-20T07:09:02Z</dcterms:modified>
  <dc:title>四川省***</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8C73DAEC385B4FFEA22EA2FF079195FB_13</vt:lpwstr>
  </property>
  <property fmtid="{D5CDD505-2E9C-101B-9397-08002B2CF9AE}" pid="4" name="KSOTemplateDocerSaveRecord">
    <vt:lpwstr>eyJoZGlkIjoiNTM1NDVhYWU5MTM4MTgxMTQ4OGE1NGFmYmUzMDVjMzkiLCJ1c2VySWQiOiI5NTkzNzkxNjEifQ==</vt:lpwstr>
  </property>
</Properties>
</file>